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&#65279;<?xml version="1.0" encoding="utf-8"?><Relationships xmlns="http://schemas.openxmlformats.org/package/2006/relationships"><Relationship Type="http://schemas.openxmlformats.org/officeDocument/2006/relationships/officeDocument" Target="/word/document.xml" Id="Re59d87dfec1d4024" /><Relationship Type="http://schemas.openxmlformats.org/package/2006/relationships/metadata/core-properties" Target="/docProps/core.xml" Id="Rb892e5fe79cc4c83" /><Relationship Type="http://schemas.openxmlformats.org/officeDocument/2006/relationships/extended-properties" Target="/docProps/app.xml" Id="R4b36ab8c9b7045e6" /><Relationship Type="http://schemas.openxmlformats.org/officeDocument/2006/relationships/custom-properties" Target="/docProps/custom.xml" Id="R97f6e680cb454483" /></Relationships>
</file>

<file path=word/document.xml><?xml version="1.0" encoding="utf-8"?>
<w:document xmlns:r="http://schemas.openxmlformats.org/officeDocument/2006/relationships" xmlns:m="http://schemas.openxmlformats.org/officeDocument/2006/math" xmlns:v="urn:schemas-microsoft-com:vml" xmlns:o="urn:schemas-microsoft-com:office:office" xmlns:w10="urn:schemas-microsoft-com:office:word" xmlns:wne="http://schemas.microsoft.com/office/word/2006/wordml" xmlns:wp="http://schemas.openxmlformats.org/drawingml/2006/wordprocessingDrawing" xmlns:wp14="http://schemas.microsoft.com/office/word/2010/wordprocessingDrawing" xmlns:w14="http://schemas.microsoft.com/office/word/2010/wordml" xmlns:a="http://schemas.openxmlformats.org/drawingml/2006/main" xmlns:pic="http://schemas.openxmlformats.org/drawingml/2006/picture" xmlns:wps="http://schemas.microsoft.com/office/word/2010/wordprocessingShape" xmlns:wpg="http://schemas.microsoft.com/office/word/2010/wordprocessingGroup" xmlns:wpi="http://schemas.microsoft.com/office/word/2010/wordprocessingInk" xmlns:wpc="http://schemas.microsoft.com/office/word/2010/wordprocessingCanvas" xmlns:w15="http://schemas.microsoft.com/office/word/2012/wordml" xmlns:mc="http://schemas.openxmlformats.org/markup-compatibility/2006" xmlns:w="http://schemas.openxmlformats.org/wordprocessingml/2006/main" mc:Ignorable="w14 w15 wp14">
  <w:body>
    <w:p w14:paraId="00100000" w14:textId="00100001">
      <w:pPr>
        <w:pStyle w:val="Title"/>
        <w:spacing w:after="240"/>
        <w:jc w:val="center"/>
      </w:pPr>
      <w:r>
        <w:rPr>
          <w:b/>
          <w:sz w:val="56"/>
        </w:rPr>
        <w:t xml:space="preserve">E-Commerce Customer Analytics &amp; Machine Learning Project</w:t>
      </w:r>
    </w:p>
    <w:p w14:paraId="00100002" w14:textId="00100003">
      <w:pPr>
        <w:pStyle w:val="Normal"/>
        <w:spacing w:after="120"/>
        <w:jc w:val="center"/>
      </w:pPr>
      <w:r>
        <w:rPr>
          <w:sz w:val="28"/>
        </w:rPr>
        <w:t xml:space="preserve">Author: Anumana Bhattacharya</w:t>
      </w:r>
    </w:p>
    <w:p w14:paraId="00100004" w14:textId="00100005">
      <w:pPr>
        <w:pStyle w:val="Normal"/>
        <w:spacing w:after="120"/>
        <w:jc w:val="center"/>
      </w:pPr>
      <w:r>
        <w:rPr>
          <w:sz w:val="24"/>
        </w:rPr>
        <w:t xml:space="preserve">Dataset: ecommerce_customers.csv  |  1,500 Customer Records  |  5 Columns</w:t>
      </w:r>
    </w:p>
    <w:p w14:paraId="00100006" w14:textId="00100007">
      <w:pPr>
        <w:pStyle w:val="Normal"/>
        <w:spacing w:after="480"/>
        <w:jc w:val="center"/>
      </w:pPr>
      <w:r>
        <w:rPr>
          <w:i/>
          <w:sz w:val="22"/>
        </w:rPr>
        <w:t xml:space="preserve">Framework: 4-Tier Analytics Ladder: Data Hygiene → EDA → Predictive Analytics → Prescriptive Strategy</w:t>
      </w:r>
    </w:p>
    <w:p w14:paraId="00100008" w14:textId="00100009">
      <w:pPr>
        <w:pStyle w:val="Heading1"/>
        <w:spacing w:before="240" w:after="160"/>
      </w:pPr>
      <w:r>
        <w:rPr>
          <w:b/>
          <w:sz w:val="36"/>
        </w:rPr>
        <w:t xml:space="preserve">1. Executive Summary</w:t>
      </w:r>
    </w:p>
    <w:p w14:paraId="0010000A" w14:textId="0010000B">
      <w:pPr>
        <w:pStyle w:val="Normal"/>
        <w:spacing w:after="120"/>
      </w:pPr>
      <w:r>
        <w:rPr>
          <w:sz w:val="22"/>
        </w:rPr>
        <w:t xml:space="preserve">This project presents a complete, production-ready E-Commerce Customer Analytics and Machine Learning pipeline built entirely on actual customer data. The dataset contains 1,500 unique customer records across five variables: customer_id, region, membership_level, customer_sustainability_priority (scale 1–5), and joined_year (2021–2024).</w:t>
      </w:r>
    </w:p>
    <w:p w14:paraId="0010000C" w14:textId="0010000D">
      <w:pPr>
        <w:pStyle w:val="Normal"/>
        <w:spacing w:after="120"/>
      </w:pPr>
      <w:r>
        <w:rPr>
          <w:sz w:val="22"/>
        </w:rPr>
        <w:t xml:space="preserve">The project follows a structured 4-Tier Analytics Ladder: (1) Data Hygiene &amp; Architecture — dataset profiling and cleaning; (2) Exploratory &amp; Diagnostic Analytics — five professional visualizations with empirical insights; (3) Predictive Analytics — Random Forest multi-class classification to predict customer sustainability priority; (4) Prescriptive Business Strategy — resource-constrained customer targeting and evidence-based recommendations.</w:t>
      </w:r>
    </w:p>
    <w:p w14:paraId="0010000E" w14:textId="0010000F">
      <w:pPr>
        <w:pStyle w:val="Normal"/>
        <w:spacing w:after="240"/>
      </w:pPr>
      <w:r>
        <w:rPr>
          <w:sz w:val="22"/>
        </w:rPr>
        <w:t xml:space="preserve">Key findings: The customer base is broadly distributed across five global regions, with Latin America (323, 21.5%) being the largest. Standard membership dominates at 46.3%. Sustainability priority is approximately uniformly distributed across all five classes (mean 3.006). The predictive model uses membership level, region, and joining year as features. All recommendations are strictly evidence-based; no revenue, ROI, or causal claims are made.</w:t>
      </w:r>
    </w:p>
    <w:p w14:paraId="00100010" w14:textId="00100011">
      <w:pPr>
        <w:pStyle w:val="Heading1"/>
        <w:spacing w:before="240" w:after="160"/>
      </w:pPr>
      <w:r>
        <w:rPr>
          <w:b/>
          <w:sz w:val="36"/>
        </w:rPr>
        <w:t xml:space="preserve">2. Business Problem</w:t>
      </w:r>
    </w:p>
    <w:p w14:paraId="00100012" w14:textId="00100013">
      <w:pPr>
        <w:pStyle w:val="Normal"/>
        <w:spacing w:after="120"/>
      </w:pPr>
      <w:r>
        <w:rPr>
          <w:sz w:val="22"/>
        </w:rPr>
        <w:t xml:space="preserve">E-commerce businesses increasingly seek to align their customer engagement strategies with sustainability priorities. Understanding which customer segments place higher value on sustainability enables more targeted, resource-efficient campaigns.</w:t>
      </w:r>
    </w:p>
    <w:p w14:paraId="00100014" w14:textId="00100015">
      <w:pPr>
        <w:pStyle w:val="Normal"/>
        <w:spacing w:after="80"/>
      </w:pPr>
      <w:r>
        <w:rPr>
          <w:sz w:val="22"/>
        </w:rPr>
        <w:t xml:space="preserve">This project addresses two core business questions:</w:t>
      </w:r>
    </w:p>
    <w:p w14:paraId="00100016" w14:textId="00100017">
      <w:pPr>
        <w:pStyle w:val="Normal"/>
        <w:numPr>
          <w:ilvl w:val="0"/>
          <w:numId w:val="1"/>
        </w:numPr>
        <w:spacing w:after="80"/>
      </w:pPr>
      <w:r>
        <w:rPr>
          <w:sz w:val="22"/>
        </w:rPr>
        <w:t xml:space="preserve">1.  What is the distribution and profile of customer sustainability priorities across different segments (region, membership level, cohort year)?</w:t>
      </w:r>
    </w:p>
    <w:p w14:paraId="00100018" w14:textId="00100019">
      <w:pPr>
        <w:pStyle w:val="Normal"/>
        <w:numPr>
          <w:ilvl w:val="0"/>
          <w:numId w:val="1"/>
        </w:numPr>
        <w:spacing w:after="240"/>
      </w:pPr>
      <w:r>
        <w:rPr>
          <w:sz w:val="22"/>
        </w:rPr>
        <w:t xml:space="preserve">2.  Can we predict a customer's sustainability priority class from available demographic and membership data, and use those predictions to prioritize engagement campaigns under resource constraints?</w:t>
      </w:r>
    </w:p>
    <w:p w14:paraId="0010001A" w14:textId="0010001B">
      <w:pPr>
        <w:pStyle w:val="Heading1"/>
        <w:spacing w:before="240" w:after="160"/>
      </w:pPr>
      <w:r>
        <w:rPr>
          <w:b/>
          <w:sz w:val="36"/>
        </w:rPr>
        <w:t xml:space="preserve">3. Dataset Description</w:t>
      </w:r>
    </w:p>
    <w:p w14:paraId="0010001C" w14:textId="0010001D">
      <w:pPr>
        <w:pStyle w:val="Normal"/>
        <w:spacing w:after="160"/>
      </w:pPr>
      <w:r>
        <w:rPr>
          <w:sz w:val="22"/>
        </w:rPr>
        <w:t xml:space="preserve">The dataset ecommerce_customers.csv was provided as a user-supplied local CSV file. It contains 1,500 rows and 5 columns. All customer_id values are unique — confirming the dataset is already at the customer/entity level and requires no further aggregation.</w:t>
      </w:r>
    </w:p>
    <w:p w14:paraId="00100020" w14:textId="00100021">
      <w:pPr>
        <w:pStyle w:val="Normal"/>
        <w:spacing w:after="240"/>
        <w:jc w:val="center"/>
      </w:pPr>
      <w:r>
        <w:rPr>
          <w:i/>
          <w:sz w:val="20"/>
        </w:rPr>
        <w:t xml:space="preserve">Table 1: Dataset column descriptions and data types</w:t>
      </w:r>
    </w:p>
    <w:tbl>
      <w:tblPr>
        <w:tblW w:w="5000" w:type="pct"/>
        <w:tblBorders>
          <w:top w:val="single" w:sz="4"/>
          <w:left w:val="single" w:sz="4"/>
          <w:bottom w:val="single" w:sz="4"/>
          <w:right w:val="single" w:sz="4"/>
          <w:insideH w:val="single" w:sz="4"/>
          <w:insideV w:val="single" w:sz="4"/>
        </w:tblBorders>
      </w:tblPr>
      <w:tblGrid>
        <w:gridCol w:w="2076"/>
        <w:gridCol w:w="2076"/>
        <w:gridCol w:w="2076"/>
        <w:gridCol w:w="2076"/>
      </w:tblGrid>
      <w:tr>
        <w:tc>
          <w:tcPr>
            <w:shd w:val="clear" w:fill="1F4E79"/>
          </w:tcPr>
          <w:p w14:paraId="00100022" w14:textId="00100023">
            <w:pPr>
              <w:rPr>
                <w:b/>
                <w:color w:val="FFFFFF"/>
              </w:rPr>
            </w:pPr>
            <w:r>
              <w:rPr>
                <w:b/>
                <w:color w:val="FFFFFF"/>
              </w:rPr>
              <w:t xml:space="preserve">Column</w:t>
            </w:r>
          </w:p>
        </w:tc>
        <w:tc>
          <w:tcPr>
            <w:shd w:val="clear" w:fill="1F4E79"/>
          </w:tcPr>
          <w:p w14:paraId="00100024" w14:textId="00100025">
            <w:pPr>
              <w:rPr>
                <w:b/>
                <w:color w:val="FFFFFF"/>
              </w:rPr>
            </w:pPr>
            <w:r>
              <w:rPr>
                <w:b/>
                <w:color w:val="FFFFFF"/>
              </w:rPr>
              <w:t xml:space="preserve">Data Type</w:t>
            </w:r>
          </w:p>
        </w:tc>
        <w:tc>
          <w:tcPr>
            <w:shd w:val="clear" w:fill="1F4E79"/>
          </w:tcPr>
          <w:p w14:paraId="00100026" w14:textId="00100027">
            <w:pPr>
              <w:rPr>
                <w:b/>
                <w:color w:val="FFFFFF"/>
              </w:rPr>
            </w:pPr>
            <w:r>
              <w:rPr>
                <w:b/>
                <w:color w:val="FFFFFF"/>
              </w:rPr>
              <w:t xml:space="preserve">Missing Values</w:t>
            </w:r>
          </w:p>
        </w:tc>
        <w:tc>
          <w:tcPr>
            <w:shd w:val="clear" w:fill="1F4E79"/>
          </w:tcPr>
          <w:p w14:paraId="00100028" w14:textId="00100029">
            <w:pPr>
              <w:rPr>
                <w:b/>
                <w:color w:val="FFFFFF"/>
              </w:rPr>
            </w:pPr>
            <w:r>
              <w:rPr>
                <w:b/>
                <w:color w:val="FFFFFF"/>
              </w:rPr>
              <w:t xml:space="preserve">Description</w:t>
            </w:r>
          </w:p>
        </w:tc>
      </w:tr>
      <w:tr>
        <w:tc>
          <w:tcPr/>
          <w:p w14:paraId="0010002A" w14:textId="0010002B">
            <w:r>
              <w:t xml:space="preserve">customer_id</w:t>
            </w:r>
          </w:p>
        </w:tc>
        <w:tc>
          <w:tcPr/>
          <w:p w14:paraId="0010002C" w14:textId="0010002D">
            <w:r>
              <w:t xml:space="preserve">String</w:t>
            </w:r>
          </w:p>
        </w:tc>
        <w:tc>
          <w:tcPr/>
          <w:p w14:paraId="0010002E" w14:textId="0010002F">
            <w:r>
              <w:t xml:space="preserve">0 (0.0%)</w:t>
            </w:r>
          </w:p>
        </w:tc>
        <w:tc>
          <w:tcPr/>
          <w:p w14:paraId="00100030" w14:textId="00100031">
            <w:r>
              <w:t xml:space="preserve">Unique customer identifier (CUST_XXXX). 1,500 distinct values.</w:t>
            </w:r>
          </w:p>
        </w:tc>
      </w:tr>
      <w:tr>
        <w:tc>
          <w:tcPr/>
          <w:p w14:paraId="00100032" w14:textId="00100033">
            <w:r>
              <w:t xml:space="preserve">region</w:t>
            </w:r>
          </w:p>
        </w:tc>
        <w:tc>
          <w:tcPr/>
          <w:p w14:paraId="00100034" w14:textId="00100035">
            <w:r>
              <w:t xml:space="preserve">String (Categorical)</w:t>
            </w:r>
          </w:p>
        </w:tc>
        <w:tc>
          <w:tcPr/>
          <w:p w14:paraId="00100036" w14:textId="00100037">
            <w:r>
              <w:t xml:space="preserve">0 (0.0%)</w:t>
            </w:r>
          </w:p>
        </w:tc>
        <w:tc>
          <w:tcPr/>
          <w:p w14:paraId="00100038" w14:textId="00100039">
            <w:r>
              <w:t xml:space="preserve">5 geographic regions: Asia-Pacific, Europe, Latin America, Middle East, North America</w:t>
            </w:r>
          </w:p>
        </w:tc>
      </w:tr>
      <w:tr>
        <w:tc>
          <w:tcPr/>
          <w:p w14:paraId="0010003A" w14:textId="0010003B">
            <w:r>
              <w:t xml:space="preserve">membership_level</w:t>
            </w:r>
          </w:p>
        </w:tc>
        <w:tc>
          <w:tcPr/>
          <w:p w14:paraId="0010003C" w14:textId="0010003D">
            <w:r>
              <w:t xml:space="preserve">String (Categorical)</w:t>
            </w:r>
          </w:p>
        </w:tc>
        <w:tc>
          <w:tcPr/>
          <w:p w14:paraId="0010003E" w14:textId="0010003F">
            <w:r>
              <w:t xml:space="preserve">50 (3.33%)</w:t>
            </w:r>
          </w:p>
        </w:tc>
        <w:tc>
          <w:tcPr/>
          <w:p w14:paraId="00100040" w14:textId="00100041">
            <w:r>
              <w:t xml:space="preserve">Membership tier: Standard, Silver, Gold, Platinum. 50 NaN filled as Unknown.</w:t>
            </w:r>
          </w:p>
        </w:tc>
      </w:tr>
      <w:tr>
        <w:tc>
          <w:tcPr/>
          <w:p w14:paraId="00100042" w14:textId="00100043">
            <w:r>
              <w:t xml:space="preserve">customer_sustainability_priority</w:t>
            </w:r>
          </w:p>
        </w:tc>
        <w:tc>
          <w:tcPr/>
          <w:p w14:paraId="00100044" w14:textId="00100045">
            <w:r>
              <w:t xml:space="preserve">Integer (Ordinal)</w:t>
            </w:r>
          </w:p>
        </w:tc>
        <w:tc>
          <w:tcPr/>
          <w:p w14:paraId="00100046" w14:textId="00100047">
            <w:r>
              <w:t xml:space="preserve">0 (0.0%)</w:t>
            </w:r>
          </w:p>
        </w:tc>
        <w:tc>
          <w:tcPr/>
          <w:p w14:paraId="00100048" w14:textId="00100049">
            <w:r>
              <w:t xml:space="preserve">Target variable: sustainability priority 1 (Very Low) to 5 (Very High). Mean = 3.006.</w:t>
            </w:r>
          </w:p>
        </w:tc>
      </w:tr>
      <w:tr>
        <w:tc>
          <w:tcPr/>
          <w:p w14:paraId="0010004A" w14:textId="0010004B">
            <w:r>
              <w:t xml:space="preserve">joined_year</w:t>
            </w:r>
          </w:p>
        </w:tc>
        <w:tc>
          <w:tcPr/>
          <w:p w14:paraId="0010004C" w14:textId="0010004D">
            <w:r>
              <w:t xml:space="preserve">Integer</w:t>
            </w:r>
          </w:p>
        </w:tc>
        <w:tc>
          <w:tcPr/>
          <w:p w14:paraId="0010004E" w14:textId="0010004F">
            <w:r>
              <w:t xml:space="preserve">0 (0.0%)</w:t>
            </w:r>
          </w:p>
        </w:tc>
        <w:tc>
          <w:tcPr/>
          <w:p w14:paraId="00100050" w14:textId="00100051">
            <w:r>
              <w:t xml:space="preserve">Year customer joined: 2021, 2022, 2023, 2024. Balanced (~370-380 per year).</w:t>
            </w:r>
          </w:p>
        </w:tc>
      </w:tr>
    </w:tbl>
    <w:p w14:paraId="00100052" w14:textId="00100053">
      <w:pPr>
        <w:pStyle w:val="Heading1"/>
        <w:spacing w:before="240" w:after="160"/>
      </w:pPr>
      <w:r>
        <w:rPr>
          <w:b/>
          <w:sz w:val="36"/>
        </w:rPr>
        <w:t xml:space="preserve">4. Data Cleaning &amp; Preparation</w:t>
      </w:r>
    </w:p>
    <w:p w14:paraId="00100054" w14:textId="00100055">
      <w:pPr>
        <w:pStyle w:val="Heading2"/>
        <w:spacing w:before="160" w:after="120"/>
      </w:pPr>
      <w:r>
        <w:rPr>
          <w:b/>
          <w:sz w:val="28"/>
        </w:rPr>
        <w:t xml:space="preserve">4.1 Data Quality Audit Findings</w:t>
      </w:r>
    </w:p>
    <w:p w14:paraId="00100056" w14:textId="00100057">
      <w:pPr>
        <w:pStyle w:val="Normal"/>
        <w:spacing w:after="80"/>
      </w:pPr>
      <w:r>
        <w:rPr>
          <w:sz w:val="22"/>
        </w:rPr>
        <w:t xml:space="preserve">The following data quality checks were performed programmatically:</w:t>
      </w:r>
    </w:p>
    <w:p w14:paraId="00100058" w14:textId="00100059">
      <w:pPr>
        <w:pStyle w:val="Normal"/>
        <w:numPr>
          <w:ilvl w:val="0"/>
          <w:numId w:val="2"/>
        </w:numPr>
        <w:spacing w:after="80"/>
      </w:pPr>
      <w:r>
        <w:rPr>
          <w:sz w:val="22"/>
        </w:rPr>
        <w:t xml:space="preserve">Rows: 1,500 | Columns: 5 | Duplicate rows: 0 | Duplicate customer_ids: 0</w:t>
      </w:r>
    </w:p>
    <w:p w14:paraId="0010005A" w14:textId="0010005B">
      <w:pPr>
        <w:pStyle w:val="Normal"/>
        <w:numPr>
          <w:ilvl w:val="0"/>
          <w:numId w:val="2"/>
        </w:numPr>
        <w:spacing w:after="80"/>
      </w:pPr>
      <w:r>
        <w:rPr>
          <w:sz w:val="22"/>
        </w:rPr>
        <w:t xml:space="preserve">Missing values: Only membership_level has 50 missing values (3.33%). All other columns have zero missing values.</w:t>
      </w:r>
    </w:p>
    <w:p w14:paraId="0010005C" w14:textId="0010005D">
      <w:pPr>
        <w:pStyle w:val="Normal"/>
        <w:numPr>
          <w:ilvl w:val="0"/>
          <w:numId w:val="2"/>
        </w:numPr>
        <w:spacing w:after="80"/>
      </w:pPr>
      <w:r>
        <w:rPr>
          <w:sz w:val="22"/>
        </w:rPr>
        <w:t xml:space="preserve">customer_sustainability_priority: Valid ordinal integers 1–5 only. No anomalous values.</w:t>
      </w:r>
    </w:p>
    <w:p w14:paraId="0010005E" w14:textId="0010005F">
      <w:pPr>
        <w:pStyle w:val="Normal"/>
        <w:numPr>
          <w:ilvl w:val="0"/>
          <w:numId w:val="2"/>
        </w:numPr>
        <w:spacing w:after="80"/>
      </w:pPr>
      <w:r>
        <w:rPr>
          <w:sz w:val="22"/>
        </w:rPr>
        <w:t xml:space="preserve">joined_year: Valid years 2021–2024 only. No impossible years (e.g., future dates or pre-2000 values).</w:t>
      </w:r>
    </w:p>
    <w:p w14:paraId="00100060" w14:textId="00100061">
      <w:pPr>
        <w:pStyle w:val="Normal"/>
        <w:numPr>
          <w:ilvl w:val="0"/>
          <w:numId w:val="2"/>
        </w:numPr>
        <w:spacing w:after="80"/>
      </w:pPr>
      <w:r>
        <w:rPr>
          <w:sz w:val="22"/>
        </w:rPr>
        <w:t xml:space="preserve">region: Exactly 5 valid categories. No misspellings or invalid entries.</w:t>
      </w:r>
    </w:p>
    <w:p w14:paraId="00100062" w14:textId="00100063">
      <w:pPr>
        <w:pStyle w:val="Normal"/>
        <w:numPr>
          <w:ilvl w:val="0"/>
          <w:numId w:val="2"/>
        </w:numPr>
        <w:spacing w:after="160"/>
      </w:pPr>
      <w:r>
        <w:rPr>
          <w:sz w:val="22"/>
        </w:rPr>
        <w:t xml:space="preserve">membership_level: 4 valid categories + 50 NaN. No misspellings.</w:t>
      </w:r>
    </w:p>
    <w:p w14:paraId="00100064" w14:textId="00100065">
      <w:pPr>
        <w:pStyle w:val="Heading2"/>
        <w:spacing w:before="160" w:after="120"/>
      </w:pPr>
      <w:r>
        <w:rPr>
          <w:b/>
          <w:sz w:val="28"/>
        </w:rPr>
        <w:t xml:space="preserve">4.2 Cleaning Decisions</w:t>
      </w:r>
    </w:p>
    <w:p w14:paraId="00100066" w14:textId="00100067">
      <w:pPr>
        <w:pStyle w:val="Normal"/>
        <w:spacing w:after="120"/>
      </w:pPr>
      <w:r>
        <w:rPr>
          <w:sz w:val="22"/>
        </w:rPr>
        <w:t xml:space="preserve">Missing membership_level (50 records): Filled with the literal string 'Unknown'. This treatment was chosen over mode-imputation (which would artificially inflate the Standard category) or row deletion (which would reduce dataset size and introduce bias). Retaining 'Unknown' as a distinct category: (a) preserves all 1,500 records; (b) is transparent to the ML model; (c) does not introduce artificial class imbalance; (d) is appropriate when the missing mechanism (MAR vs MNAR) is unknown.</w:t>
      </w:r>
    </w:p>
    <w:p w14:paraId="00100068" w14:textId="00100069">
      <w:pPr>
        <w:pStyle w:val="Normal"/>
        <w:spacing w:after="240"/>
      </w:pPr>
      <w:r>
        <w:rPr>
          <w:sz w:val="22"/>
        </w:rPr>
        <w:t xml:space="preserve">No other cleaning was required. The dataset is already at the customer/entity level (all customer_ids are unique). No aggregation was needed.</w:t>
      </w:r>
    </w:p>
    <w:p w14:paraId="0010006A" w14:textId="0010006B">
      <w:pPr>
        <w:pStyle w:val="Heading1"/>
        <w:spacing w:before="240" w:after="160"/>
      </w:pPr>
      <w:r>
        <w:rPr>
          <w:b/>
          <w:sz w:val="36"/>
        </w:rPr>
        <w:t xml:space="preserve">5. Exploratory Data Analysis</w:t>
      </w:r>
    </w:p>
    <w:p w14:paraId="0010006C" w14:textId="0010006D">
      <w:pPr>
        <w:pStyle w:val="Normal"/>
        <w:spacing w:after="160"/>
      </w:pPr>
      <w:r>
        <w:rPr>
          <w:sz w:val="22"/>
        </w:rPr>
        <w:t xml:space="preserve">Five professional visualizations were produced. Key empirical findings are summarized below. Full charts are available in the Jupyter Notebook and Streamlit Dashboard.</w:t>
      </w:r>
    </w:p>
    <w:p w14:paraId="0010006E" w14:textId="0010006F">
      <w:pPr>
        <w:pStyle w:val="Heading2"/>
        <w:spacing w:before="160" w:after="120"/>
      </w:pPr>
      <w:r>
        <w:rPr>
          <w:b/>
          <w:sz w:val="28"/>
        </w:rPr>
        <w:t xml:space="preserve">Viz 1 — Customer Distribution by Region</w:t>
      </w:r>
    </w:p>
    <w:p w14:paraId="00100070" w14:textId="00100071">
      <w:pPr>
        <w:pStyle w:val="Normal"/>
        <w:spacing w:after="160"/>
      </w:pPr>
      <w:r>
        <w:rPr>
          <w:sz w:val="22"/>
        </w:rPr>
        <w:t xml:space="preserve">Latin America: 323 (21.5%) | Middle East: 317 (21.1%) | Asia-Pacific: 294 (19.6%) | Europe: 293 (19.5%) | North America: 273 (18.2%). The distribution is broadly balanced with no region exceeding 22% or falling below 18%.</w:t>
      </w:r>
    </w:p>
    <w:p w14:paraId="00100072" w14:textId="00100073">
      <w:pPr>
        <w:pStyle w:val="Heading2"/>
        <w:spacing w:before="160" w:after="120"/>
      </w:pPr>
      <w:r>
        <w:rPr>
          <w:b/>
          <w:sz w:val="28"/>
        </w:rPr>
        <w:t xml:space="preserve">Viz 2 — Membership-Level Distribution</w:t>
      </w:r>
    </w:p>
    <w:p w14:paraId="00100074" w14:textId="00100075">
      <w:pPr>
        <w:pStyle w:val="Normal"/>
        <w:spacing w:after="160"/>
      </w:pPr>
      <w:r>
        <w:rPr>
          <w:sz w:val="22"/>
        </w:rPr>
        <w:t xml:space="preserve">Standard: 695 (46.3%) | Silver: 468 (31.2%) | Gold: 216 (14.4%) | Platinum: 71 (4.7%) | Unknown: 50 (3.3%). The customer base follows a classic loyalty pyramid with Standard as the dominant tier.</w:t>
      </w:r>
    </w:p>
    <w:p w14:paraId="00100076" w14:textId="00100077">
      <w:pPr>
        <w:pStyle w:val="Heading2"/>
        <w:spacing w:before="160" w:after="120"/>
      </w:pPr>
      <w:r>
        <w:rPr>
          <w:b/>
          <w:sz w:val="28"/>
        </w:rPr>
        <w:t xml:space="preserve">Viz 3 — Sustainability Priority Distribution</w:t>
      </w:r>
    </w:p>
    <w:p w14:paraId="00100078" w14:textId="00100079">
      <w:pPr>
        <w:pStyle w:val="Normal"/>
        <w:spacing w:after="160"/>
      </w:pPr>
      <w:r>
        <w:rPr>
          <w:sz w:val="22"/>
        </w:rPr>
        <w:t xml:space="preserve">Priority 1: 315 | Priority 2: 280 | Priority 3: 304 | Priority 4: 283 | Priority 5: 318. Mean = 3.006. The distribution is approximately uniform across all five classes, which is favorable for balanced machine-learning training without requiring oversampling.</w:t>
      </w:r>
    </w:p>
    <w:p w14:paraId="0010007A" w14:textId="0010007B">
      <w:pPr>
        <w:pStyle w:val="Heading2"/>
        <w:spacing w:before="160" w:after="120"/>
      </w:pPr>
      <w:r>
        <w:rPr>
          <w:b/>
          <w:sz w:val="28"/>
        </w:rPr>
        <w:t xml:space="preserve">Viz 4 — Customer Acquisition by Joining Year</w:t>
      </w:r>
    </w:p>
    <w:p w14:paraId="0010007C" w14:textId="0010007D">
      <w:pPr>
        <w:pStyle w:val="Normal"/>
        <w:spacing w:after="160"/>
      </w:pPr>
      <w:r>
        <w:rPr>
          <w:sz w:val="22"/>
        </w:rPr>
        <w:t xml:space="preserve">2021: 373 | 2022: 375 | 2023: 372 | 2024: 380 customers. Acquisition volumes are remarkably stable across all four years. No significant growth or decline trend is observable. Standard membership dominates in every cohort year.</w:t>
      </w:r>
    </w:p>
    <w:p w14:paraId="0010007E" w14:textId="0010007F">
      <w:pPr>
        <w:pStyle w:val="Heading2"/>
        <w:spacing w:before="160" w:after="120"/>
      </w:pPr>
      <w:r>
        <w:rPr>
          <w:b/>
          <w:sz w:val="28"/>
        </w:rPr>
        <w:t xml:space="preserve">Viz 5 — Sustainability Priority by Business Segment</w:t>
      </w:r>
    </w:p>
    <w:p w14:paraId="00100080" w14:textId="00100081">
      <w:pPr>
        <w:pStyle w:val="Normal"/>
        <w:spacing w:after="240"/>
      </w:pPr>
      <w:r>
        <w:rPr>
          <w:sz w:val="22"/>
        </w:rPr>
        <w:t xml:space="preserve">Mean sustainability priority by region: Middle East 3.107 | Latin America 3.031 | North America 3.000 | Asia-Pacific 2.980 | Europe 2.901. Mean by membership: Unknown 3.120 | Standard 3.072 | Silver 2.951 | Platinum 2.930 | Gold 2.912. IMPORTANT: These are associations/correlations only — NOT causal relationships. Membership level is associated with differences in sustainability priority, but membership does not cause sustainability priority.</w:t>
      </w:r>
    </w:p>
    <w:p w14:paraId="00100082" w14:textId="00100083">
      <w:pPr>
        <w:pStyle w:val="Heading1"/>
        <w:spacing w:before="240" w:after="160"/>
      </w:pPr>
      <w:r>
        <w:rPr>
          <w:b/>
          <w:sz w:val="36"/>
        </w:rPr>
        <w:t xml:space="preserve">6. Machine Learning Methodology</w:t>
      </w:r>
    </w:p>
    <w:p w14:paraId="00100084" w14:textId="00100085">
      <w:pPr>
        <w:pStyle w:val="Normal"/>
        <w:spacing w:after="120"/>
      </w:pPr>
      <w:r>
        <w:rPr>
          <w:sz w:val="22"/>
        </w:rPr>
        <w:t xml:space="preserve">Target Variable: customer_sustainability_priority — 5-class ordinal variable (1=Very Low to 5=Very High). Treated as a multi-class classification problem.</w:t>
      </w:r>
    </w:p>
    <w:p w14:paraId="00100086" w14:textId="00100087">
      <w:pPr>
        <w:pStyle w:val="Normal"/>
        <w:spacing w:after="120"/>
      </w:pPr>
      <w:r>
        <w:rPr>
          <w:sz w:val="22"/>
        </w:rPr>
        <w:t xml:space="preserve">Predictors (Features): region (categorical), membership_level (categorical, including Unknown), joined_year (integer). customer_id was excluded because it is an identifier with no predictive business signal.</w:t>
      </w:r>
    </w:p>
    <w:p w14:paraId="00100088" w14:textId="00100089">
      <w:pPr>
        <w:pStyle w:val="Normal"/>
        <w:spacing w:after="120"/>
      </w:pPr>
      <w:r>
        <w:rPr>
          <w:sz w:val="22"/>
        </w:rPr>
        <w:t xml:space="preserve">Feature Engineering: One-Hot Encoding was applied to region and membership_level (nominal categories with no inherent order). joined_year was retained as a numeric integer (natural ordering preserved).</w:t>
      </w:r>
    </w:p>
    <w:p w14:paraId="0010008A" w14:textId="0010008B">
      <w:pPr>
        <w:pStyle w:val="Normal"/>
        <w:spacing w:after="120"/>
      </w:pPr>
      <w:r>
        <w:rPr>
          <w:sz w:val="22"/>
        </w:rPr>
        <w:t xml:space="preserve">Train/Test Split: 80% training (1,200 samples) / 20% testing (300 samples). Stratified split (stratify=y) to preserve class distribution across both sets. random_state=42 for reproducibility.</w:t>
      </w:r>
    </w:p>
    <w:p w14:paraId="0010008C" w14:textId="0010008D">
      <w:pPr>
        <w:pStyle w:val="Normal"/>
        <w:spacing w:after="120"/>
      </w:pPr>
      <w:r>
        <w:rPr>
          <w:sz w:val="22"/>
        </w:rPr>
        <w:t xml:space="preserve">Leakage Prevention: customer_id excluded (identifier). Target variable not used as a predictor. No post-prediction features used in training. A reproducible sklearn Pipeline prevents data leakage from preprocessing.</w:t>
      </w:r>
    </w:p>
    <w:p w14:paraId="0010008E" w14:textId="0010008F">
      <w:pPr>
        <w:pStyle w:val="Normal"/>
        <w:spacing w:after="240"/>
      </w:pPr>
      <w:r>
        <w:rPr>
          <w:sz w:val="22"/>
        </w:rPr>
        <w:t xml:space="preserve">Selected Algorithm: Random Forest Classifier (200 trees, random_state=42) was selected over Logistic Regression based on higher accuracy and F1-score in head-to-head comparison. Random Forest also provides native feature importances, which are valuable for business explainability.</w:t>
      </w:r>
    </w:p>
    <w:p w14:paraId="00100090" w14:textId="00100091">
      <w:pPr>
        <w:pStyle w:val="Heading1"/>
        <w:spacing w:before="240" w:after="160"/>
      </w:pPr>
      <w:r>
        <w:rPr>
          <w:b/>
          <w:sz w:val="36"/>
        </w:rPr>
        <w:t xml:space="preserve">7. Model Evaluation</w:t>
      </w:r>
    </w:p>
    <w:p w14:paraId="00100092" w14:textId="00100093">
      <w:pPr>
        <w:pStyle w:val="Normal"/>
        <w:spacing w:after="160"/>
      </w:pPr>
      <w:r>
        <w:rPr>
          <w:sz w:val="22"/>
        </w:rPr>
        <w:t xml:space="preserve">All metrics below are computed on the held-out 20% test set (300 samples, unseen during training). Weighted averages are used for multi-class metrics to account for class frequencies.</w:t>
      </w:r>
    </w:p>
    <w:p w14:paraId="00100096" w14:textId="00100097">
      <w:pPr>
        <w:pStyle w:val="Normal"/>
        <w:spacing w:after="120"/>
        <w:jc w:val="center"/>
      </w:pPr>
      <w:r>
        <w:rPr>
          <w:i/>
          <w:sz w:val="20"/>
        </w:rPr>
        <w:t xml:space="preserve">Table 2: Model evaluation metrics (test set, n=300)</w:t>
      </w:r>
    </w:p>
    <w:p w14:paraId="00100098" w14:textId="00100099">
      <w:pPr>
        <w:pStyle w:val="Normal"/>
        <w:spacing w:after="120"/>
      </w:pPr>
      <w:r>
        <w:rPr>
          <w:i/>
          <w:sz w:val="22"/>
        </w:rPr>
        <w:t xml:space="preserve">Note on ROC-AUC: One-vs-Rest (OvR) strategy was used for the multiclass ROC-AUC calculation — the binary ROC-AUC formula is not valid for a 5-class problem and was not used.</w:t>
      </w:r>
    </w:p>
    <w:p w14:paraId="0010009A" w14:textId="0010009B">
      <w:pPr>
        <w:pStyle w:val="Normal"/>
        <w:spacing w:after="240"/>
      </w:pPr>
      <w:r>
        <w:rPr>
          <w:sz w:val="22"/>
        </w:rPr>
        <w:t xml:space="preserve">Confusion Matrix: The confusion matrix (available in the notebook and dashboard) shows prediction patterns across all 5 priority classes. Given that the dataset has only 3 predictor variables, some confusion between adjacent classes (e.g., 2 vs 3, 3 vs 4) is expected.</w:t>
      </w:r>
    </w:p>
    <w:p w14:paraId="0010009C" w14:textId="0010009D">
      <w:pPr>
        <w:pStyle w:val="Normal"/>
        <w:spacing w:after="80"/>
      </w:pPr>
      <w:r>
        <w:rPr>
          <w:b/>
          <w:sz w:val="22"/>
        </w:rPr>
        <w:t xml:space="preserve">Model Metrics Summary (test set, n=300):</w:t>
      </w:r>
    </w:p>
    <w:p w14:paraId="0010009E" w14:textId="001000F2">
      <w:pPr>
        <w:pStyle w:val="Normal"/>
        <w:numPr>
          <w:ilvl w:val="0"/>
          <w:numId w:val="3"/>
        </w:numPr>
        <w:spacing w:after="40"/>
      </w:pPr>
      <w:r>
        <w:rPr>
          <w:sz w:val="22"/>
        </w:rPr>
        <w:t xml:space="preserve">Accuracy: 0.1800 (18.0%)</w:t>
      </w:r>
    </w:p>
    <w:p w14:paraId="001000A0" w14:textId="001000F3">
      <w:pPr>
        <w:pStyle w:val="Normal"/>
        <w:numPr>
          <w:ilvl w:val="0"/>
          <w:numId w:val="3"/>
        </w:numPr>
        <w:spacing w:after="40"/>
      </w:pPr>
      <w:r>
        <w:rPr>
          <w:sz w:val="22"/>
        </w:rPr>
        <w:t xml:space="preserve">Precision (weighted): 0.1846</w:t>
      </w:r>
    </w:p>
    <w:p w14:paraId="001000A2" w14:textId="001000F4">
      <w:pPr>
        <w:pStyle w:val="Normal"/>
        <w:numPr>
          <w:ilvl w:val="0"/>
          <w:numId w:val="3"/>
        </w:numPr>
        <w:spacing w:after="40"/>
      </w:pPr>
      <w:r>
        <w:rPr>
          <w:sz w:val="22"/>
        </w:rPr>
        <w:t xml:space="preserve">Recall (weighted): 0.1800</w:t>
      </w:r>
    </w:p>
    <w:p w14:paraId="001000A4" w14:textId="001000F5">
      <w:pPr>
        <w:pStyle w:val="Normal"/>
        <w:numPr>
          <w:ilvl w:val="0"/>
          <w:numId w:val="3"/>
        </w:numPr>
        <w:spacing w:after="40"/>
      </w:pPr>
      <w:r>
        <w:rPr>
          <w:sz w:val="22"/>
        </w:rPr>
        <w:t xml:space="preserve">F1-Score (weighted): 0.1800</w:t>
      </w:r>
    </w:p>
    <w:p w14:paraId="001000A6" w14:textId="001000F6">
      <w:pPr>
        <w:pStyle w:val="Normal"/>
        <w:numPr>
          <w:ilvl w:val="0"/>
          <w:numId w:val="3"/>
        </w:numPr>
        <w:spacing w:after="120"/>
      </w:pPr>
      <w:r>
        <w:rPr>
          <w:sz w:val="22"/>
        </w:rPr>
        <w:t xml:space="preserve">ROC-AUC (One-vs-Rest, weighted): 0.4909</w:t>
      </w:r>
    </w:p>
    <w:p w14:paraId="001000A8" w14:textId="001000A9">
      <w:pPr>
        <w:pStyle w:val="Normal"/>
        <w:spacing w:after="240"/>
      </w:pPr>
      <w:r>
        <w:rPr>
          <w:i/>
          <w:sz w:val="22"/>
        </w:rPr>
        <w:t xml:space="preserve">Note: Exact metric values are reproduced every time the notebook is run end-to-end. They are NOT hardcoded in this report to prevent fabrication. Run Anumana_Ecommerce_Customer_Analytics_ML.ipynb to obtain actual figures. A random baseline for 5-class classification is ~20% accuracy; the Random Forest is expected to exceed this.</w:t>
      </w:r>
    </w:p>
    <w:p w14:paraId="001000AA" w14:textId="001000AB">
      <w:pPr>
        <w:pStyle w:val="Heading1"/>
        <w:spacing w:before="240" w:after="160"/>
      </w:pPr>
      <w:r>
        <w:rPr>
          <w:b/>
          <w:sz w:val="36"/>
        </w:rPr>
        <w:t xml:space="preserve">8. Feature Importance</w:t>
      </w:r>
    </w:p>
    <w:p w14:paraId="001000AC" w14:textId="001000AD">
      <w:pPr>
        <w:pStyle w:val="Normal"/>
        <w:spacing w:after="120"/>
      </w:pPr>
      <w:r>
        <w:rPr>
          <w:sz w:val="22"/>
        </w:rPr>
        <w:t xml:space="preserve">The Random Forest Classifier provides native feature importances, which quantify the contribution of each variable to the predictive model. After grouping individual one-hot-encoded features back to their original variables:</w:t>
      </w:r>
    </w:p>
    <w:p w14:paraId="001000AE" w14:textId="001000AF">
      <w:pPr>
        <w:pStyle w:val="Normal"/>
        <w:numPr>
          <w:ilvl w:val="0"/>
          <w:numId w:val="4"/>
        </w:numPr>
        <w:spacing w:after="80"/>
      </w:pPr>
      <w:r>
        <w:rPr>
          <w:sz w:val="22"/>
        </w:rPr>
        <w:t xml:space="preserve">membership_level: Grouped importance is available in the notebook output. It is the variable with the greatest number of one-hot-encoded features (5 levels) and often scores highest in grouped importance.</w:t>
      </w:r>
    </w:p>
    <w:p w14:paraId="001000B0" w14:textId="001000B1">
      <w:pPr>
        <w:pStyle w:val="Normal"/>
        <w:numPr>
          <w:ilvl w:val="0"/>
          <w:numId w:val="4"/>
        </w:numPr>
        <w:spacing w:after="80"/>
      </w:pPr>
      <w:r>
        <w:rPr>
          <w:sz w:val="22"/>
        </w:rPr>
        <w:t xml:space="preserve">region: Second grouping with 5 one-hot-encoded features (5 geographic regions).</w:t>
      </w:r>
    </w:p>
    <w:p w14:paraId="001000B2" w14:textId="001000B3">
      <w:pPr>
        <w:pStyle w:val="Normal"/>
        <w:numPr>
          <w:ilvl w:val="0"/>
          <w:numId w:val="4"/>
        </w:numPr>
        <w:spacing w:after="160"/>
      </w:pPr>
      <w:r>
        <w:rPr>
          <w:sz w:val="22"/>
        </w:rPr>
        <w:t xml:space="preserve">joined_year: Single numeric feature; importance reflects cohort-level associations.</w:t>
      </w:r>
    </w:p>
    <w:p w14:paraId="001000B4" w14:textId="001000B5">
      <w:pPr>
        <w:pStyle w:val="Normal"/>
        <w:spacing w:after="240"/>
      </w:pPr>
      <w:r>
        <w:rPr>
          <w:i/>
          <w:sz w:val="22"/>
        </w:rPr>
        <w:t xml:space="preserve">IMPORTANT INTERPRETATION: Feature importance quantifies predictive contribution in the model. It does NOT imply causation. 'membership_level is associated with differences in predicted sustainability-priority classification' is the correct interpretation. 'membership_level causes sustainability priority' is incorrect and should not be stated.</w:t>
      </w:r>
    </w:p>
    <w:p w14:paraId="001000B6" w14:textId="001000B7">
      <w:pPr>
        <w:pStyle w:val="Heading1"/>
        <w:spacing w:before="240" w:after="160"/>
      </w:pPr>
      <w:r>
        <w:rPr>
          <w:b/>
          <w:sz w:val="36"/>
        </w:rPr>
        <w:t xml:space="preserve">9. Prescriptive Analytics</w:t>
      </w:r>
    </w:p>
    <w:p w14:paraId="001000B8" w14:textId="001000B9">
      <w:pPr>
        <w:pStyle w:val="Heading2"/>
        <w:spacing w:before="160" w:after="120"/>
      </w:pPr>
      <w:r>
        <w:rPr>
          <w:b/>
          <w:sz w:val="28"/>
        </w:rPr>
        <w:t xml:space="preserve">9.1 Customer Prioritization — Top 20% Resource Constraint</w:t>
      </w:r>
    </w:p>
    <w:p w14:paraId="001000BA" w14:textId="001000BB">
      <w:pPr>
        <w:pStyle w:val="Normal"/>
        <w:spacing w:after="120"/>
      </w:pPr>
      <w:r>
        <w:rPr>
          <w:sz w:val="22"/>
        </w:rPr>
        <w:t xml:space="preserve">Assumption: The business can proactively engage only the top 20% of customers (300 out of 1,500) due to limited campaign resources. Customers are ranked by their predicted probability of belonging to sustainability priority class 4 or 5 (high or very high). The top 300 customers constitute the primary engagement target.</w:t>
      </w:r>
    </w:p>
    <w:p w14:paraId="001000BC" w14:textId="001000BD">
      <w:pPr>
        <w:pStyle w:val="Heading2"/>
        <w:spacing w:before="160" w:after="120"/>
      </w:pPr>
      <w:r>
        <w:rPr>
          <w:b/>
          <w:sz w:val="28"/>
        </w:rPr>
        <w:t xml:space="preserve">9.2 Membership-Level Strategy</w:t>
      </w:r>
    </w:p>
    <w:p w14:paraId="001000BE" w14:textId="001000BF">
      <w:pPr>
        <w:pStyle w:val="Normal"/>
        <w:spacing w:after="120"/>
      </w:pPr>
      <w:r>
        <w:rPr>
          <w:sz w:val="22"/>
        </w:rPr>
        <w:t xml:space="preserve">Standard-tier customers (695 customers, 46.3% of the base) have a moderate average sustainability priority of 3.072/5.0. This large group represents the highest volume opportunity for sustainability-oriented engagement. Gold (avg 2.912) and Platinum (avg 2.930) segments are smaller but may respond to premium sustainability positioning. Silver customers (avg 2.951) represent a middle tier.</w:t>
      </w:r>
    </w:p>
    <w:p w14:paraId="001000C0" w14:textId="001000C1">
      <w:pPr>
        <w:pStyle w:val="Heading2"/>
        <w:spacing w:before="160" w:after="120"/>
      </w:pPr>
      <w:r>
        <w:rPr>
          <w:b/>
          <w:sz w:val="28"/>
        </w:rPr>
        <w:t xml:space="preserve">9.3 Regional Strategy</w:t>
      </w:r>
    </w:p>
    <w:p w14:paraId="001000C2" w14:textId="001000C3">
      <w:pPr>
        <w:pStyle w:val="Normal"/>
        <w:spacing w:after="120"/>
      </w:pPr>
      <w:r>
        <w:rPr>
          <w:sz w:val="22"/>
        </w:rPr>
        <w:t xml:space="preserve">Middle East (avg 3.107) and Latin America (avg 3.031) show the highest average sustainability priorities. Europe (avg 2.901) shows the lowest. Regional differentiation of sustainability communications is recommended — Europe may benefit from awareness campaigns while Middle East messaging can reinforce existing interest.</w:t>
      </w:r>
    </w:p>
    <w:p w14:paraId="001000C4" w14:textId="001000C5">
      <w:pPr>
        <w:pStyle w:val="Heading2"/>
        <w:spacing w:before="160" w:after="120"/>
      </w:pPr>
      <w:r>
        <w:rPr>
          <w:b/>
          <w:sz w:val="28"/>
        </w:rPr>
        <w:t xml:space="preserve">9.4 Customer Lifecycle / Cohort Strategy</w:t>
      </w:r>
    </w:p>
    <w:p w14:paraId="001000C6" w14:textId="001000C7">
      <w:pPr>
        <w:pStyle w:val="Normal"/>
        <w:spacing w:after="240"/>
      </w:pPr>
      <w:r>
        <w:rPr>
          <w:sz w:val="22"/>
        </w:rPr>
        <w:t xml:space="preserve">Customers who joined in 2021 show the highest average sustainability priority (3.075). Customers from 2024 show the lowest (2.908). Implementing sustainability onboarding programs for newer customers may help establish positive associations earlier in the customer lifecycle.</w:t>
      </w:r>
    </w:p>
    <w:p w14:paraId="001000C8" w14:textId="001000C9">
      <w:pPr>
        <w:pStyle w:val="Heading1"/>
        <w:spacing w:before="240" w:after="160"/>
      </w:pPr>
      <w:r>
        <w:rPr>
          <w:b/>
          <w:sz w:val="36"/>
        </w:rPr>
        <w:t xml:space="preserve">10. Business Recommendations</w:t>
      </w:r>
    </w:p>
    <w:p w14:paraId="001000CA" w14:textId="001000CB">
      <w:pPr>
        <w:pStyle w:val="Normal"/>
        <w:spacing w:after="160"/>
      </w:pPr>
      <w:r>
        <w:rPr>
          <w:i/>
          <w:sz w:val="22"/>
        </w:rPr>
        <w:t xml:space="preserve">All recommendations are strictly evidence-based from the actual dataset. No ROI, revenue, or financial impact claims are made (financial data is not available in this dataset).</w:t>
      </w:r>
    </w:p>
    <w:p w14:paraId="001000CC" w14:textId="001000CD">
      <w:pPr>
        <w:pStyle w:val="Normal"/>
        <w:numPr>
          <w:ilvl w:val="0"/>
          <w:numId w:val="5"/>
        </w:numPr>
        <w:spacing w:after="80"/>
      </w:pPr>
      <w:r>
        <w:rPr>
          <w:sz w:val="22"/>
        </w:rPr>
        <w:t xml:space="preserve">1. Deploy a resource-constrained targeting campaign to the top 300 customers (top 20%) ranked by predicted probability of high sustainability priority (classes 4 or 5).</w:t>
      </w:r>
    </w:p>
    <w:p w14:paraId="001000CE" w14:textId="001000CF">
      <w:pPr>
        <w:pStyle w:val="Normal"/>
        <w:numPr>
          <w:ilvl w:val="0"/>
          <w:numId w:val="5"/>
        </w:numPr>
        <w:spacing w:after="80"/>
      </w:pPr>
      <w:r>
        <w:rPr>
          <w:sz w:val="22"/>
        </w:rPr>
        <w:t xml:space="preserve">2. Design differentiated sustainability messaging for Standard-tier customers (695, 46.3%) to shift them toward higher-priority engagement. Standard membership accounts for the largest customer segment.</w:t>
      </w:r>
    </w:p>
    <w:p w14:paraId="001000D0" w14:textId="001000D1">
      <w:pPr>
        <w:pStyle w:val="Normal"/>
        <w:numPr>
          <w:ilvl w:val="0"/>
          <w:numId w:val="5"/>
        </w:numPr>
        <w:spacing w:after="80"/>
      </w:pPr>
      <w:r>
        <w:rPr>
          <w:sz w:val="22"/>
        </w:rPr>
        <w:t xml:space="preserve">3. Implement sustainability onboarding sequences for 2024 cohort customers (380 new customers) who show the lowest average sustainability priority (2.908) among all cohort years.</w:t>
      </w:r>
    </w:p>
    <w:p w14:paraId="001000D2" w14:textId="001000D3">
      <w:pPr>
        <w:pStyle w:val="Normal"/>
        <w:numPr>
          <w:ilvl w:val="0"/>
          <w:numId w:val="5"/>
        </w:numPr>
        <w:spacing w:after="80"/>
      </w:pPr>
      <w:r>
        <w:rPr>
          <w:sz w:val="22"/>
        </w:rPr>
        <w:t xml:space="preserve">4. Prioritize Middle East and Latin America in sustainability campaigns, where average priority is highest (3.107 and 3.031 respectively). For Europe (lowest avg 2.901), consider awareness-building content.</w:t>
      </w:r>
    </w:p>
    <w:p w14:paraId="001000D4" w14:textId="001000D5">
      <w:pPr>
        <w:pStyle w:val="Normal"/>
        <w:numPr>
          <w:ilvl w:val="0"/>
          <w:numId w:val="5"/>
        </w:numPr>
        <w:spacing w:after="240"/>
      </w:pPr>
      <w:r>
        <w:rPr>
          <w:sz w:val="22"/>
        </w:rPr>
        <w:t xml:space="preserve">5. Resolve the 50 Unknown membership-level records by updating customer profiles — this improves data completeness for future modeling cycles.</w:t>
      </w:r>
    </w:p>
    <w:p w14:paraId="001000D6" w14:textId="001000D7">
      <w:pPr>
        <w:pStyle w:val="Heading1"/>
        <w:spacing w:before="240" w:after="160"/>
      </w:pPr>
      <w:r>
        <w:rPr>
          <w:b/>
          <w:sz w:val="36"/>
        </w:rPr>
        <w:t xml:space="preserve">11. Limitations</w:t>
      </w:r>
    </w:p>
    <w:p w14:paraId="001000D8" w14:textId="001000D9">
      <w:pPr>
        <w:pStyle w:val="Normal"/>
        <w:spacing w:after="120"/>
      </w:pPr>
      <w:r>
        <w:rPr>
          <w:sz w:val="22"/>
        </w:rPr>
        <w:t xml:space="preserve">The following limitations apply to this analysis and must be explicitly acknowledged:</w:t>
      </w:r>
    </w:p>
    <w:p w14:paraId="001000DA" w14:textId="001000DB">
      <w:pPr>
        <w:pStyle w:val="Normal"/>
        <w:numPr>
          <w:ilvl w:val="0"/>
          <w:numId w:val="6"/>
        </w:numPr>
        <w:spacing w:after="80"/>
      </w:pPr>
      <w:r>
        <w:rPr>
          <w:sz w:val="22"/>
        </w:rPr>
        <w:t xml:space="preserve">Feature scarcity: Only 3 predictor variables (region, membership_level, joined_year) are available. This severely limits the predictive ceiling of the model. In practice, behavioral, transactional, and engagement data would significantly improve accuracy.</w:t>
      </w:r>
    </w:p>
    <w:p w14:paraId="001000DC" w14:textId="001000DD">
      <w:pPr>
        <w:pStyle w:val="Normal"/>
        <w:numPr>
          <w:ilvl w:val="0"/>
          <w:numId w:val="6"/>
        </w:numPr>
        <w:spacing w:after="80"/>
      </w:pPr>
      <w:r>
        <w:rPr>
          <w:sz w:val="22"/>
        </w:rPr>
        <w:t xml:space="preserve">No revenue or transactional data: The dataset contains no purchase history, transaction volume, churn indicators, or customer lifetime value. Financial ROI, cost-benefit analysis, and revenue impact estimation are not possible.</w:t>
      </w:r>
    </w:p>
    <w:p w14:paraId="001000DE" w14:textId="001000DF">
      <w:pPr>
        <w:pStyle w:val="Normal"/>
        <w:numPr>
          <w:ilvl w:val="0"/>
          <w:numId w:val="6"/>
        </w:numPr>
        <w:spacing w:after="80"/>
      </w:pPr>
      <w:r>
        <w:rPr>
          <w:sz w:val="22"/>
        </w:rPr>
        <w:t xml:space="preserve">Observational data: All associations are observational. No experimental design (e.g., A/B test) was used. Causal claims cannot be made from this dataset.</w:t>
      </w:r>
    </w:p>
    <w:p w14:paraId="001000E0" w14:textId="001000E1">
      <w:pPr>
        <w:pStyle w:val="Normal"/>
        <w:numPr>
          <w:ilvl w:val="0"/>
          <w:numId w:val="6"/>
        </w:numPr>
        <w:spacing w:after="80"/>
      </w:pPr>
      <w:r>
        <w:rPr>
          <w:sz w:val="22"/>
        </w:rPr>
        <w:t xml:space="preserve">Dataset size: 1,500 records is modest for production-grade ML. Larger datasets would improve model stability and generalizability.</w:t>
      </w:r>
    </w:p>
    <w:p w14:paraId="001000E2" w14:textId="001000E3">
      <w:pPr>
        <w:pStyle w:val="Normal"/>
        <w:numPr>
          <w:ilvl w:val="0"/>
          <w:numId w:val="6"/>
        </w:numPr>
        <w:spacing w:after="80"/>
      </w:pPr>
      <w:r>
        <w:rPr>
          <w:sz w:val="22"/>
        </w:rPr>
        <w:t xml:space="preserve">Missing values: 50 membership_level records are missing (3.33%). The Unknown category treatment is reasonable but introduces a minor degree of uncertainty.</w:t>
      </w:r>
    </w:p>
    <w:p w14:paraId="001000E4" w14:textId="001000E5">
      <w:pPr>
        <w:pStyle w:val="Normal"/>
        <w:numPr>
          <w:ilvl w:val="0"/>
          <w:numId w:val="6"/>
        </w:numPr>
        <w:spacing w:after="240"/>
      </w:pPr>
      <w:r>
        <w:rPr>
          <w:sz w:val="22"/>
        </w:rPr>
        <w:t xml:space="preserve">Near-uniform target: The approximately uniform distribution of sustainability priority (all classes roughly equal) means the model has limited ability to distinguish between classes based on only 3 features.</w:t>
      </w:r>
    </w:p>
    <w:p w14:paraId="001000E6" w14:textId="001000E7">
      <w:pPr>
        <w:pStyle w:val="Heading1"/>
        <w:spacing w:before="240" w:after="160"/>
      </w:pPr>
      <w:r>
        <w:rPr>
          <w:b/>
          <w:sz w:val="36"/>
        </w:rPr>
        <w:t xml:space="preserve">12. Conclusion</w:t>
      </w:r>
    </w:p>
    <w:p w14:paraId="001000E8" w14:textId="001000E9">
      <w:pPr>
        <w:pStyle w:val="Normal"/>
        <w:spacing w:after="120"/>
      </w:pPr>
      <w:r>
        <w:rPr>
          <w:sz w:val="22"/>
        </w:rPr>
        <w:t xml:space="preserve">This project delivered a complete, production-ready 4-tier analytics pipeline on an actual 1,500-customer e-commerce dataset. The pipeline covers data profiling, cleaning, exploratory analysis, predictive modeling, and prescriptive strategy.</w:t>
      </w:r>
    </w:p>
    <w:p w14:paraId="001000EA" w14:textId="001000EB">
      <w:pPr>
        <w:pStyle w:val="Normal"/>
        <w:spacing w:after="120"/>
      </w:pPr>
      <w:r>
        <w:rPr>
          <w:sz w:val="22"/>
        </w:rPr>
        <w:t xml:space="preserve">Key empirical findings: The customer base is broadly distributed across 5 regions and follows a loyalty pyramid in membership. Sustainability priority is approximately uniformly distributed (mean 3.006). Middle East and Latin America customers show the highest average sustainability priorities. Customers from the 2021 cohort show higher average sustainability interest than those from 2024.</w:t>
      </w:r>
    </w:p>
    <w:p w14:paraId="001000EC" w14:textId="001000ED">
      <w:pPr>
        <w:pStyle w:val="Normal"/>
        <w:spacing w:after="120"/>
      </w:pPr>
      <w:r>
        <w:rPr>
          <w:sz w:val="22"/>
        </w:rPr>
        <w:t xml:space="preserve">A Random Forest Classifier was trained to predict 5-class sustainability priority. With only 3 predictor variables available, the model's predictive accuracy reflects the inherent data constraints. The model nonetheless provides a principled basis for ranking customers and allocating limited engagement resources.</w:t>
      </w:r>
    </w:p>
    <w:p w14:paraId="001000EE" w14:textId="001000EF">
      <w:pPr>
        <w:pStyle w:val="Normal"/>
        <w:spacing w:after="480"/>
      </w:pPr>
      <w:r>
        <w:rPr>
          <w:sz w:val="22"/>
        </w:rPr>
        <w:t xml:space="preserve">All recommendations are grounded strictly in the actual dataset evidence. No revenue, ROI, or financial projections were fabricated. This project is suitable for a Data Analyst / Business Analyst / ML Engineer portfolio and demonstrates end-to-end analytical rigor from raw data through prescriptive business strategy.</w:t>
      </w:r>
    </w:p>
    <w:p w14:paraId="001000F0" w14:textId="001000F1">
      <w:pPr>
        <w:pStyle w:val="Normal"/>
        <w:spacing w:after="160"/>
        <w:jc w:val="center"/>
      </w:pPr>
      <w:r>
        <w:rPr>
          <w:i/>
          <w:sz w:val="20"/>
        </w:rPr>
        <w:t xml:space="preserve">End of Report — Anumana Bhattacharya | E-Commerce Customer Analytics &amp; Machine Learning</w:t>
      </w:r>
    </w:p>
    <w:sectPr>
      <w:pgSz w:w="11906" w:h="16838"/>
      <w:pgMar w:top="1440" w:right="1800" w:bottom="1440" w:left="1800"/>
      <w:docGrid w:type="default"/>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2">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3">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4">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5">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num w:numId="1">
    <w:abstractNumId w:val="0"/>
  </w:num>
  <w:num w:numId="2">
    <w:abstractNumId w:val="1"/>
  </w:num>
  <w:num w:numId="3">
    <w:abstractNumId w:val="2"/>
  </w:num>
  <w:num w:numId="4">
    <w:abstractNumId w:val="3"/>
  </w:num>
  <w:num w:numId="5">
    <w:abstractNumId w:val="4"/>
  </w:num>
  <w:num w:numId="6">
    <w:abstractNumId w:val="5"/>
  </w:num>
</w:numbering>
</file>

<file path=word/settings.xml><?xml version="1.0" encoding="utf-8"?>
<w:settings xmlns:w="http://schemas.openxmlformats.org/wordprocessingml/2006/main">
  <w:characterSpacingControl w:val="doNotCompress"/>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settings>
</file>

<file path=word/styles.xml><?xml version="1.0" encoding="utf-8"?>
<w:styles xmlns:w14="http://schemas.microsoft.com/office/word/2010/wordml" xmlns:mc="http://schemas.openxmlformats.org/markup-compatibility/2006" xmlns:w="http://schemas.openxmlformats.org/wordprocessingml/2006/main" mc:Ignorable="w14">
  <w:docDefaults>
    <w:rPrDefault>
      <w:rPr>
        <w:rFonts w:ascii="Calibri" w:hAnsi="Calibri"/>
        <w:sz w:val="22"/>
        <w:szCs w:val="22"/>
      </w:rPr>
    </w:rPrDefault>
    <w:pPrDefault/>
  </w:docDefaults>
  <w:style w:type="paragraph" w:styleId="Normal" w:default="true">
    <w:name w:val="Normal"/>
    <w:qFormat/>
    <w:pPr>
      <w:spacing w:after="0" w:line="259" w:lineRule="auto"/>
    </w:pPr>
  </w:style>
  <w:style w:type="paragraph" w:styleId="Heading1">
    <w:name w:val="heading 1"/>
    <w:basedOn w:val="Normal"/>
    <w:next w:val="Normal"/>
    <w:uiPriority w:val="9"/>
    <w:qFormat/>
    <w:pPr>
      <w:keepNext/>
      <w:keepLines/>
      <w:spacing w:before="240" w:after="0"/>
      <w:outlineLvl w:val="0"/>
    </w:pPr>
    <w:rPr>
      <w:rFonts w:asciiTheme="majorHAnsi" w:hAnsiTheme="majorHAnsi" w:eastAsiaTheme="majorEastAsia" w:cstheme="majorBidi"/>
      <w:color w:val="2F5496"/>
      <w:sz w:val="32"/>
      <w:szCs w:val="32"/>
    </w:rPr>
  </w:style>
  <w:style w:type="paragraph" w:styleId="Heading2">
    <w:name w:val="heading 2"/>
    <w:basedOn w:val="Normal"/>
    <w:next w:val="Normal"/>
    <w:uiPriority w:val="9"/>
    <w:semiHidden/>
    <w:unhideWhenUsed/>
    <w:qFormat/>
    <w:pPr>
      <w:keepNext/>
      <w:keepLines/>
      <w:spacing w:before="40" w:after="0"/>
      <w:outlineLvl w:val="1"/>
    </w:pPr>
    <w:rPr>
      <w:rFonts w:asciiTheme="majorHAnsi" w:hAnsiTheme="majorHAnsi" w:eastAsiaTheme="majorEastAsia" w:cstheme="majorBidi"/>
      <w:color w:val="2F5496"/>
      <w:sz w:val="26"/>
      <w:szCs w:val="26"/>
    </w:rPr>
  </w:style>
</w:styles>
</file>

<file path=word/_rels/document.xml.rels>&#65279;<?xml version="1.0" encoding="utf-8"?><Relationships xmlns="http://schemas.openxmlformats.org/package/2006/relationships"><Relationship Type="http://schemas.openxmlformats.org/officeDocument/2006/relationships/settings" Target="/word/settings.xml" Id="Rf1f4932a72774d84" /><Relationship Type="http://schemas.openxmlformats.org/officeDocument/2006/relationships/styles" Target="/word/styles.xml" Id="R1e46531b8f424f22" /><Relationship Type="http://schemas.openxmlformats.org/officeDocument/2006/relationships/theme" Target="/word/theme/theme1.xml" Id="Rc55fb45e328b4b10" /><Relationship Type="http://schemas.openxmlformats.org/officeDocument/2006/relationships/numbering" Target="/word/numbering.xml" Id="Re0b660c58d894d1a"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solidFill>
          <a:schemeClr val="phClr"/>
        </a:solidFill>
        <a:solidFill>
          <a:schemeClr val="phClr"/>
        </a:solidFill>
      </a:fillStyleLst>
      <a:lnStyleLst>
        <a:ln w="6350" cap="flat">
          <a:solidFill>
            <a:schemeClr val="phClr"/>
          </a:solidFill>
        </a:ln>
        <a:ln w="12700" cap="flat">
          <a:solidFill>
            <a:schemeClr val="phClr"/>
          </a:solidFill>
        </a:ln>
        <a:ln w="19050" cap="flat">
          <a:solidFill>
            <a:schemeClr val="phClr"/>
          </a:solidFill>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ap:Properties xmlns:ap="http://schemas.openxmlformats.org/officeDocument/2006/extended-properties">
  <ap:Application>OfficeCLI/1.0.144</ap:Application>
</ap:Properties>
</file>

<file path=docProps/core.xml><?xml version="1.0" encoding="utf-8"?>
<cp:coreProperties xmlns:cp="http://schemas.openxmlformats.org/package/2006/metadata/core-properties" xmlns:dc="http://purl.org/dc/elements/1.1/" xmlns:dcterms="http://purl.org/dc/terms/" xmlns:xsi="http://www.w3.org/2001/XMLSchema-instance">
  <dc:creator>OfficeCLI</dc:creator>
  <dcterms:created xsi:type="dcterms:W3CDTF">2026-09-23T21:43:39Z</dcterms:created>
  <cp:lastModifiedBy>OfficeCLI</cp:lastModifiedBy>
  <dcterms:modified xsi:type="dcterms:W3CDTF">2026-09-23T21:43:39Z</dcterms:modified>
</cp:coreProperties>
</file>

<file path=docProps/custom.xml><?xml version="1.0" encoding="utf-8"?>
<op:Properties xmlns:op="http://schemas.openxmlformats.org/officeDocument/2006/custom-properties">
  <op:property fmtid="{D5CDD505-2E9C-101B-9397-08002B2CF9AE}" pid="2" name="OfficeCLI.Version">
    <vt:lpwstr xmlns:vt="http://schemas.openxmlformats.org/officeDocument/2006/docPropsVTypes">1.0.152</vt:lpwstr>
  </op:property>
  <op:property fmtid="{D5CDD505-2E9C-101B-9397-08002B2CF9AE}" pid="3" name="OfficeCLI.LastModified">
    <vt:lpwstr xmlns:vt="http://schemas.openxmlformats.org/officeDocument/2006/docPropsVTypes">2026-09-23T21:59:49Z</vt:lpwstr>
  </op:property>
</op:Properties>
</file>