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3F6B"/>
          <w:sz w:val="44"/>
          <w:szCs w:val="44"/>
        </w:rPr>
        <w:t xml:space="preserve">Account Health Index (AHI)</w:t>
      </w:r>
    </w:p>
    <w:p>
      <w:pPr>
        <w:spacing w:after="40" w:before="0"/>
      </w:pPr>
      <w:r>
        <w:rPr>
          <w:rFonts w:ascii="Arial" w:cs="Arial" w:eastAsia="Arial" w:hAnsi="Arial"/>
          <w:color w:val="666666"/>
          <w:sz w:val="26"/>
          <w:szCs w:val="26"/>
        </w:rPr>
        <w:t xml:space="preserve">North Star Metric — Product &amp; Technical Specification</w:t>
      </w:r>
    </w:p>
    <w:p>
      <w:pPr>
        <w:spacing w:after="40" w:before="0"/>
      </w:pPr>
      <w:r>
        <w:rPr>
          <w:rFonts w:ascii="Arial" w:cs="Arial" w:eastAsia="Arial" w:hAnsi="Arial"/>
          <w:color w:val="999999"/>
          <w:sz w:val="22"/>
          <w:szCs w:val="22"/>
        </w:rPr>
        <w:t xml:space="preserve">Palo Alto Networks · Global Customer Services · Principal IT PM Initiative</w:t>
      </w:r>
    </w:p>
    <w:p>
      <w:pPr>
        <w:spacing w:after="40" w:before="0"/>
      </w:pPr>
      <w:r>
        <w:rPr>
          <w:rFonts w:ascii="Arial" w:cs="Arial" w:eastAsia="Arial" w:hAnsi="Arial"/>
          <w:i/>
          <w:iCs/>
          <w:color w:val="999999"/>
          <w:sz w:val="22"/>
          <w:szCs w:val="22"/>
        </w:rPr>
        <w:t xml:space="preserve">Version 2.0 · June 2026</w:t>
      </w:r>
    </w:p>
    <w:p>
      <w:pPr>
        <w:pBdr>
          <w:bottom w:val="single" w:color="DDDDDD" w:sz="4" w:space="1"/>
        </w:pBdr>
        <w:spacing w:after="120" w:before="120"/>
      </w:pPr>
    </w:p>
    <w:p>
      <w:pPr>
        <w:pStyle w:val="Heading1"/>
        <w:spacing w:after="120" w:before="360"/>
      </w:pPr>
      <w:r>
        <w:rPr>
          <w:rFonts w:ascii="Arial" w:cs="Arial" w:eastAsia="Arial" w:hAnsi="Arial"/>
          <w:b/>
          <w:bCs/>
          <w:color w:val="1B3F6B"/>
          <w:sz w:val="32"/>
          <w:szCs w:val="32"/>
        </w:rPr>
        <w:t xml:space="preserve">1. Context &amp; Problem Statement</w:t>
      </w:r>
    </w:p>
    <w:p>
      <w:pPr>
        <w:spacing w:after="100" w:before="60"/>
      </w:pPr>
      <w:r>
        <w:rPr>
          <w:rFonts w:ascii="Arial" w:cs="Arial" w:eastAsia="Arial" w:hAnsi="Arial"/>
          <w:color w:val="333333"/>
          <w:sz w:val="22"/>
          <w:szCs w:val="22"/>
        </w:rPr>
        <w:t xml:space="preserve">Palo Alto Networks' Global Customer Services (GCS) organization is transitioning from a traditional upfront Bookings and Total Contract Value (TCV) model to an Annual Recurring Revenue (ARR) model with hybrid consumption-based pricing.</w:t>
      </w:r>
    </w:p>
    <w:p>
      <w:pPr>
        <w:spacing w:after="100" w:before="60"/>
      </w:pPr>
      <w:r>
        <w:rPr>
          <w:rFonts w:ascii="Arial" w:cs="Arial" w:eastAsia="Arial" w:hAnsi="Arial"/>
          <w:color w:val="333333"/>
          <w:sz w:val="22"/>
          <w:szCs w:val="22"/>
        </w:rPr>
        <w:t xml:space="preserve">The existing success metrics — primarily centered on bookings and initial contract value — do not capture the behaviors that drive long-term customer retention and revenue expansion. A customer may sign a large contract but never deploy the product, or may consume heavily in month one and then go dark. Neither scenario is visible in TCV alone.</w:t>
      </w:r>
    </w:p>
    <w:p>
      <w:pPr>
        <w:spacing w:after="100" w:before="60"/>
      </w:pPr>
      <w:r>
        <w:rPr>
          <w:rFonts w:ascii="Arial" w:cs="Arial" w:eastAsia="Arial" w:hAnsi="Arial"/>
          <w:color w:val="333333"/>
          <w:sz w:val="22"/>
          <w:szCs w:val="22"/>
        </w:rPr>
        <w:t xml:space="preserve">GCS leadership needs a single North Star metric that balances four dimensions of account health:</w:t>
      </w:r>
    </w:p>
    <w:p>
      <w:pPr>
        <w:pStyle w:val="ListParagraph"/>
        <w:numPr>
          <w:ilvl w:val="0"/>
          <w:numId w:val="2"/>
        </w:numPr>
        <w:spacing w:after="40" w:before="40"/>
      </w:pPr>
      <w:r>
        <w:rPr>
          <w:rFonts w:ascii="Arial" w:cs="Arial" w:eastAsia="Arial" w:hAnsi="Arial"/>
          <w:color w:val="333333"/>
          <w:sz w:val="22"/>
          <w:szCs w:val="22"/>
        </w:rPr>
        <w:t xml:space="preserve">Initial contract deployment — are purchased products actively in use?</w:t>
      </w:r>
    </w:p>
    <w:p>
      <w:pPr>
        <w:pStyle w:val="ListParagraph"/>
        <w:numPr>
          <w:ilvl w:val="0"/>
          <w:numId w:val="2"/>
        </w:numPr>
        <w:spacing w:after="40" w:before="40"/>
      </w:pPr>
      <w:r>
        <w:rPr>
          <w:rFonts w:ascii="Arial" w:cs="Arial" w:eastAsia="Arial" w:hAnsi="Arial"/>
          <w:color w:val="333333"/>
          <w:sz w:val="22"/>
          <w:szCs w:val="22"/>
        </w:rPr>
        <w:t xml:space="preserve">Consumption health — is the customer consuming committed compute credits at a sustainable rate?</w:t>
      </w:r>
    </w:p>
    <w:p>
      <w:pPr>
        <w:pStyle w:val="ListParagraph"/>
        <w:numPr>
          <w:ilvl w:val="0"/>
          <w:numId w:val="2"/>
        </w:numPr>
        <w:spacing w:after="40" w:before="40"/>
      </w:pPr>
      <w:r>
        <w:rPr>
          <w:rFonts w:ascii="Arial" w:cs="Arial" w:eastAsia="Arial" w:hAnsi="Arial"/>
          <w:color w:val="333333"/>
          <w:sz w:val="22"/>
          <w:szCs w:val="22"/>
        </w:rPr>
        <w:t xml:space="preserve">Platform stability — is the technical experience clean, or is the account burdened with open support issues?</w:t>
      </w:r>
    </w:p>
    <w:p>
      <w:pPr>
        <w:pStyle w:val="ListParagraph"/>
        <w:numPr>
          <w:ilvl w:val="0"/>
          <w:numId w:val="2"/>
        </w:numPr>
        <w:spacing w:after="40" w:before="40"/>
      </w:pPr>
      <w:r>
        <w:rPr>
          <w:rFonts w:ascii="Arial" w:cs="Arial" w:eastAsia="Arial" w:hAnsi="Arial"/>
          <w:color w:val="333333"/>
          <w:sz w:val="22"/>
          <w:szCs w:val="22"/>
        </w:rPr>
        <w:t xml:space="preserve">Engagement trajectory — is usage trending up, flat, or declining over time?</w:t>
      </w:r>
    </w:p>
    <w:p>
      <w:pPr>
        <w:pBdr>
          <w:bottom w:val="single" w:color="DDDDDD" w:sz="4" w:space="1"/>
        </w:pBdr>
        <w:spacing w:after="120" w:before="120"/>
      </w:pPr>
    </w:p>
    <w:p>
      <w:pPr>
        <w:pStyle w:val="Heading1"/>
        <w:spacing w:after="120" w:before="360"/>
      </w:pPr>
      <w:r>
        <w:rPr>
          <w:rFonts w:ascii="Arial" w:cs="Arial" w:eastAsia="Arial" w:hAnsi="Arial"/>
          <w:b/>
          <w:bCs/>
          <w:color w:val="1B3F6B"/>
          <w:sz w:val="32"/>
          <w:szCs w:val="32"/>
        </w:rPr>
        <w:t xml:space="preserve">2. Data Strategy</w:t>
      </w:r>
    </w:p>
    <w:p>
      <w:pPr>
        <w:spacing w:after="100" w:before="60"/>
      </w:pPr>
      <w:r>
        <w:rPr>
          <w:rFonts w:ascii="Arial" w:cs="Arial" w:eastAsia="Arial" w:hAnsi="Arial"/>
          <w:color w:val="333333"/>
          <w:sz w:val="22"/>
          <w:szCs w:val="22"/>
        </w:rPr>
        <w:t xml:space="preserve">Data strategy for this initiative covers three questions: why synthetic data, how it was designed, and how quality and business alignment were ensured throughout.</w:t>
      </w:r>
    </w:p>
    <w:p>
      <w:pPr>
        <w:pStyle w:val="Heading2"/>
        <w:spacing w:after="80" w:before="280"/>
      </w:pPr>
      <w:r>
        <w:rPr>
          <w:rFonts w:ascii="Arial" w:cs="Arial" w:eastAsia="Arial" w:hAnsi="Arial"/>
          <w:b/>
          <w:bCs/>
          <w:color w:val="1B3F6B"/>
          <w:sz w:val="26"/>
          <w:szCs w:val="26"/>
        </w:rPr>
        <w:t xml:space="preserve">2.1 Why synthetic data</w:t>
      </w:r>
    </w:p>
    <w:p>
      <w:pPr>
        <w:spacing w:after="100" w:before="60"/>
      </w:pPr>
      <w:r>
        <w:rPr>
          <w:rFonts w:ascii="Arial" w:cs="Arial" w:eastAsia="Arial" w:hAnsi="Arial"/>
          <w:color w:val="333333"/>
          <w:sz w:val="22"/>
          <w:szCs w:val="22"/>
        </w:rPr>
        <w:t xml:space="preserve">PAN's proprietary customer consumption data cannot be shared in a case study context. Synthetic data solves this while enabling a more rigorous design process: rather than fitting a metric to whatever data happens to exist, the dataset was co-designed with the metric — every table structure, edge case, and anomaly rate was chosen specifically to stress-test AHI's design assumptions.</w:t>
      </w:r>
    </w:p>
    <w:p>
      <w:pPr>
        <w:spacing w:after="100" w:before="60"/>
      </w:pPr>
      <w:r>
        <w:rPr>
          <w:rFonts w:ascii="Arial" w:cs="Arial" w:eastAsia="Arial" w:hAnsi="Arial"/>
          <w:color w:val="333333"/>
          <w:sz w:val="22"/>
          <w:szCs w:val="22"/>
        </w:rPr>
        <w:t xml:space="preserve">This co-design approach is the key distinction between synthetic data done well and synthetic data done as a shortcut. The dataset does not exist to fill a repo. It exists to prove that AHI handles the real-world data pathologies that would break a naive metric.</w:t>
      </w:r>
    </w:p>
    <w:p>
      <w:pPr>
        <w:pStyle w:val="Heading2"/>
        <w:spacing w:after="80" w:before="280"/>
      </w:pPr>
      <w:r>
        <w:rPr>
          <w:rFonts w:ascii="Arial" w:cs="Arial" w:eastAsia="Arial" w:hAnsi="Arial"/>
          <w:b/>
          <w:bCs/>
          <w:color w:val="1B3F6B"/>
          <w:sz w:val="26"/>
          <w:szCs w:val="26"/>
        </w:rPr>
        <w:t xml:space="preserve">2.2 Generation approach</w:t>
      </w:r>
    </w:p>
    <w:p>
      <w:pPr>
        <w:spacing w:after="100" w:before="60"/>
      </w:pPr>
      <w:r>
        <w:rPr>
          <w:rFonts w:ascii="Arial" w:cs="Arial" w:eastAsia="Arial" w:hAnsi="Arial"/>
          <w:color w:val="333333"/>
          <w:sz w:val="22"/>
          <w:szCs w:val="22"/>
        </w:rPr>
        <w:t xml:space="preserve">The synthetic dataset was generated using a Python script (Faker + Pandas) with AI-assisted development via Claude. The generation spec was written first as a Markdown document — defining table schemas, row counts, relationship constraints, and edge case injection rates — before a single line of code was written. Claude then translated the spec into executable Python, with iterative refinement to ensure edge cases were injected at the correct prevalence rates and relationships between tables were referentially consistent.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Row Count</w:t>
            </w:r>
          </w:p>
        </w:tc>
        <w:tc>
          <w:tcPr>
            <w:tcW w:type="dxa" w:w="65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Design 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CSM_rep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rows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Provides the rollup hierarchy for comp calculations. Segmented by Enterprise and Mid-Market to enable performance analysis by segment.</w:t>
            </w:r>
          </w:p>
        </w:tc>
      </w:tr>
      <w:tr>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Accounts</w:t>
            </w:r>
          </w:p>
        </w:tc>
        <w:tc>
          <w:tcPr>
            <w:tcW w:type="dxa" w:w="1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~1,000 rows</w:t>
            </w:r>
          </w:p>
        </w:tc>
        <w:tc>
          <w:tcPr>
            <w:tcW w:type="dxa" w:w="6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Master account list. Referential integrity anchor — all other tables join through account_id. Orphaned usage edge case is seeded by creating usage logs with account_ids absent from this table.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~1,200 rows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More rows than accounts to support mid-year expansion edge case (some accounts have two active contracts). Includes annual_commit_dollars and included_monthly_compute_credits as the Consumption Health denominator.</w:t>
            </w:r>
          </w:p>
        </w:tc>
      </w:tr>
      <w:tr>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Account_Health</w:t>
            </w:r>
          </w:p>
        </w:tc>
        <w:tc>
          <w:tcPr>
            <w:tcW w:type="dxa" w:w="1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~50,000 rows</w:t>
            </w:r>
          </w:p>
        </w:tc>
        <w:tc>
          <w:tcPr>
            <w:tcW w:type="dxa" w:w="6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Monthly aggregate health color and consumption per account across 12 months. Used as reconciliation check against Daily_Usage_Logs in DQ Layer 1 construct validity test.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Daily_Usage_Logs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~200,000 rows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Granular daily consumption. Primary input for Consumption Health and Engagement Trend. Spike-and-drop, shelfware, overage, and orphaned usage edge cases are all injected at this table level.</w:t>
            </w:r>
          </w:p>
        </w:tc>
      </w:tr>
    </w:tbl>
    <w:p>
      <w:pPr>
        <w:spacing w:after="80" w:before="120"/>
      </w:pPr>
    </w:p>
    <w:p>
      <w:pPr>
        <w:pStyle w:val="Heading2"/>
        <w:spacing w:after="80" w:before="280"/>
      </w:pPr>
      <w:r>
        <w:rPr>
          <w:rFonts w:ascii="Arial" w:cs="Arial" w:eastAsia="Arial" w:hAnsi="Arial"/>
          <w:b/>
          <w:bCs/>
          <w:color w:val="1B3F6B"/>
          <w:sz w:val="26"/>
          <w:szCs w:val="26"/>
        </w:rPr>
        <w:t xml:space="preserve">2.3 Deliberate edge case design</w:t>
      </w:r>
    </w:p>
    <w:p>
      <w:pPr>
        <w:spacing w:after="100" w:before="60"/>
      </w:pPr>
      <w:r>
        <w:rPr>
          <w:rFonts w:ascii="Arial" w:cs="Arial" w:eastAsia="Arial" w:hAnsi="Arial"/>
          <w:color w:val="333333"/>
          <w:sz w:val="22"/>
          <w:szCs w:val="22"/>
        </w:rPr>
        <w:t xml:space="preserve">Five edge cases were seeded deliberately into the dataset. Each was chosen because it represents a real B2B SaaS data pathology that a naive metric would either mishandle or miss entirely. The prevalence rates reflect realistic enterprise portfolio distributions, not arbitrary choices.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800"/>
        <w:gridCol w:w="1800"/>
        <w:gridCol w:w="3260"/>
      </w:tblGrid>
      <w:tr>
        <w:trPr>
          <w:tblHeader/>
        </w:trPr>
        <w:tc>
          <w:tcPr>
            <w:tcW w:type="dxa" w:w="14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11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Prevalence</w:t>
            </w:r>
          </w:p>
        </w:tc>
        <w:tc>
          <w:tcPr>
            <w:tcW w:type="dxa" w:w="1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Why This Rate</w:t>
            </w:r>
          </w:p>
        </w:tc>
        <w:tc>
          <w:tcPr>
            <w:tcW w:type="dxa" w:w="1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Which Dimension Catches It</w:t>
            </w:r>
          </w:p>
        </w:tc>
        <w:tc>
          <w:tcPr>
            <w:tcW w:type="dxa" w:w="32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What Breaks Without 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Spike &amp; Drop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of accounts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Matches observed churn precursor rate in enterprise SaaS literature. Too low to dominate the portfolio, high enough to be meaningful in a 1,000-account dataset (~50 accounts).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Engagement Trend (0.5× anomaly multiplier via Isolation Forest)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metric using only point-in-time consumption would score a spike-and-drop account as Healthy in month 1 and miss the collapse entirely.</w:t>
            </w:r>
          </w:p>
        </w:tc>
      </w:tr>
      <w:tr>
        <w:tc>
          <w:tcPr>
            <w:tcW w:type="dxa" w:w="1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Shelfware</w:t>
            </w:r>
          </w:p>
        </w:tc>
        <w:tc>
          <w:tcPr>
            <w:tcW w:type="dxa" w:w="11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~10% of accounts</w:t>
            </w:r>
          </w:p>
        </w:tc>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Industry estimates place shelfware at 10-30% of enterprise software contracts. Conservative end chosen to avoid overstating the problem in a PAN-specific context.</w:t>
            </w:r>
          </w:p>
        </w:tc>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Deployment Depth + Consumption Health (both score near zero)</w:t>
            </w:r>
          </w:p>
        </w:tc>
        <w:tc>
          <w:tcPr>
            <w:tcW w:type="dxa" w:w="32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 metric measuring only ARR or contract value would show these accounts as high-value. AHI shows them as Churning.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Consistent Overages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of accounts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Overage accounts are common in consumption models during the early adoption phase. 15% reflects a healthy but not runaway adoption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Consumption Health (0.85× penalty above 120%)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Without an overage signal, CSMs have no metric incentive to right-size contracts. Expansion revenue gets left on the table.</w:t>
            </w:r>
          </w:p>
        </w:tc>
      </w:tr>
      <w:tr>
        <w:tc>
          <w:tcPr>
            <w:tcW w:type="dxa" w:w="1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Mid-Year Expansions</w:t>
            </w:r>
          </w:p>
        </w:tc>
        <w:tc>
          <w:tcPr>
            <w:tcW w:type="dxa" w:w="11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Several accounts</w:t>
            </w:r>
          </w:p>
        </w:tc>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Kept small to test the denominator reset logic without distorting the overall portfolio distribution.</w:t>
            </w:r>
          </w:p>
        </w:tc>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Contract Expansion (resets committed_credits baseline)</w:t>
            </w:r>
          </w:p>
        </w:tc>
        <w:tc>
          <w:tcPr>
            <w:tcW w:type="dxa" w:w="32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Without the reset, a mid-year expansion account's consumption ratio is calculated against the wrong denominator, artificially inflating or deflating the score.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Orphaned/Rogue Usage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few hundred log rows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 enough to be realistic (data pipeline errors, not systemic failure) but large enough to be caught by DQ tests on a dataset of this 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DQ test layer (excluded before AHI runs)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Without the DQ catch, orphaned usage leaks into consumption calculations, inflating scores for accounts that don't exist or have expired contracts.</w:t>
            </w:r>
          </w:p>
        </w:tc>
      </w:tr>
    </w:tbl>
    <w:p>
      <w:pPr>
        <w:spacing w:after="80" w:before="120"/>
      </w:pPr>
    </w:p>
    <w:p>
      <w:pPr>
        <w:pStyle w:val="Heading2"/>
        <w:spacing w:after="80" w:before="280"/>
      </w:pPr>
      <w:r>
        <w:rPr>
          <w:rFonts w:ascii="Arial" w:cs="Arial" w:eastAsia="Arial" w:hAnsi="Arial"/>
          <w:b/>
          <w:bCs/>
          <w:color w:val="1B3F6B"/>
          <w:sz w:val="26"/>
          <w:szCs w:val="26"/>
        </w:rPr>
        <w:t xml:space="preserve">2.4 Data quality assurance</w:t>
      </w:r>
    </w:p>
    <w:p>
      <w:pPr>
        <w:spacing w:after="100" w:before="60"/>
      </w:pPr>
      <w:r>
        <w:rPr>
          <w:rFonts w:ascii="Arial" w:cs="Arial" w:eastAsia="Arial" w:hAnsi="Arial"/>
          <w:color w:val="333333"/>
          <w:sz w:val="22"/>
          <w:szCs w:val="22"/>
        </w:rPr>
        <w:t xml:space="preserve">Quality was enforced at two levels: generation-time and pipeline-time.</w:t>
      </w:r>
    </w:p>
    <w:p>
      <w:pPr>
        <w:spacing w:after="100" w:before="60"/>
      </w:pPr>
      <w:r>
        <w:rPr>
          <w:rFonts w:ascii="Arial" w:cs="Arial" w:eastAsia="Arial" w:hAnsi="Arial"/>
          <w:color w:val="333333"/>
          <w:sz w:val="22"/>
          <w:szCs w:val="22"/>
        </w:rPr>
        <w:t xml:space="preserve">Generation-time: referential integrity between tables was enforced in the Python script — every account_id in Contracts, Account_Health, and Daily_Usage_Logs exists in the Accounts table, except for the deliberately seeded orphaned usage rows. Date ranges were validated to ensure contract start dates precede end dates and that the majority of usage logs fall within active contract periods.</w:t>
      </w:r>
    </w:p>
    <w:p>
      <w:pPr>
        <w:spacing w:after="100" w:before="60"/>
      </w:pPr>
      <w:r>
        <w:rPr>
          <w:rFonts w:ascii="Arial" w:cs="Arial" w:eastAsia="Arial" w:hAnsi="Arial"/>
          <w:color w:val="333333"/>
          <w:sz w:val="22"/>
          <w:szCs w:val="22"/>
        </w:rPr>
        <w:t xml:space="preserve">Pipeline-time: six automated DQ assertions run before every AHI calculation. Any assertion failure halts the pipeline and routes the failing rows to a quarantine table for engineering review rather than silently corrupting the metric output. This is the same pattern used in production data pipelines — quality gates, not quality hopes.</w:t>
      </w:r>
    </w:p>
    <w:p>
      <w:pPr>
        <w:pStyle w:val="Heading2"/>
        <w:spacing w:after="80" w:before="280"/>
      </w:pPr>
      <w:r>
        <w:rPr>
          <w:rFonts w:ascii="Arial" w:cs="Arial" w:eastAsia="Arial" w:hAnsi="Arial"/>
          <w:b/>
          <w:bCs/>
          <w:color w:val="1B3F6B"/>
          <w:sz w:val="26"/>
          <w:szCs w:val="26"/>
        </w:rPr>
        <w:t xml:space="preserve">2.5 Alignment to business use case</w:t>
      </w:r>
    </w:p>
    <w:p>
      <w:pPr>
        <w:spacing w:after="100" w:before="60"/>
      </w:pPr>
      <w:r>
        <w:rPr>
          <w:rFonts w:ascii="Arial" w:cs="Arial" w:eastAsia="Arial" w:hAnsi="Arial"/>
          <w:color w:val="333333"/>
          <w:sz w:val="22"/>
          <w:szCs w:val="22"/>
        </w:rPr>
        <w:t xml:space="preserve">The dataset was not generated then fitted to the metric. The metric and the data were co-designed in the following sequence:</w:t>
      </w:r>
    </w:p>
    <w:p>
      <w:pPr>
        <w:pStyle w:val="ListParagraph"/>
        <w:numPr>
          <w:ilvl w:val="0"/>
          <w:numId w:val="2"/>
        </w:numPr>
        <w:spacing w:after="40" w:before="40"/>
      </w:pPr>
      <w:r>
        <w:rPr>
          <w:rFonts w:ascii="Arial" w:cs="Arial" w:eastAsia="Arial" w:hAnsi="Arial"/>
          <w:color w:val="333333"/>
          <w:sz w:val="22"/>
          <w:szCs w:val="22"/>
        </w:rPr>
        <w:t xml:space="preserve">Step 1: Define the business question (what is account health at a point in time?).</w:t>
      </w:r>
    </w:p>
    <w:p>
      <w:pPr>
        <w:pStyle w:val="ListParagraph"/>
        <w:numPr>
          <w:ilvl w:val="0"/>
          <w:numId w:val="2"/>
        </w:numPr>
        <w:spacing w:after="40" w:before="40"/>
      </w:pPr>
      <w:r>
        <w:rPr>
          <w:rFonts w:ascii="Arial" w:cs="Arial" w:eastAsia="Arial" w:hAnsi="Arial"/>
          <w:color w:val="333333"/>
          <w:sz w:val="22"/>
          <w:szCs w:val="22"/>
        </w:rPr>
        <w:t xml:space="preserve">Step 2: Identify the real-world data pathologies that make that question hard to answer (shelfware, spike-and-drop, overages, expansions, orphaned usage).</w:t>
      </w:r>
    </w:p>
    <w:p>
      <w:pPr>
        <w:pStyle w:val="ListParagraph"/>
        <w:numPr>
          <w:ilvl w:val="0"/>
          <w:numId w:val="2"/>
        </w:numPr>
        <w:spacing w:after="40" w:before="40"/>
      </w:pPr>
      <w:r>
        <w:rPr>
          <w:rFonts w:ascii="Arial" w:cs="Arial" w:eastAsia="Arial" w:hAnsi="Arial"/>
          <w:color w:val="333333"/>
          <w:sz w:val="22"/>
          <w:szCs w:val="22"/>
        </w:rPr>
        <w:t xml:space="preserve">Step 3: Design the metric dimensions to handle each pathology explicitly.</w:t>
      </w:r>
    </w:p>
    <w:p>
      <w:pPr>
        <w:pStyle w:val="ListParagraph"/>
        <w:numPr>
          <w:ilvl w:val="0"/>
          <w:numId w:val="2"/>
        </w:numPr>
        <w:spacing w:after="40" w:before="40"/>
      </w:pPr>
      <w:r>
        <w:rPr>
          <w:rFonts w:ascii="Arial" w:cs="Arial" w:eastAsia="Arial" w:hAnsi="Arial"/>
          <w:color w:val="333333"/>
          <w:sz w:val="22"/>
          <w:szCs w:val="22"/>
        </w:rPr>
        <w:t xml:space="preserve">Step 4: Generate synthetic data that contains each pathology at a realistic prevalence rate.</w:t>
      </w:r>
    </w:p>
    <w:p>
      <w:pPr>
        <w:pStyle w:val="ListParagraph"/>
        <w:numPr>
          <w:ilvl w:val="0"/>
          <w:numId w:val="2"/>
        </w:numPr>
        <w:spacing w:after="40" w:before="40"/>
      </w:pPr>
      <w:r>
        <w:rPr>
          <w:rFonts w:ascii="Arial" w:cs="Arial" w:eastAsia="Arial" w:hAnsi="Arial"/>
          <w:color w:val="333333"/>
          <w:sz w:val="22"/>
          <w:szCs w:val="22"/>
        </w:rPr>
        <w:t xml:space="preserve">Step 5: Validate that the metric handles each pathology correctly on the synthetic data before claiming it will work in production.</w:t>
      </w:r>
    </w:p>
    <w:p>
      <w:pPr>
        <w:spacing w:after="100" w:before="60"/>
      </w:pPr>
      <w:r>
        <w:rPr>
          <w:rFonts w:ascii="Arial" w:cs="Arial" w:eastAsia="Arial" w:hAnsi="Arial"/>
          <w:color w:val="333333"/>
          <w:sz w:val="22"/>
          <w:szCs w:val="22"/>
        </w:rPr>
        <w:t xml:space="preserve">This sequence — problem first, metric second, data third, validation fourth — is the correct order for building a trustworthy measurement system. Reversing it (generate data, fit a metric, declare success) produces a metric that works in the lab and fails in production.</w:t>
      </w:r>
    </w:p>
    <w:p>
      <w:pPr>
        <w:spacing w:after="80" w:before="120"/>
      </w:pPr>
    </w:p>
    <w:p>
      <w:pPr>
        <w:pStyle w:val="Heading2"/>
        <w:spacing w:after="80" w:before="280"/>
      </w:pPr>
      <w:r>
        <w:rPr>
          <w:rFonts w:ascii="Arial" w:cs="Arial" w:eastAsia="Arial" w:hAnsi="Arial"/>
          <w:b/>
          <w:bCs/>
          <w:color w:val="1B3F6B"/>
          <w:sz w:val="26"/>
          <w:szCs w:val="26"/>
        </w:rPr>
        <w:t xml:space="preserve">2.6 Explicit Assumptions</w:t>
      </w:r>
    </w:p>
    <w:p>
      <w:pPr>
        <w:spacing w:after="100" w:before="60"/>
      </w:pPr>
      <w:r>
        <w:rPr>
          <w:rFonts w:ascii="Arial" w:cs="Arial" w:eastAsia="Arial" w:hAnsi="Arial"/>
          <w:color w:val="333333"/>
          <w:sz w:val="22"/>
          <w:szCs w:val="22"/>
        </w:rPr>
        <w:t xml:space="preserve">Every design decision in the synthetic dataset rests on at least one assumption. These are documented explicitly so they can be validated, challenged, or recalibrated against real PAN data during the shadow period.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rPr>
          <w:tblHeader/>
        </w:trPr>
        <w:tc>
          <w:tcPr>
            <w:tcW w:type="dxa" w:w="2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c>
          <w:tcPr>
            <w:tcW w:type="dxa" w:w="16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Value Used</w:t>
            </w:r>
          </w:p>
        </w:tc>
        <w:tc>
          <w:tcPr>
            <w:tcW w:type="dxa" w:w="2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7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How to Validate in Production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Mid-year expansion 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 accounts (4% of portfolio)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brief says 'several accounts' with no specific number. 4% reflects a realistic mid-year upsell rate for an enterprise CS org — approximately 1 in 25 accounts expands within the year. Conservative relative to PAN's 120% NRR, which implies significant in-year expansion activity, but appropriate for a prototype dataset.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Pull actual mid-year contract amendments from Salesforce CPQ. Recalibrate expansion account count to match observed rate.</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Definition of 'high' annual_commit_dollars for shelfware</w:t>
            </w:r>
          </w:p>
        </w:tc>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Above portfolio median ARR (~$1.97M in synthetic dataset)</w:t>
            </w:r>
          </w:p>
        </w:tc>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The brief says shelfware accounts have 'high annual_commit_dollars' without defining high. Relative definition (above median) was chosen over an absolute threshold because it scales with the portfolio composition. An account at $500K is not 'high value' if the portfolio median is $2M.</w:t>
            </w:r>
          </w:p>
        </w:tc>
        <w:tc>
          <w:tcPr>
            <w:tcW w:type="dxa" w:w="2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Define high as above the 50th percentile of active ARR in the real portfolio. Recalibrate if portfolio median differs significantly.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Shelfware ARR range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$2M–$5M (forced above median)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Shelfware accounts are forced to Enterprise-tier ARR to ensure the edge case represents high-stakes accounts. A $65K shelfware account is operationally irrelevant. A $4M shelfware account is a critical CS failure.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 against real shelfware accounts in CRM — filter accounts with zero product usage in trailing 90 days and check ARR distribution.</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Spike &amp; drop definition</w:t>
            </w:r>
          </w:p>
        </w:tc>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Month 1 consumption &gt; 90% of annual committed credits; Month 2+ near zero</w:t>
            </w:r>
          </w:p>
        </w:tc>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The brief specifies 90% in Month 1 explicitly. 'Near zero' is interpreted as &lt;2% of daily baseline in months 2–12, which is operationally indistinguishable from zero but avoids division-by-zero issues in the pipeline.</w:t>
            </w:r>
          </w:p>
        </w:tc>
        <w:tc>
          <w:tcPr>
            <w:tcW w:type="dxa" w:w="2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Validate against real usage patterns by identifying accounts whose M1 share of annual consumption exceeds 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Consistent overage threshold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Average monthly consumption &gt; 120% of included_monthly_compute_credits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brief specifies 120%+ explicitly. 'Consistently' is interpreted as the account's average monthly consumption across the year exceeding 120% — not just a single month spike.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 threshold against PAN's actual overage billing logic and contract terms.</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Amendment contracts (non-expansion)</w:t>
            </w:r>
          </w:p>
        </w:tc>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163 prior-year (2024) contracts, smaller than primary, non-overlapping</w:t>
            </w:r>
          </w:p>
        </w:tc>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Added to reach the ~1,200 contract row target. Framed as prior-year product line add-ons that expired before the 2025 primary contract started. Non-overlapping by design to prevent false positives in the mid-year expansion DQ test.</w:t>
            </w:r>
          </w:p>
        </w:tc>
        <w:tc>
          <w:tcPr>
            <w:tcW w:type="dxa" w:w="2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In production, filter to contracts with start_date in the current measurement year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Orphaned usage volume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 rows total (150 ghost + 150 rogue dates)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brief says 'a few hundred.' 300 rows represents ~0.14% of total log volume — realistic for a data pipeline with occasional source system errors, but not so high as to suggest systemic failure.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Audit actual orphaned rows in the production usage log table. Adjust DQ alert thresholds accordingly.</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Account_Health row structure</w:t>
            </w:r>
          </w:p>
        </w:tc>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50 daily snapshots per account (sampled) = 50,000 rows</w:t>
            </w:r>
          </w:p>
        </w:tc>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The spec targets ~50,000 rows. Daily snapshots across 365 days × 1,000 accounts = 365,000 rows. Sampled at ~50 dates per account to hit the target while maintaining temporal spread across the year.</w:t>
            </w:r>
          </w:p>
        </w:tc>
        <w:tc>
          <w:tcPr>
            <w:tcW w:type="dxa" w:w="2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In production, Account_Health should be a daily aggregate — one row per account per day from the live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CSM segment distribution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 Enterprise / 19 Mid-Market (random assignment)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distribution guidance was given in the brief. Random assignment produces a roughly 60/40 split. In a real org, Enterprise CSMs typically manage fewer, larger accounts.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Align to actual PAN CS headcount split between Enterprise and Mid-Market segments.</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Date range</w:t>
            </w:r>
          </w:p>
        </w:tc>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Jan 1 2025 – Dec 31 2025 (12 months)</w:t>
            </w:r>
          </w:p>
        </w:tc>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The brief requires 'at least 12 months of historical data.' Exactly 12 months was used for the prototype. Orphaned rogue-date rows extend into 2026 to simulate usage outside contract dates.</w:t>
            </w:r>
          </w:p>
        </w:tc>
        <w:tc>
          <w:tcPr>
            <w:tcW w:type="dxa" w:w="2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In production, extend to 24 months to support the 120-day Engagement Trend window with sufficient historical context.</w:t>
            </w:r>
          </w:p>
        </w:tc>
      </w:tr>
    </w:tbl>
    <w:p>
      <w:pPr>
        <w:spacing w:after="80" w:before="120"/>
      </w:pPr>
    </w:p>
    <w:p>
      <w:pPr>
        <w:pBdr>
          <w:bottom w:val="single" w:color="DDDDDD" w:sz="4" w:space="1"/>
        </w:pBdr>
        <w:spacing w:after="120" w:before="120"/>
      </w:pPr>
    </w:p>
    <w:p>
      <w:pPr>
        <w:pStyle w:val="Heading1"/>
        <w:spacing w:after="120" w:before="360"/>
      </w:pPr>
      <w:r>
        <w:rPr>
          <w:rFonts w:ascii="Arial" w:cs="Arial" w:eastAsia="Arial" w:hAnsi="Arial"/>
          <w:b/>
          <w:bCs/>
          <w:color w:val="1B3F6B"/>
          <w:sz w:val="32"/>
          <w:szCs w:val="32"/>
        </w:rPr>
        <w:t xml:space="preserve">3. Data Model &amp; Output Table Schema</w:t>
      </w:r>
    </w:p>
    <w:p>
      <w:pPr>
        <w:pStyle w:val="Heading2"/>
        <w:spacing w:after="80" w:before="280"/>
      </w:pPr>
      <w:r>
        <w:rPr>
          <w:rFonts w:ascii="Arial" w:cs="Arial" w:eastAsia="Arial" w:hAnsi="Arial"/>
          <w:b/>
          <w:bCs/>
          <w:color w:val="1B3F6B"/>
          <w:sz w:val="26"/>
          <w:szCs w:val="26"/>
        </w:rPr>
        <w:t xml:space="preserve">3.1 Data Model Overview</w:t>
      </w:r>
    </w:p>
    <w:p>
      <w:pPr>
        <w:spacing w:after="100" w:before="60"/>
      </w:pPr>
      <w:r>
        <w:rPr>
          <w:rFonts w:ascii="Arial" w:cs="Arial" w:eastAsia="Arial" w:hAnsi="Arial"/>
          <w:color w:val="333333"/>
          <w:sz w:val="22"/>
          <w:szCs w:val="22"/>
        </w:rPr>
        <w:t xml:space="preserve">Storage layer: all five source tables and both output tables are provisioned in Google BigQuery Sandbox (free tier). BigQuery was selected as the storage layer because AHI calculations are analytical aggregations — window functions, monthly sums, linear regression across date ranges — not transactional queries. BigQuery's columnar storage handles this query pattern at scale without infrastructure management. All downstream metric calculations query BigQuery directly.</w:t>
      </w:r>
    </w:p>
    <w:p>
      <w:pPr>
        <w:spacing w:after="100" w:before="60"/>
      </w:pPr>
      <w:r>
        <w:rPr>
          <w:rFonts w:ascii="Arial" w:cs="Arial" w:eastAsia="Arial" w:hAnsi="Arial"/>
          <w:color w:val="333333"/>
          <w:sz w:val="22"/>
          <w:szCs w:val="22"/>
        </w:rPr>
        <w:t xml:space="preserve">AHI is calculated from five source tables. Understanding how they relate is essential for interpreting the metric correctly.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600"/>
        <w:gridCol w:w="2960"/>
      </w:tblGrid>
      <w:tr>
        <w:trPr>
          <w:tblHeader/>
        </w:trPr>
        <w:tc>
          <w:tcPr>
            <w:tcW w:type="dxa" w:w="16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36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Role in AHI</w:t>
            </w:r>
          </w:p>
        </w:tc>
        <w:tc>
          <w:tcPr>
            <w:tcW w:type="dxa" w:w="29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Joins 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CSM_rep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csm_id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Master list of all Customer Success Managers. Each rep has a name, region, and segment (Enterprise or Mid-Market). This is the table AHI rolls up to for comp purposes.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Accounts via rep_id</w:t>
            </w:r>
          </w:p>
        </w:tc>
      </w:tr>
      <w:tr>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Accounts</w:t>
            </w:r>
          </w:p>
        </w:tc>
        <w:tc>
          <w:tcPr>
            <w:tcW w:type="dxa" w:w="1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account_id</w:t>
            </w:r>
          </w:p>
        </w:tc>
        <w:tc>
          <w:tcPr>
            <w:tcW w:type="dxa" w:w="3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Master list of all customer accounts. Each account is assigned to one CSM via rep_id — the same value as csm_id in CSM_rep, just named differently in this table.</w:t>
            </w:r>
          </w:p>
        </w:tc>
        <w:tc>
          <w:tcPr>
            <w:tcW w:type="dxa" w:w="29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CSM_rep via rep_id = csm_id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 or more contracts per account defining the annual committed spend and included compute credits. The Consumption Health dimension reads from this table for the denominator.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Accounts via account_id</w:t>
            </w:r>
          </w:p>
        </w:tc>
      </w:tr>
      <w:tr>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Account_Health</w:t>
            </w:r>
          </w:p>
        </w:tc>
        <w:tc>
          <w:tcPr>
            <w:tcW w:type="dxa" w:w="1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account_id + date</w:t>
            </w:r>
          </w:p>
        </w:tc>
        <w:tc>
          <w:tcPr>
            <w:tcW w:type="dxa" w:w="3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Monthly health color and aggregate compute credits consumed per account. Used as a validation check against Daily_Usage_Logs.</w:t>
            </w:r>
          </w:p>
        </w:tc>
        <w:tc>
          <w:tcPr>
            <w:tcW w:type="dxa" w:w="29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Accounts via account_id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Daily_Usage_Logs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Granular daily compute credit consumption per account. This is the primary input for Consumption Health and Engagement Trend calculations.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Accounts via account_id</w:t>
            </w:r>
          </w:p>
        </w:tc>
      </w:tr>
    </w:tbl>
    <w:p>
      <w:pPr>
        <w:spacing w:after="80" w:before="120"/>
      </w:pPr>
    </w:p>
    <w:p>
      <w:pPr>
        <w:spacing w:after="100" w:before="60"/>
      </w:pPr>
      <w:r>
        <w:rPr>
          <w:rFonts w:ascii="Arial" w:cs="Arial" w:eastAsia="Arial" w:hAnsi="Arial"/>
          <w:color w:val="333333"/>
          <w:sz w:val="22"/>
          <w:szCs w:val="22"/>
        </w:rPr>
        <w:t xml:space="preserve">Key join note: csm_id does not appear in Contracts, Account_Health, or Daily_Usage_Logs. To attribute usage data to a CSM, the pipeline always joins through the Accounts table as the bridge: Daily_Usage_Logs → Accounts (account_id) → CSM_rep (rep_id = csm_id). This join chain is how account-level AHI scores are aggregated into a CSM-level score for compensation purposes.</w:t>
      </w:r>
    </w:p>
    <w:p>
      <w:pPr>
        <w:pStyle w:val="Heading2"/>
        <w:spacing w:after="80" w:before="280"/>
      </w:pPr>
      <w:r>
        <w:rPr>
          <w:rFonts w:ascii="Arial" w:cs="Arial" w:eastAsia="Arial" w:hAnsi="Arial"/>
          <w:b/>
          <w:bCs/>
          <w:color w:val="1B3F6B"/>
          <w:sz w:val="26"/>
          <w:szCs w:val="26"/>
        </w:rPr>
        <w:t xml:space="preserve">3.2 account_ahi_monthly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Foreign key to Accounts table</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month</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First day of the calculation 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ahi_score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FLOAT64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Composite AHI score (0–100)</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consumption_score</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FLOAT64</w:t>
            </w:r>
          </w:p>
        </w:tc>
        <w:tc>
          <w:tcPr>
            <w:tcW w:type="dxa" w:w="5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Dimension 1 score (0–100)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deployment_score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FLOAT64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Dimension 2 score (0–100)</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stability_score</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FLOAT64</w:t>
            </w:r>
          </w:p>
        </w:tc>
        <w:tc>
          <w:tcPr>
            <w:tcW w:type="dxa" w:w="5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Dimension 3 score (0–100)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expansion_score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FLOAT64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Dimension 4 score — Contract Expansion (0–100)</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trend_score</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FLOAT64</w:t>
            </w:r>
          </w:p>
        </w:tc>
        <w:tc>
          <w:tcPr>
            <w:tcW w:type="dxa" w:w="5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Dimension 5 score — Engagement Trend (0–100)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overage_flag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TRUE if raw_ratio &gt; 1.20</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orphan_usage_flag</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TRUE if orphaned usage detected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contract_overlap_flag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TRUE if overlapping active contracts exist</w:t>
            </w:r>
          </w:p>
        </w:tc>
      </w:tr>
    </w:tbl>
    <w:p>
      <w:pPr>
        <w:spacing w:after="120" w:before="120"/>
      </w:pPr>
    </w:p>
    <w:p>
      <w:pPr>
        <w:pStyle w:val="Heading2"/>
        <w:spacing w:after="80" w:before="280"/>
      </w:pPr>
      <w:r>
        <w:rPr>
          <w:rFonts w:ascii="Arial" w:cs="Arial" w:eastAsia="Arial" w:hAnsi="Arial"/>
          <w:b/>
          <w:bCs/>
          <w:color w:val="1B3F6B"/>
          <w:sz w:val="26"/>
          <w:szCs w:val="26"/>
        </w:rPr>
        <w:t xml:space="preserve">3.3 csm_ahi_monthly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csm_id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Foreign key to CSM_rep table</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month</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First day of the calculation 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ahi_score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FLOAT64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ARR-weighted AHI across book of business</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accounts_at_risk</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INT64</w:t>
            </w:r>
          </w:p>
        </w:tc>
        <w:tc>
          <w:tcPr>
            <w:tcW w:type="dxa" w:w="5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Count of accounts with AHI &lt; 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total_arr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FLOAT64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ARR in CSM's book</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arr_at_risk</w:t>
            </w:r>
          </w:p>
        </w:tc>
        <w:tc>
          <w:tcPr>
            <w:tcW w:type="dxa" w:w="1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FLOAT64</w:t>
            </w:r>
          </w:p>
        </w:tc>
        <w:tc>
          <w:tcPr>
            <w:tcW w:type="dxa" w:w="5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ARR from accounts with AHI &lt; 50</w:t>
            </w:r>
          </w:p>
        </w:tc>
      </w:tr>
    </w:tbl>
    <w:p>
      <w:pPr>
        <w:spacing w:after="120" w:before="120"/>
      </w:pPr>
    </w:p>
    <w:p>
      <w:pPr>
        <w:pBdr>
          <w:bottom w:val="single" w:color="DDDDDD" w:sz="4" w:space="1"/>
        </w:pBdr>
        <w:spacing w:after="120" w:before="120"/>
      </w:pPr>
    </w:p>
    <w:p>
      <w:pPr>
        <w:pStyle w:val="Heading1"/>
        <w:spacing w:after="120" w:before="360"/>
      </w:pPr>
      <w:r>
        <w:rPr>
          <w:rFonts w:ascii="Arial" w:cs="Arial" w:eastAsia="Arial" w:hAnsi="Arial"/>
          <w:b/>
          <w:bCs/>
          <w:color w:val="1B3F6B"/>
          <w:sz w:val="32"/>
          <w:szCs w:val="32"/>
        </w:rPr>
        <w:t xml:space="preserve">4. Data Quality Tests</w:t>
      </w:r>
    </w:p>
    <w:p>
      <w:pPr>
        <w:spacing w:after="100" w:before="60"/>
      </w:pPr>
      <w:r>
        <w:rPr>
          <w:rFonts w:ascii="Arial" w:cs="Arial" w:eastAsia="Arial" w:hAnsi="Arial"/>
          <w:color w:val="333333"/>
          <w:sz w:val="22"/>
          <w:szCs w:val="22"/>
        </w:rPr>
        <w:t xml:space="preserve">The following automated assertions must pass before the AHI pipeline runs. Any failure halts the pipeline and alerts the data engineering team.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3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33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Failure 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orphaned_usage_check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 usage logs WHERE account_id NOT IN Accounts =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Exclude orphaned rows; flag in output</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overlapping_contracts_check</w:t>
            </w:r>
          </w:p>
        </w:tc>
        <w:tc>
          <w:tcPr>
            <w:tcW w:type="dxa" w:w="3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No two active contracts for same account_id overlap on date range</w:t>
            </w:r>
          </w:p>
        </w:tc>
        <w:tc>
          <w:tcPr>
            <w:tcW w:type="dxa" w:w="3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Flag account; use most recent contract as source of truth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negative_consumption_check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compute_credits_consumed &gt;=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Reject rows; alert data engineering</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future_usage_check</w:t>
            </w:r>
          </w:p>
        </w:tc>
        <w:tc>
          <w:tcPr>
            <w:tcW w:type="dxa" w:w="3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No usage log date &gt; current_date</w:t>
            </w:r>
          </w:p>
        </w:tc>
        <w:tc>
          <w:tcPr>
            <w:tcW w:type="dxa" w:w="3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Reject rows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contract_date_usage_check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Usage date falls within account's active contract date range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Flag as rogue usage; exclude from AHI</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null_account_id_check</w:t>
            </w:r>
          </w:p>
        </w:tc>
        <w:tc>
          <w:tcPr>
            <w:tcW w:type="dxa" w:w="3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No NULL account_ids in any table</w:t>
            </w:r>
          </w:p>
        </w:tc>
        <w:tc>
          <w:tcPr>
            <w:tcW w:type="dxa" w:w="3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Reject rows</w:t>
            </w:r>
          </w:p>
        </w:tc>
      </w:tr>
    </w:tbl>
    <w:p>
      <w:pPr>
        <w:spacing w:after="120" w:before="240"/>
      </w:pPr>
    </w:p>
    <w:p>
      <w:pPr>
        <w:pBdr>
          <w:bottom w:val="single" w:color="DDDDDD" w:sz="4" w:space="1"/>
        </w:pBdr>
        <w:spacing w:after="120" w:before="120"/>
      </w:pPr>
    </w:p>
    <w:p>
      <w:pPr>
        <w:pStyle w:val="Heading1"/>
        <w:spacing w:after="120" w:before="360"/>
      </w:pPr>
      <w:r>
        <w:rPr>
          <w:rFonts w:ascii="Arial" w:cs="Arial" w:eastAsia="Arial" w:hAnsi="Arial"/>
          <w:b/>
          <w:bCs/>
          <w:color w:val="1B3F6B"/>
          <w:sz w:val="32"/>
          <w:szCs w:val="32"/>
        </w:rPr>
        <w:t xml:space="preserve">5. Metric Definition</w:t>
      </w:r>
    </w:p>
    <w:p>
      <w:pPr>
        <w:pStyle w:val="Heading2"/>
        <w:spacing w:after="80" w:before="280"/>
      </w:pPr>
      <w:r>
        <w:rPr>
          <w:rFonts w:ascii="Arial" w:cs="Arial" w:eastAsia="Arial" w:hAnsi="Arial"/>
          <w:b/>
          <w:bCs/>
          <w:color w:val="1B3F6B"/>
          <w:sz w:val="26"/>
          <w:szCs w:val="26"/>
        </w:rPr>
        <w:t xml:space="preserve">5.1 Name</w:t>
      </w:r>
    </w:p>
    <w:p>
      <w:pPr>
        <w:spacing w:after="100" w:before="60"/>
      </w:pPr>
      <w:r>
        <w:rPr>
          <w:rFonts w:ascii="Arial" w:cs="Arial" w:eastAsia="Arial" w:hAnsi="Arial"/>
          <w:color w:val="333333"/>
          <w:sz w:val="22"/>
          <w:szCs w:val="22"/>
        </w:rPr>
        <w:t xml:space="preserve">Account Health Index (AHI)</w:t>
      </w:r>
    </w:p>
    <w:p>
      <w:pPr>
        <w:pStyle w:val="Heading2"/>
        <w:spacing w:after="80" w:before="280"/>
      </w:pPr>
      <w:r>
        <w:rPr>
          <w:rFonts w:ascii="Arial" w:cs="Arial" w:eastAsia="Arial" w:hAnsi="Arial"/>
          <w:b/>
          <w:bCs/>
          <w:color w:val="1B3F6B"/>
          <w:sz w:val="26"/>
          <w:szCs w:val="26"/>
        </w:rPr>
        <w:t xml:space="preserve">5.2 Formula</w:t>
      </w:r>
    </w:p>
    <w:p>
      <w:pPr>
        <w:spacing w:after="100" w:before="60"/>
      </w:pPr>
      <w:r>
        <w:rPr>
          <w:rFonts w:ascii="Arial" w:cs="Arial" w:eastAsia="Arial" w:hAnsi="Arial"/>
          <w:color w:val="333333"/>
          <w:sz w:val="22"/>
          <w:szCs w:val="22"/>
        </w:rPr>
        <w:t xml:space="preserve">AHI is a composite score from 0 to 100, calculated monthly per account_id and rolled up to csm_id as an ARR-weighted average.</w:t>
      </w:r>
    </w:p>
    <w:p>
      <w:pPr>
        <w:spacing w:after="60" w:before="120"/>
      </w:pPr>
    </w:p>
    <w:p>
      <w:pPr>
        <w:spacing w:after="60" w:before="60"/>
        <w:ind w:left="720"/>
      </w:pPr>
      <w:r>
        <w:rPr>
          <w:rFonts w:ascii="Courier New" w:cs="Courier New" w:eastAsia="Courier New" w:hAnsi="Courier New"/>
          <w:color w:val="1B3F6B"/>
          <w:sz w:val="20"/>
          <w:szCs w:val="20"/>
        </w:rPr>
        <w:t xml:space="preserve">AHI = (Consumption Health  × 0.25)</w:t>
      </w:r>
    </w:p>
    <w:p>
      <w:pPr>
        <w:spacing w:after="60" w:before="60"/>
        <w:ind w:left="720"/>
      </w:pPr>
      <w:r>
        <w:rPr>
          <w:rFonts w:ascii="Courier New" w:cs="Courier New" w:eastAsia="Courier New" w:hAnsi="Courier New"/>
          <w:color w:val="1B3F6B"/>
          <w:sz w:val="20"/>
          <w:szCs w:val="20"/>
        </w:rPr>
        <w:t xml:space="preserve">    + (Deployment Depth    × 0.25)</w:t>
      </w:r>
    </w:p>
    <w:p>
      <w:pPr>
        <w:spacing w:after="60" w:before="60"/>
        <w:ind w:left="720"/>
      </w:pPr>
      <w:r>
        <w:rPr>
          <w:rFonts w:ascii="Courier New" w:cs="Courier New" w:eastAsia="Courier New" w:hAnsi="Courier New"/>
          <w:color w:val="1B3F6B"/>
          <w:sz w:val="20"/>
          <w:szCs w:val="20"/>
        </w:rPr>
        <w:t xml:space="preserve">    + (Platform Stability  × 0.20)</w:t>
      </w:r>
    </w:p>
    <w:p>
      <w:pPr>
        <w:spacing w:after="60" w:before="60"/>
        <w:ind w:left="720"/>
      </w:pPr>
      <w:r>
        <w:rPr>
          <w:rFonts w:ascii="Courier New" w:cs="Courier New" w:eastAsia="Courier New" w:hAnsi="Courier New"/>
          <w:color w:val="1B3F6B"/>
          <w:sz w:val="20"/>
          <w:szCs w:val="20"/>
        </w:rPr>
        <w:t xml:space="preserve">    + (Contract Expansion  × 0.15)</w:t>
      </w:r>
    </w:p>
    <w:p>
      <w:pPr>
        <w:spacing w:after="60" w:before="60"/>
        <w:ind w:left="720"/>
      </w:pPr>
      <w:r>
        <w:rPr>
          <w:rFonts w:ascii="Courier New" w:cs="Courier New" w:eastAsia="Courier New" w:hAnsi="Courier New"/>
          <w:color w:val="1B3F6B"/>
          <w:sz w:val="20"/>
          <w:szCs w:val="20"/>
        </w:rPr>
        <w:t xml:space="preserve">    + (Engagement Trend    × 0.15)</w:t>
      </w:r>
    </w:p>
    <w:p>
      <w:pPr>
        <w:spacing w:after="120" w:before="60"/>
      </w:pPr>
    </w:p>
    <w:p>
      <w:pPr>
        <w:pStyle w:val="Heading2"/>
        <w:spacing w:after="80" w:before="280"/>
      </w:pPr>
      <w:r>
        <w:rPr>
          <w:rFonts w:ascii="Arial" w:cs="Arial" w:eastAsia="Arial" w:hAnsi="Arial"/>
          <w:b/>
          <w:bCs/>
          <w:color w:val="1B3F6B"/>
          <w:sz w:val="26"/>
          <w:szCs w:val="26"/>
        </w:rPr>
        <w:t xml:space="preserve">5.3 Weight Rationale</w:t>
      </w:r>
    </w:p>
    <w:p>
      <w:pPr>
        <w:spacing w:after="100" w:before="60"/>
      </w:pPr>
      <w:r>
        <w:rPr>
          <w:rFonts w:ascii="Arial" w:cs="Arial" w:eastAsia="Arial" w:hAnsi="Arial"/>
          <w:color w:val="333333"/>
          <w:sz w:val="22"/>
          <w:szCs w:val="22"/>
        </w:rPr>
        <w:t xml:space="preserve">The GCS key business question explicitly identifies four measurement priorities. Each maps directly to AHI dimensions and informs the weighting:</w:t>
      </w:r>
    </w:p>
    <w:p>
      <w:pPr>
        <w:spacing w:after="8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1160"/>
      </w:tblGrid>
      <w:tr>
        <w:trPr>
          <w:tblHeader/>
        </w:trPr>
        <w:tc>
          <w:tcPr>
            <w:tcW w:type="dxa" w:w="20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Their Question</w:t>
            </w:r>
          </w:p>
        </w:tc>
        <w:tc>
          <w:tcPr>
            <w:tcW w:type="dxa" w:w="3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What It's Really Asking</w:t>
            </w:r>
          </w:p>
        </w:tc>
        <w:tc>
          <w:tcPr>
            <w:tcW w:type="dxa" w:w="20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AHI Dimension(s)</w:t>
            </w:r>
          </w:p>
        </w:tc>
        <w:tc>
          <w:tcPr>
            <w:tcW w:type="dxa" w:w="11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 purchased vs. consumed?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 things must be true simultaneously: the customer deployed what they bought AND they are consuming it. Neither alone is sufficient — a customer can deploy without consuming, or consume one of five purchased products. This is the core tension of the consumption model transition.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Consumption Health + Deployment Depth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0.25 + 0.25 = 50%</w:t>
            </w:r>
          </w:p>
        </w:tc>
      </w:tr>
      <w:tr>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Technical health (support tickets)?</w:t>
            </w:r>
          </w:p>
        </w:tc>
        <w:tc>
          <w:tcPr>
            <w:tcW w:type="dxa" w:w="3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Platform health is a ceiling on account health, not a driver of it. An account with zero tickets is not necessarily thriving, but an account with open P1s is definitively not healthy. High weight would allow a clean support record to mask a shelfware problem.</w:t>
            </w:r>
          </w:p>
        </w:tc>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Platform Stability</w:t>
            </w:r>
          </w:p>
        </w:tc>
        <w:tc>
          <w:tcPr>
            <w:tcW w:type="dxa" w:w="1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0.20 =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Overall product platform usage?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Usage trajectory (are they consuming more or less over time?) and contract growth (are they buying more?) together answer whether the customer relationship is expanding or contracting. These are forward-looking signals, not point-in-time 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Engagement Trend + Contract Expansion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0.15 + 0.15 = 30%</w:t>
            </w:r>
          </w:p>
        </w:tc>
      </w:tr>
      <w:tr>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Balance initial contract bookings?</w:t>
            </w:r>
          </w:p>
        </w:tc>
        <w:tc>
          <w:tcPr>
            <w:tcW w:type="dxa" w:w="3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The brief requires preserving the bookings growth signal from the existing TCV model. Zero weight would remove CSM incentive to expand accounts. Too much weight rebuilds TCV with extra steps. 15% is the minimum meaningful signal — a 50% ARR expansion moves AHI by ~5 points. Noticeable, not gameable.</w:t>
            </w:r>
          </w:p>
        </w:tc>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Contract Expansion</w:t>
            </w:r>
          </w:p>
        </w:tc>
        <w:tc>
          <w:tcPr>
            <w:tcW w:type="dxa" w:w="1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0.15 = 15%</w:t>
            </w:r>
          </w:p>
        </w:tc>
      </w:tr>
    </w:tbl>
    <w:p>
      <w:pPr>
        <w:spacing w:after="80" w:before="120"/>
      </w:pPr>
    </w:p>
    <w:p>
      <w:pPr>
        <w:spacing w:after="100" w:before="60"/>
      </w:pPr>
      <w:r>
        <w:rPr>
          <w:rFonts w:ascii="Arial" w:cs="Arial" w:eastAsia="Arial" w:hAnsi="Arial"/>
          <w:color w:val="333333"/>
          <w:sz w:val="22"/>
          <w:szCs w:val="22"/>
        </w:rPr>
        <w:t xml:space="preserve">One-sentence rationale for each dimension in executive discussion:</w:t>
      </w:r>
    </w:p>
    <w:p>
      <w:pPr>
        <w:pStyle w:val="ListParagraph"/>
        <w:numPr>
          <w:ilvl w:val="0"/>
          <w:numId w:val="2"/>
        </w:numPr>
        <w:spacing w:after="40" w:before="40"/>
      </w:pPr>
      <w:r>
        <w:rPr>
          <w:rFonts w:ascii="Arial" w:cs="Arial" w:eastAsia="Arial" w:hAnsi="Arial"/>
          <w:color w:val="333333"/>
          <w:sz w:val="22"/>
          <w:szCs w:val="22"/>
        </w:rPr>
        <w:t xml:space="preserve">Consumption (0.25) — Are they using what they paid for?</w:t>
      </w:r>
    </w:p>
    <w:p>
      <w:pPr>
        <w:pStyle w:val="ListParagraph"/>
        <w:numPr>
          <w:ilvl w:val="0"/>
          <w:numId w:val="2"/>
        </w:numPr>
        <w:spacing w:after="40" w:before="40"/>
      </w:pPr>
      <w:r>
        <w:rPr>
          <w:rFonts w:ascii="Arial" w:cs="Arial" w:eastAsia="Arial" w:hAnsi="Arial"/>
          <w:color w:val="333333"/>
          <w:sz w:val="22"/>
          <w:szCs w:val="22"/>
        </w:rPr>
        <w:t xml:space="preserve">Deployment (0.25) — Have they even turned it on?</w:t>
      </w:r>
    </w:p>
    <w:p>
      <w:pPr>
        <w:pStyle w:val="ListParagraph"/>
        <w:numPr>
          <w:ilvl w:val="0"/>
          <w:numId w:val="2"/>
        </w:numPr>
        <w:spacing w:after="40" w:before="40"/>
      </w:pPr>
      <w:r>
        <w:rPr>
          <w:rFonts w:ascii="Arial" w:cs="Arial" w:eastAsia="Arial" w:hAnsi="Arial"/>
          <w:color w:val="333333"/>
          <w:sz w:val="22"/>
          <w:szCs w:val="22"/>
        </w:rPr>
        <w:t xml:space="preserve">Platform Stability (0.20) — Is the technical experience clean?</w:t>
      </w:r>
    </w:p>
    <w:p>
      <w:pPr>
        <w:pStyle w:val="ListParagraph"/>
        <w:numPr>
          <w:ilvl w:val="0"/>
          <w:numId w:val="2"/>
        </w:numPr>
        <w:spacing w:after="40" w:before="40"/>
      </w:pPr>
      <w:r>
        <w:rPr>
          <w:rFonts w:ascii="Arial" w:cs="Arial" w:eastAsia="Arial" w:hAnsi="Arial"/>
          <w:color w:val="333333"/>
          <w:sz w:val="22"/>
          <w:szCs w:val="22"/>
        </w:rPr>
        <w:t xml:space="preserve">Contract Expansion (0.15) — Is the relationship growing?</w:t>
      </w:r>
    </w:p>
    <w:p>
      <w:pPr>
        <w:pStyle w:val="ListParagraph"/>
        <w:numPr>
          <w:ilvl w:val="0"/>
          <w:numId w:val="2"/>
        </w:numPr>
        <w:spacing w:after="40" w:before="40"/>
      </w:pPr>
      <w:r>
        <w:rPr>
          <w:rFonts w:ascii="Arial" w:cs="Arial" w:eastAsia="Arial" w:hAnsi="Arial"/>
          <w:color w:val="333333"/>
          <w:sz w:val="22"/>
          <w:szCs w:val="22"/>
        </w:rPr>
        <w:t xml:space="preserve">Engagement Trend (0.15) — Is usage trending up or down?</w:t>
      </w:r>
    </w:p>
    <w:p>
      <w:pPr>
        <w:spacing w:after="80" w:before="80"/>
      </w:pPr>
    </w:p>
    <w:p>
      <w:pPr>
        <w:spacing w:after="100" w:before="60"/>
      </w:pPr>
      <w:r>
        <w:rPr>
          <w:rFonts w:ascii="Arial" w:cs="Arial" w:eastAsia="Arial" w:hAnsi="Arial"/>
          <w:color w:val="333333"/>
          <w:sz w:val="22"/>
          <w:szCs w:val="22"/>
        </w:rPr>
        <w:t xml:space="preserve">Together these five dimensions answer every component of the GCS key business question with no dimension double-counted and no part of the brief left unaddressed.</w:t>
      </w:r>
    </w:p>
    <w:p>
      <w:pPr>
        <w:pStyle w:val="Heading2"/>
        <w:spacing w:after="80" w:before="280"/>
      </w:pPr>
      <w:r>
        <w:rPr>
          <w:rFonts w:ascii="Arial" w:cs="Arial" w:eastAsia="Arial" w:hAnsi="Arial"/>
          <w:b/>
          <w:bCs/>
          <w:color w:val="1B3F6B"/>
          <w:sz w:val="26"/>
          <w:szCs w:val="26"/>
        </w:rPr>
        <w:t xml:space="preserve">5.4 Health Status Classification</w:t>
      </w:r>
    </w:p>
    <w:p>
      <w:pPr>
        <w:spacing w:after="100" w:before="60"/>
      </w:pPr>
      <w:r>
        <w:rPr>
          <w:rFonts w:ascii="Arial" w:cs="Arial" w:eastAsia="Arial" w:hAnsi="Arial"/>
          <w:color w:val="333333"/>
          <w:sz w:val="22"/>
          <w:szCs w:val="22"/>
        </w:rPr>
        <w:t xml:space="preserve">AHI answers two questions simultaneously: what is the health of this account right now, and what does good look like? The following classification table translates a raw AHI score into an actionable status label, a plain-language interpretation, and a prescribed CSM response.</w:t>
      </w:r>
    </w:p>
    <w:p>
      <w:pPr>
        <w:spacing w:after="100" w:before="60"/>
      </w:pPr>
      <w:r>
        <w:rPr>
          <w:rFonts w:ascii="Arial" w:cs="Arial" w:eastAsia="Arial" w:hAnsi="Arial"/>
          <w:color w:val="333333"/>
          <w:sz w:val="22"/>
          <w:szCs w:val="22"/>
        </w:rPr>
        <w:t xml:space="preserve">Good = AHI ≥ 80. An account is considered healthy when it has deployed its purchased products, is consuming credits sustainably, maintains a clean support record, shows contract growth, and has stable or rising usage over the trailing 120 days.</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2600"/>
        <w:gridCol w:w="1000"/>
        <w:gridCol w:w="3660"/>
      </w:tblGrid>
      <w:tr>
        <w:trPr>
          <w:tblHeader/>
        </w:trPr>
        <w:tc>
          <w:tcPr>
            <w:tcW w:type="dxa" w:w="11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AHI Score</w:t>
            </w:r>
          </w:p>
        </w:tc>
        <w:tc>
          <w:tcPr>
            <w:tcW w:type="dxa" w:w="10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10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Renewal Risk</w:t>
            </w:r>
          </w:p>
        </w:tc>
        <w:tc>
          <w:tcPr>
            <w:tcW w:type="dxa" w:w="36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CSM Action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 – 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Deployed, consuming, growing, and technically stable. All five dimensions performing at or near target.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Maintain engagement cadence. Identify upsell and expansion signals proactively.</w:t>
            </w:r>
          </w:p>
        </w:tc>
      </w:tr>
      <w:tr>
        <w:tc>
          <w:tcPr>
            <w:tcW w:type="dxa" w:w="11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65 – 79</w:t>
            </w:r>
          </w:p>
        </w:tc>
        <w:tc>
          <w:tcPr>
            <w:tcW w:type="dxa" w:w="1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Monitor</w:t>
            </w:r>
          </w:p>
        </w:tc>
        <w:tc>
          <w:tcPr>
            <w:tcW w:type="dxa" w:w="2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One or two dimensions lagging behind target. Account is functional but showing early warning signs.</w:t>
            </w:r>
          </w:p>
        </w:tc>
        <w:tc>
          <w:tcPr>
            <w:tcW w:type="dxa" w:w="1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Moderate</w:t>
            </w:r>
          </w:p>
        </w:tc>
        <w:tc>
          <w:tcPr>
            <w:tcW w:type="dxa" w:w="36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Diagnose which dimension is dragging. Schedule 30-day targeted check-in with customer.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 64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 Risk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Multiple dimensions underperforming. Churn signal is present. Customer may be disengaging or underutilizing.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Escalate to CSM manager. Build a 60-day recovery plan with specific deployment or consumption targets.</w:t>
            </w:r>
          </w:p>
        </w:tc>
      </w:tr>
      <w:tr>
        <w:tc>
          <w:tcPr>
            <w:tcW w:type="dxa" w:w="11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35 – 49</w:t>
            </w:r>
          </w:p>
        </w:tc>
        <w:tc>
          <w:tcPr>
            <w:tcW w:type="dxa" w:w="1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2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Severe gaps across deployment, consumption, or stability. Account shows signs of active disengagement.</w:t>
            </w:r>
          </w:p>
        </w:tc>
        <w:tc>
          <w:tcPr>
            <w:tcW w:type="dxa" w:w="1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Very High</w:t>
            </w:r>
          </w:p>
        </w:tc>
        <w:tc>
          <w:tcPr>
            <w:tcW w:type="dxa" w:w="36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Engage executive sponsor. Initiate 2-week intervention cadence. Flag for at-risk review in QBR.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Below 35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Churning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Near-zero health across most dimensions. Likely shelfware, spike-and-drop, or product abandonment.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Imminent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Immediate escalation to VP CS. Potential contract restructure or save conversation required.</w:t>
            </w:r>
          </w:p>
        </w:tc>
      </w:tr>
    </w:tbl>
    <w:p>
      <w:pPr>
        <w:spacing w:after="80" w:before="120"/>
      </w:pPr>
    </w:p>
    <w:p>
      <w:pPr>
        <w:spacing w:after="100" w:before="60"/>
      </w:pPr>
      <w:r>
        <w:rPr>
          <w:rFonts w:ascii="Arial" w:cs="Arial" w:eastAsia="Arial" w:hAnsi="Arial"/>
          <w:color w:val="333333"/>
          <w:sz w:val="22"/>
          <w:szCs w:val="22"/>
        </w:rPr>
        <w:t xml:space="preserve">Status labels are surfaced in the AHI dashboard as color-coded indicators: Healthy (green), Monitor (yellow), At Risk (amber), Critical (red), Churning (dark red). CSMs see their full book of business ranked by status, with accounts in Critical and Churning states pinned to the top of the view.</w:t>
      </w:r>
    </w:p>
    <w:p>
      <w:pPr>
        <w:spacing w:after="100" w:before="60"/>
      </w:pPr>
      <w:r>
        <w:rPr>
          <w:rFonts w:ascii="Arial" w:cs="Arial" w:eastAsia="Arial" w:hAnsi="Arial"/>
          <w:color w:val="333333"/>
          <w:sz w:val="22"/>
          <w:szCs w:val="22"/>
        </w:rPr>
        <w:t xml:space="preserve">Predictive validity target: after the 90-day shadow period, AHI status should correlate with actual renewal outcomes at ≥70% accuracy. If Monitor-status accounts renew at the same rate as Healthy accounts, the 65-point threshold should be recalibrated upward.</w:t>
      </w:r>
    </w:p>
    <w:p>
      <w:pPr>
        <w:spacing w:after="80" w:before="120"/>
      </w:pPr>
    </w:p>
    <w:p>
      <w:pPr>
        <w:spacing w:after="60" w:before="200"/>
      </w:pPr>
      <w:r>
        <w:rPr>
          <w:rFonts w:ascii="Arial" w:cs="Arial" w:eastAsia="Arial" w:hAnsi="Arial"/>
          <w:b/>
          <w:bCs/>
          <w:color w:val="333333"/>
          <w:sz w:val="24"/>
          <w:szCs w:val="24"/>
        </w:rPr>
        <w:t xml:space="preserve">Why 80 is the Healthy threshold — grounded in PAN’s own data</w:t>
      </w:r>
    </w:p>
    <w:p>
      <w:pPr>
        <w:spacing w:after="100" w:before="60"/>
      </w:pPr>
      <w:r>
        <w:rPr>
          <w:rFonts w:ascii="Arial" w:cs="Arial" w:eastAsia="Arial" w:hAnsi="Arial"/>
          <w:color w:val="333333"/>
          <w:sz w:val="22"/>
          <w:szCs w:val="22"/>
        </w:rPr>
        <w:t xml:space="preserve">The 80-point Healthy threshold is not an arbitrary round number. It is calibrated to match the behavioral profile of PAN’s highest-retention customer segment, as reported in public earnings disclosures.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PAN Public Data Point</w:t>
            </w:r>
          </w:p>
        </w:tc>
        <w:tc>
          <w:tcPr>
            <w:tcW w:type="dxa" w:w="20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8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Implication for AHI Threshold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customers retain at 120% NRR with low single-digit churn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Q4 FY2025 &amp; Q2 FY2026 Earnings Calls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behavioral profile of a platform customer is the gold standard for account health. AHI ≥ 80 is calibrated to identify accounts exhibiting that profile before renewal.</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Enterprise customer retention reached 95.4% in FY2023</w:t>
            </w:r>
          </w:p>
        </w:tc>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PAN FY2023 Annual Report</w:t>
            </w:r>
          </w:p>
        </w:tc>
        <w:tc>
          <w:tcPr>
            <w:tcW w:type="dxa" w:w="48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High retention correlates with multi-product deployment and sustained consumption — exactly what Deployment Depth and Consumption Health measure.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Platformized customers using all three platforms show structurally lower churn due to multiplying switching costs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PAN Platformization Strategy disclosures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Multi-product deployment is a leading indicator of retention, not a lagging one. Deployment Depth at 0.25 weight reflects this directly.</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1,550+ platformized customers growing 35% YoY; target 4,000 by FY2030</w:t>
            </w:r>
          </w:p>
        </w:tc>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Q2 FY2026 Earnings Call</w:t>
            </w:r>
          </w:p>
        </w:tc>
        <w:tc>
          <w:tcPr>
            <w:tcW w:type="dxa" w:w="48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Platformization is PAN’s explicit growth strategy. AHI operationalizes that strategy at the account level — a Healthy account is a platformized account.</w:t>
            </w:r>
          </w:p>
        </w:tc>
      </w:tr>
    </w:tbl>
    <w:p>
      <w:pPr>
        <w:spacing w:after="80" w:before="120"/>
      </w:pPr>
    </w:p>
    <w:p>
      <w:pPr>
        <w:spacing w:after="100" w:before="60"/>
      </w:pPr>
      <w:r>
        <w:rPr>
          <w:rFonts w:ascii="Arial" w:cs="Arial" w:eastAsia="Arial" w:hAnsi="Arial"/>
          <w:color w:val="333333"/>
          <w:sz w:val="22"/>
          <w:szCs w:val="22"/>
        </w:rPr>
        <w:t xml:space="preserve">The logic connecting PAN’s data to the 80-point threshold:</w:t>
      </w:r>
    </w:p>
    <w:p>
      <w:pPr>
        <w:pStyle w:val="ListParagraph"/>
        <w:numPr>
          <w:ilvl w:val="0"/>
          <w:numId w:val="2"/>
        </w:numPr>
        <w:spacing w:after="40" w:before="40"/>
      </w:pPr>
      <w:r>
        <w:rPr>
          <w:rFonts w:ascii="Arial" w:cs="Arial" w:eastAsia="Arial" w:hAnsi="Arial"/>
          <w:color w:val="333333"/>
          <w:sz w:val="22"/>
          <w:szCs w:val="22"/>
        </w:rPr>
        <w:t xml:space="preserve">A platform customer — PAN’s highest-retention segment — has deployed multiple products, is consuming them sustainably, has a clean support record, is growing the contract, and shows stable or rising usage.</w:t>
      </w:r>
    </w:p>
    <w:p>
      <w:pPr>
        <w:pStyle w:val="ListParagraph"/>
        <w:numPr>
          <w:ilvl w:val="0"/>
          <w:numId w:val="2"/>
        </w:numPr>
        <w:spacing w:after="40" w:before="40"/>
      </w:pPr>
      <w:r>
        <w:rPr>
          <w:rFonts w:ascii="Arial" w:cs="Arial" w:eastAsia="Arial" w:hAnsi="Arial"/>
          <w:color w:val="333333"/>
          <w:sz w:val="22"/>
          <w:szCs w:val="22"/>
        </w:rPr>
        <w:t xml:space="preserve">An account scoring exactly 80 on AHI has achieved that behavioral profile without being perfect in any single dimension. It is achievable excellence, not theoretical perfection.</w:t>
      </w:r>
    </w:p>
    <w:p>
      <w:pPr>
        <w:pStyle w:val="ListParagraph"/>
        <w:numPr>
          <w:ilvl w:val="0"/>
          <w:numId w:val="2"/>
        </w:numPr>
        <w:spacing w:after="40" w:before="40"/>
      </w:pPr>
      <w:r>
        <w:rPr>
          <w:rFonts w:ascii="Arial" w:cs="Arial" w:eastAsia="Arial" w:hAnsi="Arial"/>
          <w:color w:val="333333"/>
          <w:sz w:val="22"/>
          <w:szCs w:val="22"/>
        </w:rPr>
        <w:t xml:space="preserve">An account scoring below 80 is missing one or more of the platform customer behaviors that PAN’s own data correlates with 120% NRR retention.</w:t>
      </w:r>
    </w:p>
    <w:p>
      <w:pPr>
        <w:spacing w:after="80" w:before="80"/>
      </w:pPr>
    </w:p>
    <w:p>
      <w:pPr>
        <w:spacing w:after="100" w:before="60"/>
      </w:pPr>
      <w:r>
        <w:rPr>
          <w:rFonts w:ascii="Arial" w:cs="Arial" w:eastAsia="Arial" w:hAnsi="Arial"/>
          <w:color w:val="333333"/>
          <w:sz w:val="22"/>
          <w:szCs w:val="22"/>
        </w:rPr>
        <w:t xml:space="preserve">Pitch framing for executive presentation: “We set 80 as Healthy because that is the AHI signature of a customer behaving like a platform customer — and PAN’s own earnings data shows platform customers retain at 120% NRR with near-zero churn. AHI gives CS leadership a leading indicator of which accounts are on that trajectory before the renewal conversation begins.”</w:t>
      </w:r>
    </w:p>
    <w:p>
      <w:pPr>
        <w:spacing w:after="80" w:before="80"/>
      </w:pPr>
    </w:p>
    <w:p>
      <w:pPr>
        <w:spacing w:after="100" w:before="60"/>
      </w:pPr>
      <w:r>
        <w:rPr>
          <w:rFonts w:ascii="Arial" w:cs="Arial" w:eastAsia="Arial" w:hAnsi="Arial"/>
          <w:color w:val="333333"/>
          <w:sz w:val="22"/>
          <w:szCs w:val="22"/>
        </w:rPr>
        <w:t xml:space="preserve">Note: The 80-point threshold will be validated and recalibrated during the 90-day shadow period by comparing AHI scores against actual historical renewal outcomes in PAN’s CRM. If the renewal breakpoint is empirically at 75 or 85, the threshold will be adjusted before compensation is tied to the metric.</w:t>
      </w:r>
    </w:p>
    <w:p>
      <w:pPr>
        <w:pStyle w:val="Heading2"/>
        <w:spacing w:after="80" w:before="280"/>
      </w:pPr>
      <w:r>
        <w:rPr>
          <w:rFonts w:ascii="Arial" w:cs="Arial" w:eastAsia="Arial" w:hAnsi="Arial"/>
          <w:b/>
          <w:bCs/>
          <w:color w:val="1B3F6B"/>
          <w:sz w:val="26"/>
          <w:szCs w:val="26"/>
        </w:rPr>
        <w:t xml:space="preserve">5.5 Dimension Definitions</w:t>
      </w:r>
    </w:p>
    <w:p>
      <w:pPr>
        <w:spacing w:after="60" w:before="200"/>
      </w:pPr>
      <w:r>
        <w:rPr>
          <w:rFonts w:ascii="Arial" w:cs="Arial" w:eastAsia="Arial" w:hAnsi="Arial"/>
          <w:b/>
          <w:bCs/>
          <w:color w:val="333333"/>
          <w:sz w:val="24"/>
          <w:szCs w:val="24"/>
        </w:rPr>
        <w:t xml:space="preserve">Dimension 1: Consumption Health (weight 0.25)</w:t>
      </w:r>
    </w:p>
    <w:p>
      <w:pPr>
        <w:spacing w:after="100" w:before="60"/>
      </w:pPr>
      <w:r>
        <w:rPr>
          <w:rFonts w:ascii="Arial" w:cs="Arial" w:eastAsia="Arial" w:hAnsi="Arial"/>
          <w:color w:val="333333"/>
          <w:sz w:val="22"/>
          <w:szCs w:val="22"/>
        </w:rPr>
        <w:t xml:space="preserve">Measures how efficiently the account is consuming the compute credits they committed to purchase.</w:t>
      </w:r>
    </w:p>
    <w:p>
      <w:pPr>
        <w:spacing w:after="60" w:before="60"/>
        <w:ind w:left="720"/>
      </w:pPr>
      <w:r>
        <w:rPr>
          <w:rFonts w:ascii="Courier New" w:cs="Courier New" w:eastAsia="Courier New" w:hAnsi="Courier New"/>
          <w:color w:val="1B3F6B"/>
          <w:sz w:val="20"/>
          <w:szCs w:val="20"/>
        </w:rPr>
        <w:t xml:space="preserve">raw_ratio = actual_credits_consumed / committed_monthly_credits</w:t>
      </w:r>
    </w:p>
    <w:p>
      <w:pPr>
        <w:spacing w:after="60" w:before="60"/>
        <w:ind w:left="720"/>
      </w:pPr>
      <w:r>
        <w:rPr>
          <w:rFonts w:ascii="Courier New" w:cs="Courier New" w:eastAsia="Courier New" w:hAnsi="Courier New"/>
          <w:color w:val="1B3F6B"/>
          <w:sz w:val="20"/>
          <w:szCs w:val="20"/>
        </w:rPr>
        <w:t xml:space="preserve">capped_ratio = LEAST(raw_ratio, 1.10)</w:t>
      </w:r>
    </w:p>
    <w:p>
      <w:pPr>
        <w:spacing w:after="60" w:before="60"/>
        <w:ind w:left="720"/>
      </w:pPr>
      <w:r>
        <w:rPr>
          <w:rFonts w:ascii="Courier New" w:cs="Courier New" w:eastAsia="Courier New" w:hAnsi="Courier New"/>
          <w:color w:val="1B3F6B"/>
          <w:sz w:val="20"/>
          <w:szCs w:val="20"/>
        </w:rPr>
        <w:t xml:space="preserve">consumption_score = (capped_ratio / 1.10) × 100</w:t>
      </w:r>
    </w:p>
    <w:p>
      <w:pPr>
        <w:spacing w:after="60" w:before="60"/>
        <w:ind w:left="720"/>
      </w:pPr>
      <w:r>
        <w:rPr>
          <w:rFonts w:ascii="Courier New" w:cs="Courier New" w:eastAsia="Courier New" w:hAnsi="Courier New"/>
          <w:color w:val="1B3F6B"/>
          <w:sz w:val="20"/>
          <w:szCs w:val="20"/>
        </w:rPr>
        <w:t xml:space="preserve"/>
      </w:r>
    </w:p>
    <w:p>
      <w:pPr>
        <w:spacing w:after="60" w:before="60"/>
        <w:ind w:left="720"/>
      </w:pPr>
      <w:r>
        <w:rPr>
          <w:rFonts w:ascii="Courier New" w:cs="Courier New" w:eastAsia="Courier New" w:hAnsi="Courier New"/>
          <w:color w:val="1B3F6B"/>
          <w:sz w:val="20"/>
          <w:szCs w:val="20"/>
        </w:rPr>
        <w:t xml:space="preserve">-- Overage penalty applied when raw_ratio &gt; 1.20:</w:t>
      </w:r>
    </w:p>
    <w:p>
      <w:pPr>
        <w:spacing w:after="60" w:before="60"/>
        <w:ind w:left="720"/>
      </w:pPr>
      <w:r>
        <w:rPr>
          <w:rFonts w:ascii="Courier New" w:cs="Courier New" w:eastAsia="Courier New" w:hAnsi="Courier New"/>
          <w:color w:val="1B3F6B"/>
          <w:sz w:val="20"/>
          <w:szCs w:val="20"/>
        </w:rPr>
        <w:t xml:space="preserve">final_score = IF raw_ratio &gt; 1.20</w:t>
      </w:r>
    </w:p>
    <w:p>
      <w:pPr>
        <w:spacing w:after="60" w:before="60"/>
        <w:ind w:left="720"/>
      </w:pPr>
      <w:r>
        <w:rPr>
          <w:rFonts w:ascii="Courier New" w:cs="Courier New" w:eastAsia="Courier New" w:hAnsi="Courier New"/>
          <w:color w:val="1B3F6B"/>
          <w:sz w:val="20"/>
          <w:szCs w:val="20"/>
        </w:rPr>
        <w:t xml:space="preserve">             THEN consumption_score × 0.85</w:t>
      </w:r>
    </w:p>
    <w:p>
      <w:pPr>
        <w:spacing w:after="60" w:before="60"/>
        <w:ind w:left="720"/>
      </w:pPr>
      <w:r>
        <w:rPr>
          <w:rFonts w:ascii="Courier New" w:cs="Courier New" w:eastAsia="Courier New" w:hAnsi="Courier New"/>
          <w:color w:val="1B3F6B"/>
          <w:sz w:val="20"/>
          <w:szCs w:val="20"/>
        </w:rPr>
        <w:t xml:space="preserve">             ELSE consumption_score</w:t>
      </w:r>
    </w:p>
    <w:p>
      <w:pPr>
        <w:spacing w:after="100" w:before="60"/>
      </w:pPr>
      <w:r>
        <w:rPr>
          <w:rFonts w:ascii="Arial" w:cs="Arial" w:eastAsia="Arial" w:hAnsi="Arial"/>
          <w:color w:val="333333"/>
          <w:sz w:val="22"/>
          <w:szCs w:val="22"/>
        </w:rPr>
        <w:t xml:space="preserve">Design rationale: Perfect consumption (100% of committed credits) scores 100. Shelfware (near-zero consumption) scores near zero. Overages above 120% of committed credits receive a 15% score penalty — signaling that the contract was undersized and the CSM should have proactively right-sized the account. Overages between 100–120% are capped at 100 without penalty, as minor overages are expected in consumption models.</w:t>
      </w:r>
    </w:p>
    <w:p>
      <w:pPr>
        <w:spacing w:after="60" w:before="200"/>
      </w:pPr>
      <w:r>
        <w:rPr>
          <w:rFonts w:ascii="Arial" w:cs="Arial" w:eastAsia="Arial" w:hAnsi="Arial"/>
          <w:b/>
          <w:bCs/>
          <w:color w:val="333333"/>
          <w:sz w:val="24"/>
          <w:szCs w:val="24"/>
        </w:rPr>
        <w:t xml:space="preserve">Dimension 2: Deployment Depth (weight 0.25)</w:t>
      </w:r>
    </w:p>
    <w:p>
      <w:pPr>
        <w:spacing w:after="100" w:before="60"/>
      </w:pPr>
      <w:r>
        <w:rPr>
          <w:rFonts w:ascii="Arial" w:cs="Arial" w:eastAsia="Arial" w:hAnsi="Arial"/>
          <w:color w:val="333333"/>
          <w:sz w:val="22"/>
          <w:szCs w:val="22"/>
        </w:rPr>
        <w:t xml:space="preserve">Measures the proportion of purchased products that have been actively deployed and show usage activity.</w:t>
      </w:r>
    </w:p>
    <w:p>
      <w:pPr>
        <w:spacing w:after="60" w:before="60"/>
        <w:ind w:left="720"/>
      </w:pPr>
      <w:r>
        <w:rPr>
          <w:rFonts w:ascii="Courier New" w:cs="Courier New" w:eastAsia="Courier New" w:hAnsi="Courier New"/>
          <w:color w:val="1B3F6B"/>
          <w:sz w:val="20"/>
          <w:szCs w:val="20"/>
        </w:rPr>
        <w:t xml:space="preserve">deployment_score = (products_with_active_usage / products_purchased) × 100</w:t>
      </w:r>
    </w:p>
    <w:p>
      <w:pPr>
        <w:spacing w:after="100" w:before="60"/>
      </w:pPr>
      <w:r>
        <w:rPr>
          <w:rFonts w:ascii="Arial" w:cs="Arial" w:eastAsia="Arial" w:hAnsi="Arial"/>
          <w:color w:val="333333"/>
          <w:sz w:val="22"/>
          <w:szCs w:val="22"/>
        </w:rPr>
        <w:t xml:space="preserve">A product is considered actively deployed if it has at least one compute_credits_consumed entry in Daily_Usage_Logs in the trailing 30 days. Design rationale: Equal weight to Consumption Health because consumption without deployment is structurally meaningless — a customer cannot consume credits on products they have not deployed. This dimension directly catches shelfware accounts.</w:t>
      </w:r>
    </w:p>
    <w:p>
      <w:pPr>
        <w:spacing w:after="60" w:before="200"/>
      </w:pPr>
      <w:r>
        <w:rPr>
          <w:rFonts w:ascii="Arial" w:cs="Arial" w:eastAsia="Arial" w:hAnsi="Arial"/>
          <w:b/>
          <w:bCs/>
          <w:color w:val="333333"/>
          <w:sz w:val="24"/>
          <w:szCs w:val="24"/>
        </w:rPr>
        <w:t xml:space="preserve">Dimension 3: Platform Stability (weight 0.20)</w:t>
      </w:r>
    </w:p>
    <w:p>
      <w:pPr>
        <w:spacing w:after="100" w:before="60"/>
      </w:pPr>
      <w:r>
        <w:rPr>
          <w:rFonts w:ascii="Arial" w:cs="Arial" w:eastAsia="Arial" w:hAnsi="Arial"/>
          <w:color w:val="333333"/>
          <w:sz w:val="22"/>
          <w:szCs w:val="22"/>
        </w:rPr>
        <w:t xml:space="preserve">Measures the cleanliness of the customer's technical experience through open support ticket load.</w:t>
      </w:r>
    </w:p>
    <w:p>
      <w:pPr>
        <w:spacing w:after="60" w:before="60"/>
        <w:ind w:left="720"/>
      </w:pPr>
      <w:r>
        <w:rPr>
          <w:rFonts w:ascii="Courier New" w:cs="Courier New" w:eastAsia="Courier New" w:hAnsi="Courier New"/>
          <w:color w:val="1B3F6B"/>
          <w:sz w:val="20"/>
          <w:szCs w:val="20"/>
        </w:rPr>
        <w:t xml:space="preserve">weighted_tickets = (P1_open × 3) + (P2_open × 2) + (P3_open × 1)</w:t>
      </w:r>
    </w:p>
    <w:p>
      <w:pPr>
        <w:spacing w:after="60" w:before="60"/>
        <w:ind w:left="720"/>
      </w:pPr>
      <w:r>
        <w:rPr>
          <w:rFonts w:ascii="Courier New" w:cs="Courier New" w:eastAsia="Courier New" w:hAnsi="Courier New"/>
          <w:color w:val="1B3F6B"/>
          <w:sz w:val="20"/>
          <w:szCs w:val="20"/>
        </w:rPr>
        <w:t xml:space="preserve">baseline = segment average weighted_tickets for the same industry</w:t>
      </w:r>
    </w:p>
    <w:p>
      <w:pPr>
        <w:spacing w:after="60" w:before="60"/>
        <w:ind w:left="720"/>
      </w:pPr>
      <w:r>
        <w:rPr>
          <w:rFonts w:ascii="Courier New" w:cs="Courier New" w:eastAsia="Courier New" w:hAnsi="Courier New"/>
          <w:color w:val="1B3F6B"/>
          <w:sz w:val="20"/>
          <w:szCs w:val="20"/>
        </w:rPr>
        <w:t xml:space="preserve">stability_score = MAX(0, 100 - ((weighted_tickets / baseline) × 100))</w:t>
      </w:r>
    </w:p>
    <w:p>
      <w:pPr>
        <w:spacing w:after="100" w:before="60"/>
      </w:pPr>
      <w:r>
        <w:rPr>
          <w:rFonts w:ascii="Arial" w:cs="Arial" w:eastAsia="Arial" w:hAnsi="Arial"/>
          <w:color w:val="333333"/>
          <w:sz w:val="22"/>
          <w:szCs w:val="22"/>
        </w:rPr>
        <w:t xml:space="preserve">Accounts with zero open tickets score 100. A P1 ticket has 3× the weight of a P3 to reflect business impact severity.</w:t>
      </w:r>
    </w:p>
    <w:p>
      <w:pPr>
        <w:spacing w:after="60" w:before="200"/>
      </w:pPr>
      <w:r>
        <w:rPr>
          <w:rFonts w:ascii="Arial" w:cs="Arial" w:eastAsia="Arial" w:hAnsi="Arial"/>
          <w:b/>
          <w:bCs/>
          <w:color w:val="333333"/>
          <w:sz w:val="24"/>
          <w:szCs w:val="24"/>
        </w:rPr>
        <w:t xml:space="preserve">Dimension 4: Contract Expansion (weight 0.15)</w:t>
      </w:r>
    </w:p>
    <w:p>
      <w:pPr>
        <w:spacing w:after="100" w:before="60"/>
      </w:pPr>
      <w:r>
        <w:rPr>
          <w:rFonts w:ascii="Arial" w:cs="Arial" w:eastAsia="Arial" w:hAnsi="Arial"/>
          <w:color w:val="333333"/>
          <w:sz w:val="22"/>
          <w:szCs w:val="22"/>
        </w:rPr>
        <w:t xml:space="preserve">Measures whether the account's ARR has grown since the initial contract signing, preserving the bookings growth signal from the existing TCV model.</w:t>
      </w:r>
    </w:p>
    <w:p>
      <w:pPr>
        <w:spacing w:after="60" w:before="60"/>
        <w:ind w:left="720"/>
      </w:pPr>
      <w:r>
        <w:rPr>
          <w:rFonts w:ascii="Courier New" w:cs="Courier New" w:eastAsia="Courier New" w:hAnsi="Courier New"/>
          <w:color w:val="1B3F6B"/>
          <w:sz w:val="20"/>
          <w:szCs w:val="20"/>
        </w:rPr>
        <w:t xml:space="preserve">expansion_ratio = current_arr / original_arr</w:t>
      </w:r>
    </w:p>
    <w:p>
      <w:pPr>
        <w:spacing w:after="60" w:before="60"/>
        <w:ind w:left="720"/>
      </w:pPr>
      <w:r>
        <w:rPr>
          <w:rFonts w:ascii="Courier New" w:cs="Courier New" w:eastAsia="Courier New" w:hAnsi="Courier New"/>
          <w:color w:val="1B3F6B"/>
          <w:sz w:val="20"/>
          <w:szCs w:val="20"/>
        </w:rPr>
        <w:t xml:space="preserve">expansion_score = MIN(expansion_ratio, 1.50) / 1.50 × 100</w:t>
      </w:r>
    </w:p>
    <w:p>
      <w:pPr>
        <w:spacing w:after="100" w:before="60"/>
      </w:pPr>
      <w:r>
        <w:rPr>
          <w:rFonts w:ascii="Arial" w:cs="Arial" w:eastAsia="Arial" w:hAnsi="Arial"/>
          <w:color w:val="333333"/>
          <w:sz w:val="22"/>
          <w:szCs w:val="22"/>
        </w:rPr>
        <w:t xml:space="preserve">An account whose ARR is unchanged since signing scores 67 (current_arr / original_arr = 1.0, divided by the 1.5 cap). An account that has expanded to 150%+ of original ARR scores 100. An account whose ARR has contracted scores proportionally below 67. Design rationale: Capping at 1.5× prevents a single large expansion from dominating the dimension score. Contraction (churn partial) is penalized automatically as the ratio falls below 1.0.</w:t>
      </w:r>
    </w:p>
    <w:p>
      <w:pPr>
        <w:spacing w:after="100" w:before="60"/>
      </w:pPr>
      <w:r>
        <w:rPr>
          <w:rFonts w:ascii="Arial" w:cs="Arial" w:eastAsia="Arial" w:hAnsi="Arial"/>
          <w:color w:val="333333"/>
          <w:sz w:val="22"/>
          <w:szCs w:val="22"/>
        </w:rPr>
        <w:t xml:space="preserve">Mid-year expansion handling: when a second contract is signed, original_arr uses the first contract's annual_commit_dollars. current_arr uses the sum of all active contracts at the calculation date.</w:t>
      </w:r>
    </w:p>
    <w:p>
      <w:pPr>
        <w:spacing w:after="60" w:before="200"/>
      </w:pPr>
      <w:r>
        <w:rPr>
          <w:rFonts w:ascii="Arial" w:cs="Arial" w:eastAsia="Arial" w:hAnsi="Arial"/>
          <w:b/>
          <w:bCs/>
          <w:color w:val="333333"/>
          <w:sz w:val="24"/>
          <w:szCs w:val="24"/>
        </w:rPr>
        <w:t xml:space="preserve">Dimension 5: Engagement Trend (weight 0.15)</w:t>
      </w:r>
    </w:p>
    <w:p>
      <w:pPr>
        <w:spacing w:after="100" w:before="60"/>
      </w:pPr>
      <w:r>
        <w:rPr>
          <w:rFonts w:ascii="Arial" w:cs="Arial" w:eastAsia="Arial" w:hAnsi="Arial"/>
          <w:color w:val="333333"/>
          <w:sz w:val="22"/>
          <w:szCs w:val="22"/>
        </w:rPr>
        <w:t xml:space="preserve">Measures the direction of consumption over a trailing 120-day window using linear regression on daily compute credits consumed.</w:t>
      </w:r>
    </w:p>
    <w:p>
      <w:pPr>
        <w:spacing w:after="60" w:before="60"/>
        <w:ind w:left="720"/>
      </w:pPr>
      <w:r>
        <w:rPr>
          <w:rFonts w:ascii="Courier New" w:cs="Courier New" w:eastAsia="Courier New" w:hAnsi="Courier New"/>
          <w:color w:val="1B3F6B"/>
          <w:sz w:val="20"/>
          <w:szCs w:val="20"/>
        </w:rPr>
        <w:t xml:space="preserve">slope = linear_regression_slope(daily_credits, trailing_120_days)</w:t>
      </w:r>
    </w:p>
    <w:p>
      <w:pPr>
        <w:spacing w:after="60" w:before="60"/>
        <w:ind w:left="720"/>
      </w:pPr>
      <w:r>
        <w:rPr>
          <w:rFonts w:ascii="Courier New" w:cs="Courier New" w:eastAsia="Courier New" w:hAnsi="Courier New"/>
          <w:color w:val="1B3F6B"/>
          <w:sz w:val="20"/>
          <w:szCs w:val="20"/>
        </w:rPr>
        <w:t xml:space="preserve">trend_score = CASE</w:t>
      </w:r>
    </w:p>
    <w:p>
      <w:pPr>
        <w:spacing w:after="60" w:before="60"/>
        <w:ind w:left="720"/>
      </w:pPr>
      <w:r>
        <w:rPr>
          <w:rFonts w:ascii="Courier New" w:cs="Courier New" w:eastAsia="Courier New" w:hAnsi="Courier New"/>
          <w:color w:val="1B3F6B"/>
          <w:sz w:val="20"/>
          <w:szCs w:val="20"/>
        </w:rPr>
        <w:t xml:space="preserve">  WHEN slope &gt; +5%/month  THEN 100   -- Strong growth</w:t>
      </w:r>
    </w:p>
    <w:p>
      <w:pPr>
        <w:spacing w:after="60" w:before="60"/>
        <w:ind w:left="720"/>
      </w:pPr>
      <w:r>
        <w:rPr>
          <w:rFonts w:ascii="Courier New" w:cs="Courier New" w:eastAsia="Courier New" w:hAnsi="Courier New"/>
          <w:color w:val="1B3F6B"/>
          <w:sz w:val="20"/>
          <w:szCs w:val="20"/>
        </w:rPr>
        <w:t xml:space="preserve">  WHEN slope &gt; 0           THEN 75    -- Flat/slight growth</w:t>
      </w:r>
    </w:p>
    <w:p>
      <w:pPr>
        <w:spacing w:after="60" w:before="60"/>
        <w:ind w:left="720"/>
      </w:pPr>
      <w:r>
        <w:rPr>
          <w:rFonts w:ascii="Courier New" w:cs="Courier New" w:eastAsia="Courier New" w:hAnsi="Courier New"/>
          <w:color w:val="1B3F6B"/>
          <w:sz w:val="20"/>
          <w:szCs w:val="20"/>
        </w:rPr>
        <w:t xml:space="preserve">  WHEN slope &gt; -5%/month   THEN 50    -- Slight decline</w:t>
      </w:r>
    </w:p>
    <w:p>
      <w:pPr>
        <w:spacing w:after="60" w:before="60"/>
        <w:ind w:left="720"/>
      </w:pPr>
      <w:r>
        <w:rPr>
          <w:rFonts w:ascii="Courier New" w:cs="Courier New" w:eastAsia="Courier New" w:hAnsi="Courier New"/>
          <w:color w:val="1B3F6B"/>
          <w:sz w:val="20"/>
          <w:szCs w:val="20"/>
        </w:rPr>
        <w:t xml:space="preserve">  WHEN slope &gt; -15%/month  THEN 25    -- Moderate decline</w:t>
      </w:r>
    </w:p>
    <w:p>
      <w:pPr>
        <w:spacing w:after="60" w:before="60"/>
        <w:ind w:left="720"/>
      </w:pPr>
      <w:r>
        <w:rPr>
          <w:rFonts w:ascii="Courier New" w:cs="Courier New" w:eastAsia="Courier New" w:hAnsi="Courier New"/>
          <w:color w:val="1B3F6B"/>
          <w:sz w:val="20"/>
          <w:szCs w:val="20"/>
        </w:rPr>
        <w:t xml:space="preserve">  ELSE                           0    -- Steep decline</w:t>
      </w:r>
    </w:p>
    <w:p>
      <w:pPr>
        <w:spacing w:after="100" w:before="60"/>
      </w:pPr>
      <w:r>
        <w:rPr>
          <w:rFonts w:ascii="Arial" w:cs="Arial" w:eastAsia="Arial" w:hAnsi="Arial"/>
          <w:color w:val="333333"/>
          <w:sz w:val="22"/>
          <w:szCs w:val="22"/>
        </w:rPr>
        <w:t xml:space="preserve">Window rationale: 120 days was selected over shorter windows (60, 90 days) to reduce noise in enterprise B2B consumption patterns, which are inherently bursty around deployment milestones, quarter-end, and contract renewals.</w:t>
      </w:r>
    </w:p>
    <w:p>
      <w:pPr>
        <w:pBdr>
          <w:bottom w:val="single" w:color="DDDDDD" w:sz="4" w:space="1"/>
        </w:pBdr>
        <w:spacing w:after="120" w:before="120"/>
      </w:pPr>
    </w:p>
    <w:p>
      <w:pPr>
        <w:pStyle w:val="Heading1"/>
        <w:spacing w:after="120" w:before="360"/>
      </w:pPr>
      <w:r>
        <w:rPr>
          <w:rFonts w:ascii="Arial" w:cs="Arial" w:eastAsia="Arial" w:hAnsi="Arial"/>
          <w:b/>
          <w:bCs/>
          <w:color w:val="1B3F6B"/>
          <w:sz w:val="32"/>
          <w:szCs w:val="32"/>
        </w:rPr>
        <w:t xml:space="preserve">6. Edge Case Handling</w:t>
      </w:r>
    </w:p>
    <w:p>
      <w:pPr>
        <w:spacing w:after="100" w:before="60"/>
      </w:pPr>
      <w:r>
        <w:rPr>
          <w:rFonts w:ascii="Arial" w:cs="Arial" w:eastAsia="Arial" w:hAnsi="Arial"/>
          <w:color w:val="333333"/>
          <w:sz w:val="22"/>
          <w:szCs w:val="22"/>
        </w:rPr>
        <w:t xml:space="preserve">The following five edge cases are explicitly seeded into the synthetic dataset. Each is handled at the metric calculation layer, not filtered out.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24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Detection Logic</w:t>
            </w:r>
          </w:p>
        </w:tc>
        <w:tc>
          <w:tcPr>
            <w:tcW w:type="dxa" w:w="20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AHI Impact</w:t>
            </w:r>
          </w:p>
        </w:tc>
        <w:tc>
          <w:tcPr>
            <w:tcW w:type="dxa" w:w="27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CSM Action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Spike &amp; Drop
(~5% of accounts)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Engagement Trend: negative 120-day slope visible by month 2 after spike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Trend score → 0–25. Overall AHI drops 15–20 pts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Escalate to CSM for re-engagement plan</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Shelfware
(~10% of accounts)</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Deployment Depth = 0, Consumption Health ≈ 0</w:t>
            </w:r>
          </w:p>
        </w:tc>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AHI floors at 0–20 (Stability + Trend only)</w:t>
            </w:r>
          </w:p>
        </w:tc>
        <w:tc>
          <w:tcPr>
            <w:tcW w:type="dxa" w:w="2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Flag for deployment health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Consistent Overages
(~15% of accounts)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raw_ratio &gt; 1.20 triggers 0.85 penalty multiplier on Consumption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Consumption score reduced ~15%. Flagged in output table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CSM to initiate upsell/right-size conversation</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Mid-Year Expansions</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New contract resets committed_credits denominator from expansion start_date</w:t>
            </w:r>
          </w:p>
        </w:tc>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Consumption ratio recalculated against new baseline</w:t>
            </w:r>
          </w:p>
        </w:tc>
        <w:tc>
          <w:tcPr>
            <w:tcW w:type="dxa" w:w="27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No action needed; expansion is a positive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Orphaned/Rogue Usage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DQ test catches account_ids with no match in Accounts table or usage outside contract dates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Excluded entirely from AHI calculation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Route to data engineering for source system audit</w:t>
            </w:r>
          </w:p>
        </w:tc>
      </w:tr>
    </w:tbl>
    <w:p>
      <w:pPr>
        <w:spacing w:after="120" w:before="120"/>
      </w:pPr>
    </w:p>
    <w:p>
      <w:pPr>
        <w:pBdr>
          <w:bottom w:val="single" w:color="DDDDDD" w:sz="4" w:space="1"/>
        </w:pBdr>
        <w:spacing w:after="120" w:before="120"/>
      </w:pPr>
    </w:p>
    <w:p>
      <w:pPr>
        <w:pStyle w:val="Heading1"/>
        <w:spacing w:after="120" w:before="360"/>
      </w:pPr>
      <w:r>
        <w:rPr>
          <w:rFonts w:ascii="Arial" w:cs="Arial" w:eastAsia="Arial" w:hAnsi="Arial"/>
          <w:b/>
          <w:bCs/>
          <w:color w:val="1B3F6B"/>
          <w:sz w:val="32"/>
          <w:szCs w:val="32"/>
        </w:rPr>
        <w:t xml:space="preserve">7. Rollup &amp; Aggregation Logic</w:t>
      </w:r>
    </w:p>
    <w:p>
      <w:pPr>
        <w:pStyle w:val="Heading2"/>
        <w:spacing w:after="80" w:before="280"/>
      </w:pPr>
      <w:r>
        <w:rPr>
          <w:rFonts w:ascii="Arial" w:cs="Arial" w:eastAsia="Arial" w:hAnsi="Arial"/>
          <w:b/>
          <w:bCs/>
          <w:color w:val="1B3F6B"/>
          <w:sz w:val="26"/>
          <w:szCs w:val="26"/>
        </w:rPr>
        <w:t xml:space="preserve">7.1 Account level</w:t>
      </w:r>
    </w:p>
    <w:p>
      <w:pPr>
        <w:spacing w:after="100" w:before="60"/>
      </w:pPr>
      <w:r>
        <w:rPr>
          <w:rFonts w:ascii="Arial" w:cs="Arial" w:eastAsia="Arial" w:hAnsi="Arial"/>
          <w:color w:val="333333"/>
          <w:sz w:val="22"/>
          <w:szCs w:val="22"/>
        </w:rPr>
        <w:t xml:space="preserve">AHI is calculated monthly per account_id using the formula above. Output table: account_ahi_monthly (account_id, month, ahi_score, consumption_score, deployment_score, stability_score, trend_score, overage_flag, orphan_flag).</w:t>
      </w:r>
    </w:p>
    <w:p>
      <w:pPr>
        <w:pStyle w:val="Heading2"/>
        <w:spacing w:after="80" w:before="280"/>
      </w:pPr>
      <w:r>
        <w:rPr>
          <w:rFonts w:ascii="Arial" w:cs="Arial" w:eastAsia="Arial" w:hAnsi="Arial"/>
          <w:b/>
          <w:bCs/>
          <w:color w:val="1B3F6B"/>
          <w:sz w:val="26"/>
          <w:szCs w:val="26"/>
        </w:rPr>
        <w:t xml:space="preserve">7.2 CSM level</w:t>
      </w:r>
    </w:p>
    <w:p>
      <w:pPr>
        <w:spacing w:after="100" w:before="60"/>
      </w:pPr>
      <w:r>
        <w:rPr>
          <w:rFonts w:ascii="Arial" w:cs="Arial" w:eastAsia="Arial" w:hAnsi="Arial"/>
          <w:color w:val="333333"/>
          <w:sz w:val="22"/>
          <w:szCs w:val="22"/>
        </w:rPr>
        <w:t xml:space="preserve">CSM-level AHI is the ARR-weighted average of all active accounts in the CSM's book of business for the month.</w:t>
      </w:r>
    </w:p>
    <w:p>
      <w:pPr>
        <w:spacing w:after="60" w:before="60"/>
        <w:ind w:left="720"/>
      </w:pPr>
      <w:r>
        <w:rPr>
          <w:rFonts w:ascii="Courier New" w:cs="Courier New" w:eastAsia="Courier New" w:hAnsi="Courier New"/>
          <w:color w:val="1B3F6B"/>
          <w:sz w:val="20"/>
          <w:szCs w:val="20"/>
        </w:rPr>
        <w:t xml:space="preserve">csm_ahi = SUM(account_ahi × account_arr) / SUM(account_arr)</w:t>
      </w:r>
    </w:p>
    <w:p>
      <w:pPr>
        <w:spacing w:after="100" w:before="60"/>
      </w:pPr>
      <w:r>
        <w:rPr>
          <w:rFonts w:ascii="Arial" w:cs="Arial" w:eastAsia="Arial" w:hAnsi="Arial"/>
          <w:color w:val="333333"/>
          <w:sz w:val="22"/>
          <w:szCs w:val="22"/>
        </w:rPr>
        <w:t xml:space="preserve">Weighting by ARR ensures that a single large at-risk account has appropriate influence on the CSM's aggregate score, rather than being diluted by a large count of healthy small accounts.</w:t>
      </w:r>
    </w:p>
    <w:p>
      <w:pPr>
        <w:pStyle w:val="Heading2"/>
        <w:spacing w:after="80" w:before="280"/>
      </w:pPr>
      <w:r>
        <w:rPr>
          <w:rFonts w:ascii="Arial" w:cs="Arial" w:eastAsia="Arial" w:hAnsi="Arial"/>
          <w:b/>
          <w:bCs/>
          <w:color w:val="1B3F6B"/>
          <w:sz w:val="26"/>
          <w:szCs w:val="26"/>
        </w:rPr>
        <w:t xml:space="preserve">7.3 Regional rollup</w:t>
      </w:r>
    </w:p>
    <w:p>
      <w:pPr>
        <w:spacing w:after="100" w:before="60"/>
      </w:pPr>
      <w:r>
        <w:rPr>
          <w:rFonts w:ascii="Arial" w:cs="Arial" w:eastAsia="Arial" w:hAnsi="Arial"/>
          <w:color w:val="333333"/>
          <w:sz w:val="22"/>
          <w:szCs w:val="22"/>
        </w:rPr>
        <w:t xml:space="preserve">Region-level AHI is the ARR-weighted average of all CSM-level AHI scores within the region. Segment breakdowns (Enterprise / Mid-Market) are available as a filter dimension, not a separate calculation.</w:t>
      </w:r>
    </w:p>
    <w:p>
      <w:pPr>
        <w:pBdr>
          <w:bottom w:val="single" w:color="DDDDDD" w:sz="4" w:space="1"/>
        </w:pBdr>
        <w:spacing w:after="120" w:before="120"/>
      </w:pPr>
    </w:p>
    <w:p>
      <w:pPr>
        <w:pStyle w:val="Heading1"/>
        <w:spacing w:after="120" w:before="360"/>
      </w:pPr>
      <w:r>
        <w:rPr>
          <w:rFonts w:ascii="Arial" w:cs="Arial" w:eastAsia="Arial" w:hAnsi="Arial"/>
          <w:b/>
          <w:bCs/>
          <w:color w:val="1B3F6B"/>
          <w:sz w:val="32"/>
          <w:szCs w:val="32"/>
        </w:rPr>
        <w:t xml:space="preserve">8. AI Components</w:t>
      </w:r>
    </w:p>
    <w:p>
      <w:pPr>
        <w:spacing w:after="100" w:before="60"/>
      </w:pPr>
      <w:r>
        <w:rPr>
          <w:rFonts w:ascii="Arial" w:cs="Arial" w:eastAsia="Arial" w:hAnsi="Arial"/>
          <w:color w:val="333333"/>
          <w:sz w:val="22"/>
          <w:szCs w:val="22"/>
        </w:rPr>
        <w:t xml:space="preserve">AHI v1 incorporates two AI components inside the solution, in addition to AI-assisted development tooling used to build the pipeline and dashboard. These components are distinct: one operates on structured data (anomaly detection), the other on the metric output (narrative generation).</w:t>
      </w:r>
    </w:p>
    <w:p>
      <w:pPr>
        <w:pStyle w:val="Heading2"/>
        <w:spacing w:after="80" w:before="280"/>
      </w:pPr>
      <w:r>
        <w:rPr>
          <w:rFonts w:ascii="Arial" w:cs="Arial" w:eastAsia="Arial" w:hAnsi="Arial"/>
          <w:b/>
          <w:bCs/>
          <w:color w:val="1B3F6B"/>
          <w:sz w:val="26"/>
          <w:szCs w:val="26"/>
        </w:rPr>
        <w:t xml:space="preserve">8.1 Anomaly Detection — Isolation Forest (Engagement Trend modifier)</w:t>
      </w:r>
    </w:p>
    <w:p>
      <w:pPr>
        <w:spacing w:after="100" w:before="60"/>
      </w:pPr>
      <w:r>
        <w:rPr>
          <w:rFonts w:ascii="Arial" w:cs="Arial" w:eastAsia="Arial" w:hAnsi="Arial"/>
          <w:color w:val="333333"/>
          <w:sz w:val="22"/>
          <w:szCs w:val="22"/>
        </w:rPr>
        <w:t xml:space="preserve">An Isolation Forest model runs on each account's trailing 120-day daily usage log to detect statistically anomalous consumption patterns that linear regression slope alone cannot catch. Specifically it targets spike-and-drop accounts — those that consumed heavily in early months then dropped to near zero — whose regression slope may appear only mildly negative despite representing a serious health risk.</w:t>
      </w:r>
    </w:p>
    <w:p>
      <w:pPr>
        <w:spacing w:after="100" w:before="60"/>
      </w:pPr>
      <w:r>
        <w:rPr>
          <w:rFonts w:ascii="Arial" w:cs="Arial" w:eastAsia="Arial" w:hAnsi="Arial"/>
          <w:color w:val="333333"/>
          <w:sz w:val="22"/>
          <w:szCs w:val="22"/>
        </w:rPr>
        <w:t xml:space="preserve">Technical design:</w:t>
      </w:r>
    </w:p>
    <w:p>
      <w:pPr>
        <w:pStyle w:val="ListParagraph"/>
        <w:numPr>
          <w:ilvl w:val="0"/>
          <w:numId w:val="2"/>
        </w:numPr>
        <w:spacing w:after="40" w:before="40"/>
      </w:pPr>
      <w:r>
        <w:rPr>
          <w:rFonts w:ascii="Arial" w:cs="Arial" w:eastAsia="Arial" w:hAnsi="Arial"/>
          <w:color w:val="333333"/>
          <w:sz w:val="22"/>
          <w:szCs w:val="22"/>
        </w:rPr>
        <w:t xml:space="preserve">Model: sklearn IsolationForest, contamination=0.05 (expects ~5% of accounts to be anomalous, matching the seeded edge case rate).</w:t>
      </w:r>
    </w:p>
    <w:p>
      <w:pPr>
        <w:pStyle w:val="ListParagraph"/>
        <w:numPr>
          <w:ilvl w:val="0"/>
          <w:numId w:val="2"/>
        </w:numPr>
        <w:spacing w:after="40" w:before="40"/>
      </w:pPr>
      <w:r>
        <w:rPr>
          <w:rFonts w:ascii="Arial" w:cs="Arial" w:eastAsia="Arial" w:hAnsi="Arial"/>
          <w:color w:val="333333"/>
          <w:sz w:val="22"/>
          <w:szCs w:val="22"/>
        </w:rPr>
        <w:t xml:space="preserve">Features: daily_credits_consumed variance, max-to-mean ratio, month-1 consumption share of annual total, consecutive zero-usage days.</w:t>
      </w:r>
    </w:p>
    <w:p>
      <w:pPr>
        <w:pStyle w:val="ListParagraph"/>
        <w:numPr>
          <w:ilvl w:val="0"/>
          <w:numId w:val="2"/>
        </w:numPr>
        <w:spacing w:after="40" w:before="40"/>
      </w:pPr>
      <w:r>
        <w:rPr>
          <w:rFonts w:ascii="Arial" w:cs="Arial" w:eastAsia="Arial" w:hAnsi="Arial"/>
          <w:color w:val="333333"/>
          <w:sz w:val="22"/>
          <w:szCs w:val="22"/>
        </w:rPr>
        <w:t xml:space="preserve">Output: binary anomaly flag (1 = anomalous, 0 = normal) per account per month.</w:t>
      </w:r>
    </w:p>
    <w:p>
      <w:pPr>
        <w:pStyle w:val="ListParagraph"/>
        <w:numPr>
          <w:ilvl w:val="0"/>
          <w:numId w:val="2"/>
        </w:numPr>
        <w:spacing w:after="40" w:before="40"/>
      </w:pPr>
      <w:r>
        <w:rPr>
          <w:rFonts w:ascii="Arial" w:cs="Arial" w:eastAsia="Arial" w:hAnsi="Arial"/>
          <w:color w:val="333333"/>
          <w:sz w:val="22"/>
          <w:szCs w:val="22"/>
        </w:rPr>
        <w:t xml:space="preserve">Score impact: when anomaly flag = 1, Engagement Trend score is multiplied by 0.50. This is a penalty multiplier, not a hard override — the underlying regression slope still contributes to the score, preserving the distinction between a recovering anomalous account and a still-declining one.</w:t>
      </w:r>
    </w:p>
    <w:p>
      <w:pPr>
        <w:spacing w:after="100" w:before="60"/>
      </w:pPr>
      <w:r>
        <w:rPr>
          <w:rFonts w:ascii="Arial" w:cs="Arial" w:eastAsia="Arial" w:hAnsi="Arial"/>
          <w:color w:val="333333"/>
          <w:sz w:val="22"/>
          <w:szCs w:val="22"/>
        </w:rPr>
        <w:t xml:space="preserve">Trade-off rationale: a hard override to zero was rejected because it treats a recovering spike-and-drop account identically to an account in active freefall. The 0.50 multiplier preserves directional signal while making the anomaly meaningfully visible in the composite score.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2200"/>
        <w:gridCol w:w="2160"/>
      </w:tblGrid>
      <w:tr>
        <w:trPr>
          <w:tblHeader/>
        </w:trPr>
        <w:tc>
          <w:tcPr>
            <w:tcW w:type="dxa" w:w="2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Regression Slope</w:t>
            </w:r>
          </w:p>
        </w:tc>
        <w:tc>
          <w:tcPr>
            <w:tcW w:type="dxa" w:w="1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Anomaly Flag</w:t>
            </w:r>
          </w:p>
        </w:tc>
        <w:tc>
          <w:tcPr>
            <w:tcW w:type="dxa" w:w="22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Trend Score (before multiplier)</w:t>
            </w:r>
          </w:p>
        </w:tc>
        <w:tc>
          <w:tcPr>
            <w:tcW w:type="dxa" w:w="21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Final Trend 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Spike-and-drop, still declining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Spike-and-drop, recovering</w:t>
            </w:r>
          </w:p>
        </w:tc>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+3%/month</w:t>
            </w:r>
          </w:p>
        </w:tc>
        <w:tc>
          <w:tcPr>
            <w:tcW w:type="dxa" w:w="1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75</w:t>
            </w:r>
          </w:p>
        </w:tc>
        <w:tc>
          <w:tcPr>
            <w:tcW w:type="dxa" w:w="2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38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 declining account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Normal healthy account</w:t>
            </w:r>
          </w:p>
        </w:tc>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+6%/month</w:t>
            </w:r>
          </w:p>
        </w:tc>
        <w:tc>
          <w:tcPr>
            <w:tcW w:type="dxa" w:w="1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100</w:t>
            </w:r>
          </w:p>
        </w:tc>
      </w:tr>
    </w:tbl>
    <w:p>
      <w:pPr>
        <w:spacing w:after="80" w:before="120"/>
      </w:pPr>
    </w:p>
    <w:p>
      <w:pPr>
        <w:pStyle w:val="Heading2"/>
        <w:spacing w:after="80" w:before="280"/>
      </w:pPr>
      <w:r>
        <w:rPr>
          <w:rFonts w:ascii="Arial" w:cs="Arial" w:eastAsia="Arial" w:hAnsi="Arial"/>
          <w:b/>
          <w:bCs/>
          <w:color w:val="1B3F6B"/>
          <w:sz w:val="26"/>
          <w:szCs w:val="26"/>
        </w:rPr>
        <w:t xml:space="preserve">8.2 LLM Narrative Generation — Claude API (dashboard layer)</w:t>
      </w:r>
    </w:p>
    <w:p>
      <w:pPr>
        <w:spacing w:after="100" w:before="60"/>
      </w:pPr>
      <w:r>
        <w:rPr>
          <w:rFonts w:ascii="Arial" w:cs="Arial" w:eastAsia="Arial" w:hAnsi="Arial"/>
          <w:color w:val="333333"/>
          <w:sz w:val="22"/>
          <w:szCs w:val="22"/>
        </w:rPr>
        <w:t xml:space="preserve">For every account scoring below AHI 80 (Monitor, At Risk, Critical, Churning), a plain-English health narrative is generated via the Claude API and displayed in the dashboard alongside the score. Healthy accounts (AHI ≥ 80) show scores and dimension bars only — no narrative — to preserve signal value and reduce cognitive load for CSMs.</w:t>
      </w:r>
    </w:p>
    <w:p>
      <w:pPr>
        <w:spacing w:after="100" w:before="60"/>
      </w:pPr>
      <w:r>
        <w:rPr>
          <w:rFonts w:ascii="Arial" w:cs="Arial" w:eastAsia="Arial" w:hAnsi="Arial"/>
          <w:color w:val="333333"/>
          <w:sz w:val="22"/>
          <w:szCs w:val="22"/>
        </w:rPr>
        <w:t xml:space="preserve">Design principle: the AI speaks up when it matters and stays quiet when it does not. If every account has a narrative, it becomes wallpaper. Restricting narrative generation to sub-80 accounts makes its presence a signal in itself.</w:t>
      </w:r>
    </w:p>
    <w:p>
      <w:pPr>
        <w:spacing w:after="100" w:before="60"/>
      </w:pPr>
      <w:r>
        <w:rPr>
          <w:rFonts w:ascii="Arial" w:cs="Arial" w:eastAsia="Arial" w:hAnsi="Arial"/>
          <w:color w:val="333333"/>
          <w:sz w:val="22"/>
          <w:szCs w:val="22"/>
        </w:rPr>
        <w:t xml:space="preserve">Prompt structure passed to Claude API per account:</w:t>
      </w:r>
    </w:p>
    <w:p>
      <w:pPr>
        <w:spacing w:after="60" w:before="60"/>
        <w:ind w:left="720"/>
      </w:pPr>
      <w:r>
        <w:rPr>
          <w:rFonts w:ascii="Courier New" w:cs="Courier New" w:eastAsia="Courier New" w:hAnsi="Courier New"/>
          <w:color w:val="1B3F6B"/>
          <w:sz w:val="20"/>
          <w:szCs w:val="20"/>
        </w:rPr>
        <w:t xml:space="preserve">You are a Customer Success analyst at Palo Alto Networks.</w:t>
      </w:r>
    </w:p>
    <w:p>
      <w:pPr>
        <w:spacing w:after="60" w:before="60"/>
        <w:ind w:left="720"/>
      </w:pPr>
      <w:r>
        <w:rPr>
          <w:rFonts w:ascii="Courier New" w:cs="Courier New" w:eastAsia="Courier New" w:hAnsi="Courier New"/>
          <w:color w:val="1B3F6B"/>
          <w:sz w:val="20"/>
          <w:szCs w:val="20"/>
        </w:rPr>
        <w:t xml:space="preserve">Write a 2-3 sentence account health summary for a CSM.</w:t>
      </w:r>
    </w:p>
    <w:p>
      <w:pPr>
        <w:spacing w:after="60" w:before="60"/>
        <w:ind w:left="720"/>
      </w:pPr>
      <w:r>
        <w:rPr>
          <w:rFonts w:ascii="Courier New" w:cs="Courier New" w:eastAsia="Courier New" w:hAnsi="Courier New"/>
          <w:color w:val="1B3F6B"/>
          <w:sz w:val="20"/>
          <w:szCs w:val="20"/>
        </w:rPr>
        <w:t xml:space="preserve">Be specific, factual, and action-oriented. No filler.</w:t>
      </w:r>
    </w:p>
    <w:p>
      <w:pPr>
        <w:spacing w:after="60" w:before="60"/>
        <w:ind w:left="720"/>
      </w:pPr>
      <w:r>
        <w:rPr>
          <w:rFonts w:ascii="Courier New" w:cs="Courier New" w:eastAsia="Courier New" w:hAnsi="Courier New"/>
          <w:color w:val="1B3F6B"/>
          <w:sz w:val="20"/>
          <w:szCs w:val="20"/>
        </w:rPr>
        <w:t xml:space="preserve"/>
      </w:r>
    </w:p>
    <w:p>
      <w:pPr>
        <w:spacing w:after="60" w:before="60"/>
        <w:ind w:left="720"/>
      </w:pPr>
      <w:r>
        <w:rPr>
          <w:rFonts w:ascii="Courier New" w:cs="Courier New" w:eastAsia="Courier New" w:hAnsi="Courier New"/>
          <w:color w:val="1B3F6B"/>
          <w:sz w:val="20"/>
          <w:szCs w:val="20"/>
        </w:rPr>
        <w:t xml:space="preserve">Account: {company_name}</w:t>
      </w:r>
    </w:p>
    <w:p>
      <w:pPr>
        <w:spacing w:after="60" w:before="60"/>
        <w:ind w:left="720"/>
      </w:pPr>
      <w:r>
        <w:rPr>
          <w:rFonts w:ascii="Courier New" w:cs="Courier New" w:eastAsia="Courier New" w:hAnsi="Courier New"/>
          <w:color w:val="1B3F6B"/>
          <w:sz w:val="20"/>
          <w:szCs w:val="20"/>
        </w:rPr>
        <w:t xml:space="preserve">AHI Score: {ahi_score} ({status})</w:t>
      </w:r>
    </w:p>
    <w:p>
      <w:pPr>
        <w:spacing w:after="60" w:before="60"/>
        <w:ind w:left="720"/>
      </w:pPr>
      <w:r>
        <w:rPr>
          <w:rFonts w:ascii="Courier New" w:cs="Courier New" w:eastAsia="Courier New" w:hAnsi="Courier New"/>
          <w:color w:val="1B3F6B"/>
          <w:sz w:val="20"/>
          <w:szCs w:val="20"/>
        </w:rPr>
        <w:t xml:space="preserve">Consumption Health: {consumption_score} (credits used: {pct_consumed}% of committed)</w:t>
      </w:r>
    </w:p>
    <w:p>
      <w:pPr>
        <w:spacing w:after="60" w:before="60"/>
        <w:ind w:left="720"/>
      </w:pPr>
      <w:r>
        <w:rPr>
          <w:rFonts w:ascii="Courier New" w:cs="Courier New" w:eastAsia="Courier New" w:hAnsi="Courier New"/>
          <w:color w:val="1B3F6B"/>
          <w:sz w:val="20"/>
          <w:szCs w:val="20"/>
        </w:rPr>
        <w:t xml:space="preserve">Deployment Depth: {deployment_score} ({products_deployed} of {products_purchased} products active)</w:t>
      </w:r>
    </w:p>
    <w:p>
      <w:pPr>
        <w:spacing w:after="60" w:before="60"/>
        <w:ind w:left="720"/>
      </w:pPr>
      <w:r>
        <w:rPr>
          <w:rFonts w:ascii="Courier New" w:cs="Courier New" w:eastAsia="Courier New" w:hAnsi="Courier New"/>
          <w:color w:val="1B3F6B"/>
          <w:sz w:val="20"/>
          <w:szCs w:val="20"/>
        </w:rPr>
        <w:t xml:space="preserve">Platform Stability: {stability_score} ({open_p1} P1, {open_p2} P2, {open_p3} P3 tickets open)</w:t>
      </w:r>
    </w:p>
    <w:p>
      <w:pPr>
        <w:spacing w:after="60" w:before="60"/>
        <w:ind w:left="720"/>
      </w:pPr>
      <w:r>
        <w:rPr>
          <w:rFonts w:ascii="Courier New" w:cs="Courier New" w:eastAsia="Courier New" w:hAnsi="Courier New"/>
          <w:color w:val="1B3F6B"/>
          <w:sz w:val="20"/>
          <w:szCs w:val="20"/>
        </w:rPr>
        <w:t xml:space="preserve">Contract Expansion: {expansion_score} (ARR {expansion_pct}% of original contract)</w:t>
      </w:r>
    </w:p>
    <w:p>
      <w:pPr>
        <w:spacing w:after="60" w:before="60"/>
        <w:ind w:left="720"/>
      </w:pPr>
      <w:r>
        <w:rPr>
          <w:rFonts w:ascii="Courier New" w:cs="Courier New" w:eastAsia="Courier New" w:hAnsi="Courier New"/>
          <w:color w:val="1B3F6B"/>
          <w:sz w:val="20"/>
          <w:szCs w:val="20"/>
        </w:rPr>
        <w:t xml:space="preserve">Engagement Trend: {trend_score} (120-day slope: {slope_direction})</w:t>
      </w:r>
    </w:p>
    <w:p>
      <w:pPr>
        <w:spacing w:after="60" w:before="60"/>
        <w:ind w:left="720"/>
      </w:pPr>
      <w:r>
        <w:rPr>
          <w:rFonts w:ascii="Courier New" w:cs="Courier New" w:eastAsia="Courier New" w:hAnsi="Courier New"/>
          <w:color w:val="1B3F6B"/>
          <w:sz w:val="20"/>
          <w:szCs w:val="20"/>
        </w:rPr>
        <w:t xml:space="preserve">Anomaly detected: {anomaly_flag}</w:t>
      </w:r>
    </w:p>
    <w:p>
      <w:pPr>
        <w:spacing w:after="60" w:before="60"/>
        <w:ind w:left="720"/>
      </w:pPr>
      <w:r>
        <w:rPr>
          <w:rFonts w:ascii="Courier New" w:cs="Courier New" w:eastAsia="Courier New" w:hAnsi="Courier New"/>
          <w:color w:val="1B3F6B"/>
          <w:sz w:val="20"/>
          <w:szCs w:val="20"/>
        </w:rPr>
        <w:t xml:space="preserve">Days to renewal: {days_to_renewal}</w:t>
      </w:r>
    </w:p>
    <w:p>
      <w:pPr>
        <w:spacing w:after="80" w:before="80"/>
      </w:pPr>
    </w:p>
    <w:p>
      <w:pPr>
        <w:spacing w:after="100" w:before="60"/>
      </w:pPr>
      <w:r>
        <w:rPr>
          <w:rFonts w:ascii="Arial" w:cs="Arial" w:eastAsia="Arial" w:hAnsi="Arial"/>
          <w:color w:val="333333"/>
          <w:sz w:val="22"/>
          <w:szCs w:val="22"/>
        </w:rPr>
        <w:t xml:space="preserve">Example output for an At Risk account:</w:t>
      </w:r>
    </w:p>
    <w:p>
      <w:pPr>
        <w:spacing w:after="60" w:before="60"/>
        <w:ind w:left="720"/>
      </w:pPr>
      <w:r>
        <w:rPr>
          <w:rFonts w:ascii="Arial" w:cs="Arial" w:eastAsia="Arial" w:hAnsi="Arial"/>
          <w:i/>
          <w:iCs/>
          <w:color w:val="444444"/>
          <w:sz w:val="22"/>
          <w:szCs w:val="22"/>
        </w:rPr>
        <w:t xml:space="preserve">“Health dropped 11 points this month. Deployment is stuck at 40% — 3 of 5 purchased products show no active usage in the last 30 days. An anomaly was detected in consumption patterns: usage spiked 3× in Month 1 then dropped to near zero. P2 ticket open 47 days. Recommended action: executive sponsor call before the Q2 renewal window opens in 6 weeks.”</w:t>
      </w:r>
    </w:p>
    <w:p>
      <w:pPr>
        <w:spacing w:after="80" w:before="80"/>
      </w:pPr>
    </w:p>
    <w:p>
      <w:pPr>
        <w:spacing w:after="100" w:before="60"/>
      </w:pPr>
      <w:r>
        <w:rPr>
          <w:rFonts w:ascii="Arial" w:cs="Arial" w:eastAsia="Arial" w:hAnsi="Arial"/>
          <w:color w:val="333333"/>
          <w:sz w:val="22"/>
          <w:szCs w:val="22"/>
        </w:rPr>
        <w:t xml:space="preserve">Human-in-the-loop interface: the narrative is a recommendation, not a command. The CSM reads it, decides whether to act, and logs the outcome in the CRM. CSM override data (acted / dismissed / escalated) feeds back into the shadow period calibration dataset, creating a reinforcement signal for future weight refinement.</w:t>
      </w:r>
    </w:p>
    <w:p>
      <w:pPr>
        <w:pBdr>
          <w:bottom w:val="single" w:color="DDDDDD" w:sz="4" w:space="1"/>
        </w:pBdr>
        <w:spacing w:after="120" w:before="120"/>
      </w:pPr>
    </w:p>
    <w:p>
      <w:pPr>
        <w:pStyle w:val="Heading1"/>
        <w:spacing w:after="120" w:before="360"/>
      </w:pPr>
      <w:r>
        <w:rPr>
          <w:rFonts w:ascii="Arial" w:cs="Arial" w:eastAsia="Arial" w:hAnsi="Arial"/>
          <w:b/>
          <w:bCs/>
          <w:color w:val="1B3F6B"/>
          <w:sz w:val="32"/>
          <w:szCs w:val="32"/>
        </w:rPr>
        <w:t xml:space="preserve">9. Dashboard Specification</w:t>
      </w:r>
    </w:p>
    <w:p>
      <w:pPr>
        <w:spacing w:after="100" w:before="60"/>
      </w:pPr>
      <w:r>
        <w:rPr>
          <w:rFonts w:ascii="Arial" w:cs="Arial" w:eastAsia="Arial" w:hAnsi="Arial"/>
          <w:color w:val="333333"/>
          <w:sz w:val="22"/>
          <w:szCs w:val="22"/>
        </w:rPr>
        <w:t xml:space="preserve">The AHI dashboard is a React single-page application connected to the csm_ahi_monthly and account_ahi_monthly BigQuery output tables. It is the primary interface through which CS leadership and CSM reps interact with AHI. The dashboard has three views: Executive, CSM, and Account.</w:t>
      </w:r>
    </w:p>
    <w:p>
      <w:pPr>
        <w:pStyle w:val="Heading2"/>
        <w:spacing w:after="80" w:before="280"/>
      </w:pPr>
      <w:r>
        <w:rPr>
          <w:rFonts w:ascii="Arial" w:cs="Arial" w:eastAsia="Arial" w:hAnsi="Arial"/>
          <w:b/>
          <w:bCs/>
          <w:color w:val="1B3F6B"/>
          <w:sz w:val="26"/>
          <w:szCs w:val="26"/>
        </w:rPr>
        <w:t xml:space="preserve">9.1 Design principles</w:t>
      </w:r>
    </w:p>
    <w:p>
      <w:pPr>
        <w:pStyle w:val="ListParagraph"/>
        <w:numPr>
          <w:ilvl w:val="0"/>
          <w:numId w:val="2"/>
        </w:numPr>
        <w:spacing w:after="40" w:before="40"/>
      </w:pPr>
      <w:r>
        <w:rPr>
          <w:rFonts w:ascii="Arial" w:cs="Arial" w:eastAsia="Arial" w:hAnsi="Arial"/>
          <w:color w:val="333333"/>
          <w:sz w:val="22"/>
          <w:szCs w:val="22"/>
        </w:rPr>
        <w:t xml:space="preserve">Executive-first information hierarchy: the most important number (portfolio AHI, ARR at risk) is visible above the fold without scrolling.</w:t>
      </w:r>
    </w:p>
    <w:p>
      <w:pPr>
        <w:pStyle w:val="ListParagraph"/>
        <w:numPr>
          <w:ilvl w:val="0"/>
          <w:numId w:val="2"/>
        </w:numPr>
        <w:spacing w:after="40" w:before="40"/>
      </w:pPr>
      <w:r>
        <w:rPr>
          <w:rFonts w:ascii="Arial" w:cs="Arial" w:eastAsia="Arial" w:hAnsi="Arial"/>
          <w:color w:val="333333"/>
          <w:sz w:val="22"/>
          <w:szCs w:val="22"/>
        </w:rPr>
        <w:t xml:space="preserve">Action-oriented layout: accounts requiring intervention are surfaced at the top, not buried in a sortable table.</w:t>
      </w:r>
    </w:p>
    <w:p>
      <w:pPr>
        <w:pStyle w:val="ListParagraph"/>
        <w:numPr>
          <w:ilvl w:val="0"/>
          <w:numId w:val="2"/>
        </w:numPr>
        <w:spacing w:after="40" w:before="40"/>
      </w:pPr>
      <w:r>
        <w:rPr>
          <w:rFonts w:ascii="Arial" w:cs="Arial" w:eastAsia="Arial" w:hAnsi="Arial"/>
          <w:color w:val="333333"/>
          <w:sz w:val="22"/>
          <w:szCs w:val="22"/>
        </w:rPr>
        <w:t xml:space="preserve">AI speaks when it matters: LLM narratives appear only for accounts below AHI 80. Healthy accounts show scores and bars only.</w:t>
      </w:r>
    </w:p>
    <w:p>
      <w:pPr>
        <w:pStyle w:val="ListParagraph"/>
        <w:numPr>
          <w:ilvl w:val="0"/>
          <w:numId w:val="2"/>
        </w:numPr>
        <w:spacing w:after="40" w:before="40"/>
      </w:pPr>
      <w:r>
        <w:rPr>
          <w:rFonts w:ascii="Arial" w:cs="Arial" w:eastAsia="Arial" w:hAnsi="Arial"/>
          <w:color w:val="333333"/>
          <w:sz w:val="22"/>
          <w:szCs w:val="22"/>
        </w:rPr>
        <w:t xml:space="preserve">Color as signal, not decoration: Healthy (green), Monitor (yellow), At Risk (amber), Critical (red), Churning (dark red) — consistent across all three views.</w:t>
      </w:r>
    </w:p>
    <w:p>
      <w:pPr>
        <w:spacing w:after="80" w:before="80"/>
      </w:pPr>
    </w:p>
    <w:p>
      <w:pPr>
        <w:pStyle w:val="Heading2"/>
        <w:spacing w:after="80" w:before="280"/>
      </w:pPr>
      <w:r>
        <w:rPr>
          <w:rFonts w:ascii="Arial" w:cs="Arial" w:eastAsia="Arial" w:hAnsi="Arial"/>
          <w:b/>
          <w:bCs/>
          <w:color w:val="1B3F6B"/>
          <w:sz w:val="26"/>
          <w:szCs w:val="26"/>
        </w:rPr>
        <w:t xml:space="preserve">9.2 View 1 — Executive view (VP CS audience)</w:t>
      </w:r>
    </w:p>
    <w:p>
      <w:pPr>
        <w:spacing w:after="100" w:before="60"/>
      </w:pPr>
      <w:r>
        <w:rPr>
          <w:rFonts w:ascii="Arial" w:cs="Arial" w:eastAsia="Arial" w:hAnsi="Arial"/>
          <w:color w:val="333333"/>
          <w:sz w:val="22"/>
          <w:szCs w:val="22"/>
        </w:rPr>
        <w:t xml:space="preserve">Primary audience: VP of Customer Success, CS leadership. Purpose: portfolio-level health at a glance, with drill-down by Region and segment.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51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 AHI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csm_ahi_monthly, ARR-weighted average across all CSMs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 large number at top of page. Current month vs. prior month delta shown as +/− indicator.</w:t>
            </w:r>
          </w:p>
        </w:tc>
      </w:tr>
      <w:tr>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ARR at risk</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account_ahi_monthly WHERE ahi_score &lt; 50, SUM(annual_arr)</w:t>
            </w:r>
          </w:p>
        </w:tc>
        <w:tc>
          <w:tcPr>
            <w:tcW w:type="dxa" w:w="5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Total ARR in At Risk + Critical + Churning accounts. Shown in dollars, updated monthly.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Accounts by 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account_ahi_monthly, COUNT by health status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Five-segment bar or donut chart: Healthy / Monitor / At Risk / Critical / Churning. Clickable — click a segment to filter the CSM leaderboard below.</w:t>
            </w:r>
          </w:p>
        </w:tc>
      </w:tr>
      <w:tr>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CSM leaderboard</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csm_ahi_monthly JOIN csm_rep on csm_id</w:t>
            </w:r>
          </w:p>
        </w:tc>
        <w:tc>
          <w:tcPr>
            <w:tcW w:type="dxa" w:w="5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Table of all CSMs sorted by AHI score ascending (lowest first). Columns: CSM name, region, segment, AHI score, accounts at risk count, ARR at risk. Filter by Region and Segment.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Region filter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csm_rep.region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Dropdown: All Regions / West / East / EMEA. Filters all components on the page simultaneously.</w:t>
            </w:r>
          </w:p>
        </w:tc>
      </w:tr>
      <w:tr>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Segment filter</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csm_rep.segment</w:t>
            </w:r>
          </w:p>
        </w:tc>
        <w:tc>
          <w:tcPr>
            <w:tcW w:type="dxa" w:w="5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Dropdown: All / Enterprise / Mid-Market. Filters all components on the page simultaneously.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selector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account_ahi_monthly.month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Slider or dropdown to view historical AHI by month across the 12-month dataset.</w:t>
            </w:r>
          </w:p>
        </w:tc>
      </w:tr>
    </w:tbl>
    <w:p>
      <w:pPr>
        <w:spacing w:after="80" w:before="120"/>
      </w:pPr>
    </w:p>
    <w:p>
      <w:pPr>
        <w:pStyle w:val="Heading2"/>
        <w:spacing w:after="80" w:before="280"/>
      </w:pPr>
      <w:r>
        <w:rPr>
          <w:rFonts w:ascii="Arial" w:cs="Arial" w:eastAsia="Arial" w:hAnsi="Arial"/>
          <w:b/>
          <w:bCs/>
          <w:color w:val="1B3F6B"/>
          <w:sz w:val="26"/>
          <w:szCs w:val="26"/>
        </w:rPr>
        <w:t xml:space="preserve">9.3 View 2 — CSM view (CSM rep audience)</w:t>
      </w:r>
    </w:p>
    <w:p>
      <w:pPr>
        <w:spacing w:after="100" w:before="60"/>
      </w:pPr>
      <w:r>
        <w:rPr>
          <w:rFonts w:ascii="Arial" w:cs="Arial" w:eastAsia="Arial" w:hAnsi="Arial"/>
          <w:color w:val="333333"/>
          <w:sz w:val="22"/>
          <w:szCs w:val="22"/>
        </w:rPr>
        <w:t xml:space="preserve">Primary audience: individual CSM reps. Purpose: book of business ranked by health, with AI-generated narratives for accounts requiring action.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51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CSM AHI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csm_ahi_monthly for selected CSM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CSM's ARR-weighted portfolio score for current month. Prior month delta shown.</w:t>
            </w:r>
          </w:p>
        </w:tc>
      </w:tr>
      <w:tr>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Book summary metrics</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account_ahi_monthly filtered by CSM</w:t>
            </w:r>
          </w:p>
        </w:tc>
        <w:tc>
          <w:tcPr>
            <w:tcW w:type="dxa" w:w="5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Four metric cards: total accounts, accounts needing attention (AHI &lt; 65), ARR at risk, upsell opportunities flagged (overage_flag = TRUE).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account_ahi_monthly JOIN accounts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accounts owned by CSM, sorted by AHI score ascending. Critical and Churning accounts pinned to top regardless of sort. Columns: account name, industry, AHI score, health status badge, dimension score bars, days to renewal, anomaly flag.</w:t>
            </w:r>
          </w:p>
        </w:tc>
      </w:tr>
      <w:tr>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AI narrative</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Claude API output per account</w:t>
            </w:r>
          </w:p>
        </w:tc>
        <w:tc>
          <w:tcPr>
            <w:tcW w:type="dxa" w:w="5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Shown inline below each account row where AHI &lt; 80. 2–3 sentences with recommended action. Hidden for Healthy accounts.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Dimension score bars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account_ahi_monthly dimension scores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Five horizontal mini-bars per account row showing Consumption, Deployment, Stability, Expansion, Trend scores individually. Instantly shows which dimension is dragging the composite score.</w:t>
            </w:r>
          </w:p>
        </w:tc>
      </w:tr>
      <w:tr>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Anomaly indicator</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account_ahi_monthly.anomaly_flag</w:t>
            </w:r>
          </w:p>
        </w:tc>
        <w:tc>
          <w:tcPr>
            <w:tcW w:type="dxa" w:w="5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Small flag icon on accounts where Isolation Forest detected anomalous consumption pattern. Tooltip explains: 'Unusual consumption pattern detected — spike-and-drop or erratic 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to renewal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contracts.end_date − current_date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Shown in red when ≤ 30 days. CSMs can sort by this column to prioritize upcoming renewals.</w:t>
            </w:r>
          </w:p>
        </w:tc>
      </w:tr>
    </w:tbl>
    <w:p>
      <w:pPr>
        <w:spacing w:after="80" w:before="120"/>
      </w:pPr>
    </w:p>
    <w:p>
      <w:pPr>
        <w:pStyle w:val="Heading2"/>
        <w:spacing w:after="80" w:before="280"/>
      </w:pPr>
      <w:r>
        <w:rPr>
          <w:rFonts w:ascii="Arial" w:cs="Arial" w:eastAsia="Arial" w:hAnsi="Arial"/>
          <w:b/>
          <w:bCs/>
          <w:color w:val="1B3F6B"/>
          <w:sz w:val="26"/>
          <w:szCs w:val="26"/>
        </w:rPr>
        <w:t xml:space="preserve">9.4 View 3 — Account detail view (drill-down)</w:t>
      </w:r>
    </w:p>
    <w:p>
      <w:pPr>
        <w:spacing w:after="100" w:before="60"/>
      </w:pPr>
      <w:r>
        <w:rPr>
          <w:rFonts w:ascii="Arial" w:cs="Arial" w:eastAsia="Arial" w:hAnsi="Arial"/>
          <w:color w:val="333333"/>
          <w:sz w:val="22"/>
          <w:szCs w:val="22"/>
        </w:rPr>
        <w:t xml:space="preserve">Primary audience: CSM rep, CS manager. Purpose: single-account deep dive showing full AHI breakdown, consumption history, and DQ flags.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51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AHI score + 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account_ahi_monthly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composite score with health status label and color. 12-month trend sparkline showing AHI over time.</w:t>
            </w:r>
          </w:p>
        </w:tc>
      </w:tr>
      <w:tr>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Dimension breakdown</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account_ahi_monthly, all five dimension scores</w:t>
            </w:r>
          </w:p>
        </w:tc>
        <w:tc>
          <w:tcPr>
            <w:tcW w:type="dxa" w:w="5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Five-row breakdown showing each dimension score, its weight, its weighted contribution to AHI, and a one-line explanation of what is driving the 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Consumption history 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Daily_Usage_Logs, trailing 120 days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 chart of daily compute credits consumed. Anomaly detection flag shown as a shaded region if Isolation Forest flagged this account. Monthly committed credit line shown as horizontal reference.</w:t>
            </w:r>
          </w:p>
        </w:tc>
      </w:tr>
      <w:tr>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AI narrative</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Claude API</w:t>
            </w:r>
          </w:p>
        </w:tc>
        <w:tc>
          <w:tcPr>
            <w:tcW w:type="dxa" w:w="5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Full 2–3 sentence narrative with recommended action. Shown for all accounts in this view regardless of AHI 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 details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Contracts 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contract(s), annual commit, included credits, start/end dates. Mid-year expansion flag shown if multiple active contracts exist.</w:t>
            </w:r>
          </w:p>
        </w:tc>
      </w:tr>
      <w:tr>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DQ flags</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account_ahi_monthly flag columns</w:t>
            </w:r>
          </w:p>
        </w:tc>
        <w:tc>
          <w:tcPr>
            <w:tcW w:type="dxa" w:w="5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Shows overage_flag, orphan_usage_flag, contract_overlap_flag with plain-English explanation of each.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tickets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Stability inputs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 of open P1, P2, P3 tickets with weighted stability score shown. Oldest open ticket age surfaced.</w:t>
            </w:r>
          </w:p>
        </w:tc>
      </w:tr>
    </w:tbl>
    <w:p>
      <w:pPr>
        <w:spacing w:after="80" w:before="120"/>
      </w:pPr>
    </w:p>
    <w:p>
      <w:pPr>
        <w:pStyle w:val="Heading2"/>
        <w:spacing w:after="80" w:before="280"/>
      </w:pPr>
      <w:r>
        <w:rPr>
          <w:rFonts w:ascii="Arial" w:cs="Arial" w:eastAsia="Arial" w:hAnsi="Arial"/>
          <w:b/>
          <w:bCs/>
          <w:color w:val="1B3F6B"/>
          <w:sz w:val="26"/>
          <w:szCs w:val="26"/>
        </w:rPr>
        <w:t xml:space="preserve">9.5 Technical implementation notes</w:t>
      </w:r>
    </w:p>
    <w:p>
      <w:pPr>
        <w:pStyle w:val="ListParagraph"/>
        <w:numPr>
          <w:ilvl w:val="0"/>
          <w:numId w:val="2"/>
        </w:numPr>
        <w:spacing w:after="40" w:before="40"/>
      </w:pPr>
      <w:r>
        <w:rPr>
          <w:rFonts w:ascii="Arial" w:cs="Arial" w:eastAsia="Arial" w:hAnsi="Arial"/>
          <w:color w:val="333333"/>
          <w:sz w:val="22"/>
          <w:szCs w:val="22"/>
        </w:rPr>
        <w:t xml:space="preserve">Framework: React single-page application. CSS via Tailwind utility classes. Charts via Recharts library.</w:t>
      </w:r>
    </w:p>
    <w:p>
      <w:pPr>
        <w:pStyle w:val="ListParagraph"/>
        <w:numPr>
          <w:ilvl w:val="0"/>
          <w:numId w:val="2"/>
        </w:numPr>
        <w:spacing w:after="40" w:before="40"/>
      </w:pPr>
      <w:r>
        <w:rPr>
          <w:rFonts w:ascii="Arial" w:cs="Arial" w:eastAsia="Arial" w:hAnsi="Arial"/>
          <w:color w:val="333333"/>
          <w:sz w:val="22"/>
          <w:szCs w:val="22"/>
        </w:rPr>
        <w:t xml:space="preserve">Data connection: BigQuery output tables exported to JSON for prototype demo. Production version connects directly to BigQuery via the BigQuery REST API or a lightweight Node.js backend.</w:t>
      </w:r>
    </w:p>
    <w:p>
      <w:pPr>
        <w:pStyle w:val="ListParagraph"/>
        <w:numPr>
          <w:ilvl w:val="0"/>
          <w:numId w:val="2"/>
        </w:numPr>
        <w:spacing w:after="40" w:before="40"/>
      </w:pPr>
      <w:r>
        <w:rPr>
          <w:rFonts w:ascii="Arial" w:cs="Arial" w:eastAsia="Arial" w:hAnsi="Arial"/>
          <w:color w:val="333333"/>
          <w:sz w:val="22"/>
          <w:szCs w:val="22"/>
        </w:rPr>
        <w:t xml:space="preserve">Claude API call: triggered at dashboard load time for all accounts with AHI &lt; 80. Narratives cached in session state to avoid repeated API calls during demo navigation.</w:t>
      </w:r>
    </w:p>
    <w:p>
      <w:pPr>
        <w:pStyle w:val="ListParagraph"/>
        <w:numPr>
          <w:ilvl w:val="0"/>
          <w:numId w:val="2"/>
        </w:numPr>
        <w:spacing w:after="40" w:before="40"/>
      </w:pPr>
      <w:r>
        <w:rPr>
          <w:rFonts w:ascii="Arial" w:cs="Arial" w:eastAsia="Arial" w:hAnsi="Arial"/>
          <w:color w:val="333333"/>
          <w:sz w:val="22"/>
          <w:szCs w:val="22"/>
        </w:rPr>
        <w:t xml:space="preserve">Filtering: Region and Segment filters implemented in JavaScript state — no additional BigQuery queries on filter change, all filtering happens client-side on the loaded dataset.</w:t>
      </w:r>
    </w:p>
    <w:p>
      <w:pPr>
        <w:pStyle w:val="ListParagraph"/>
        <w:numPr>
          <w:ilvl w:val="0"/>
          <w:numId w:val="2"/>
        </w:numPr>
        <w:spacing w:after="40" w:before="40"/>
      </w:pPr>
      <w:r>
        <w:rPr>
          <w:rFonts w:ascii="Arial" w:cs="Arial" w:eastAsia="Arial" w:hAnsi="Arial"/>
          <w:color w:val="333333"/>
          <w:sz w:val="22"/>
          <w:szCs w:val="22"/>
        </w:rPr>
        <w:t xml:space="preserve">Responsive design: Executive view optimized for a 1440px wide screen for live demo. CSM view designed for standard laptop resolution.</w:t>
      </w:r>
    </w:p>
    <w:p>
      <w:pPr>
        <w:pStyle w:val="Heading1"/>
        <w:spacing w:after="120" w:before="360"/>
      </w:pPr>
      <w:r>
        <w:rPr>
          <w:rFonts w:ascii="Arial" w:cs="Arial" w:eastAsia="Arial" w:hAnsi="Arial"/>
          <w:b/>
          <w:bCs/>
          <w:color w:val="1B3F6B"/>
          <w:sz w:val="32"/>
          <w:szCs w:val="32"/>
        </w:rPr>
        <w:t xml:space="preserve">10. Compensation Translation</w:t>
      </w:r>
    </w:p>
    <w:p>
      <w:pPr>
        <w:spacing w:after="100" w:before="60"/>
      </w:pPr>
      <w:r>
        <w:rPr>
          <w:rFonts w:ascii="Arial" w:cs="Arial" w:eastAsia="Arial" w:hAnsi="Arial"/>
          <w:color w:val="333333"/>
          <w:sz w:val="22"/>
          <w:szCs w:val="22"/>
        </w:rPr>
        <w:t xml:space="preserve">AHI translates to CSM variable compensation as follows: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AHI Score</w:t>
            </w:r>
          </w:p>
        </w:tc>
        <w:tc>
          <w:tcPr>
            <w:tcW w:type="dxa" w:w="25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Variable Comp Payout</w:t>
            </w:r>
          </w:p>
        </w:tc>
        <w:tc>
          <w:tcPr>
            <w:tcW w:type="dxa" w:w="48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 – 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Fully healthy book — full payout</w:t>
            </w:r>
          </w:p>
        </w:tc>
      </w:tr>
      <w:tr>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65 – 79</w:t>
            </w:r>
          </w:p>
        </w:tc>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85%</w:t>
            </w:r>
          </w:p>
        </w:tc>
        <w:tc>
          <w:tcPr>
            <w:tcW w:type="dxa" w:w="48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Mostly healthy — minor gaps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 64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At-risk accounts requiring attention</w:t>
            </w:r>
          </w:p>
        </w:tc>
      </w:tr>
      <w:tr>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Below 50</w:t>
            </w:r>
          </w:p>
        </w:tc>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50% + improvement plan</w:t>
            </w:r>
          </w:p>
        </w:tc>
        <w:tc>
          <w:tcPr>
            <w:tcW w:type="dxa" w:w="48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Significant book health issues</w:t>
            </w:r>
          </w:p>
        </w:tc>
      </w:tr>
    </w:tbl>
    <w:p>
      <w:pPr>
        <w:spacing w:after="120" w:before="120"/>
      </w:pPr>
    </w:p>
    <w:p>
      <w:pPr>
        <w:pStyle w:val="Heading2"/>
        <w:spacing w:after="80" w:before="280"/>
      </w:pPr>
      <w:r>
        <w:rPr>
          <w:rFonts w:ascii="Arial" w:cs="Arial" w:eastAsia="Arial" w:hAnsi="Arial"/>
          <w:b/>
          <w:bCs/>
          <w:color w:val="1B3F6B"/>
          <w:sz w:val="26"/>
          <w:szCs w:val="26"/>
        </w:rPr>
        <w:t xml:space="preserve">10.1 Inherited book protection</w:t>
      </w:r>
    </w:p>
    <w:p>
      <w:pPr>
        <w:spacing w:after="100" w:before="60"/>
      </w:pPr>
      <w:r>
        <w:rPr>
          <w:rFonts w:ascii="Arial" w:cs="Arial" w:eastAsia="Arial" w:hAnsi="Arial"/>
          <w:color w:val="333333"/>
          <w:sz w:val="22"/>
          <w:szCs w:val="22"/>
        </w:rPr>
        <w:t xml:space="preserve">CSMs who inherit an existing book of business are evaluated on AHI delta (improvement) over their first 180 days, not absolute AHI score. This prevents newly assigned CSMs from being penalized for the prior owner's account health issues.</w:t>
      </w:r>
    </w:p>
    <w:p>
      <w:pPr>
        <w:pStyle w:val="Heading2"/>
        <w:spacing w:after="80" w:before="280"/>
      </w:pPr>
      <w:r>
        <w:rPr>
          <w:rFonts w:ascii="Arial" w:cs="Arial" w:eastAsia="Arial" w:hAnsi="Arial"/>
          <w:b/>
          <w:bCs/>
          <w:color w:val="1B3F6B"/>
          <w:sz w:val="26"/>
          <w:szCs w:val="26"/>
        </w:rPr>
        <w:t xml:space="preserve">10.2 Shadow period</w:t>
      </w:r>
    </w:p>
    <w:p>
      <w:pPr>
        <w:spacing w:after="100" w:before="60"/>
      </w:pPr>
      <w:r>
        <w:rPr>
          <w:rFonts w:ascii="Arial" w:cs="Arial" w:eastAsia="Arial" w:hAnsi="Arial"/>
          <w:color w:val="333333"/>
          <w:sz w:val="22"/>
          <w:szCs w:val="22"/>
        </w:rPr>
        <w:t xml:space="preserve">AHI will run in parallel with existing TCV-based metrics for 90 days before compensation is tied to it. During this period, CSMs see their AHI score but comp is not affected. This allows calibration of weights and detection of any metric gaming before it has financial consequences.</w:t>
      </w:r>
    </w:p>
    <w:p>
      <w:pPr>
        <w:pBdr>
          <w:bottom w:val="single" w:color="DDDDDD" w:sz="4" w:space="1"/>
        </w:pBdr>
        <w:spacing w:after="120" w:before="120"/>
      </w:pPr>
    </w:p>
    <w:p>
      <w:pPr>
        <w:pStyle w:val="Heading1"/>
        <w:spacing w:after="120" w:before="360"/>
      </w:pPr>
      <w:r>
        <w:rPr>
          <w:rFonts w:ascii="Arial" w:cs="Arial" w:eastAsia="Arial" w:hAnsi="Arial"/>
          <w:b/>
          <w:bCs/>
          <w:color w:val="1B3F6B"/>
          <w:sz w:val="32"/>
          <w:szCs w:val="32"/>
        </w:rPr>
        <w:t xml:space="preserve">11. Evaluation &amp; Validation Framework</w:t>
      </w:r>
    </w:p>
    <w:p>
      <w:pPr>
        <w:spacing w:after="100" w:before="60"/>
      </w:pPr>
      <w:r>
        <w:rPr>
          <w:rFonts w:ascii="Arial" w:cs="Arial" w:eastAsia="Arial" w:hAnsi="Arial"/>
          <w:color w:val="333333"/>
          <w:sz w:val="22"/>
          <w:szCs w:val="22"/>
        </w:rPr>
        <w:t xml:space="preserve">Success is not defined by AHI score accuracy. It is defined by renewal rate improvement. AHI is a leading indicator; renewal rate is the lagging validator. The evaluation framework has three layers, executed sequentially.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1800"/>
        <w:gridCol w:w="1960"/>
      </w:tblGrid>
      <w:tr>
        <w:trPr>
          <w:tblHeader/>
        </w:trPr>
        <w:tc>
          <w:tcPr>
            <w:tcW w:type="dxa" w:w="14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4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Success Threshold</w:t>
            </w:r>
          </w:p>
        </w:tc>
        <w:tc>
          <w:tcPr>
            <w:tcW w:type="dxa" w:w="19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Layer 1
Construct Validity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Does each dimension measure what we claim?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automated DQ tests pass before pipeline runs. Cross-validate Consumption Health against Account_Health aggregate as reconciliation check.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6 DQ tests pass. Consumption reconciliation variance &lt; 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Before every pipeline run</w:t>
            </w:r>
          </w:p>
        </w:tc>
      </w:tr>
      <w:tr>
        <w:tc>
          <w:tcPr>
            <w:tcW w:type="dxa" w:w="1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Layer 2
Concurrent Validity</w:t>
            </w:r>
          </w:p>
        </w:tc>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Does AHI agree with CS expert judgment?</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During shadow period: present AHI scores for 20 known at-risk and 20 known healthy accounts to CS leadership blind. Measure agreement rate.</w:t>
            </w:r>
          </w:p>
        </w:tc>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AHI disagrees with expert judgment on fewer than 30% of accounts. If exceeded, recalibrate weights.</w:t>
            </w:r>
          </w:p>
        </w:tc>
        <w:tc>
          <w:tcPr>
            <w:tcW w:type="dxa" w:w="19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Month 1 of shadow period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Layer 3
Predictive Validity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Does AHI actually predict renewal outcomes?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12 months: correlate AHI score 90 days pre-renewal against actual renewal outcome. Run precision/recall analysis at the 80-point 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AHI ≥ 80 predicts renewal at ≥70% precision. AHI &lt; 50 present in 90-day window before ≥60% of churned accounts.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12 post-deployment</w:t>
            </w:r>
          </w:p>
        </w:tc>
      </w:tr>
    </w:tbl>
    <w:p>
      <w:pPr>
        <w:spacing w:after="80" w:before="120"/>
      </w:pPr>
    </w:p>
    <w:p>
      <w:pPr>
        <w:pStyle w:val="Heading2"/>
        <w:spacing w:after="80" w:before="280"/>
      </w:pPr>
      <w:r>
        <w:rPr>
          <w:rFonts w:ascii="Arial" w:cs="Arial" w:eastAsia="Arial" w:hAnsi="Arial"/>
          <w:b/>
          <w:bCs/>
          <w:color w:val="1B3F6B"/>
          <w:sz w:val="26"/>
          <w:szCs w:val="26"/>
        </w:rPr>
        <w:t xml:space="preserve">11.1 Business KPI alignment</w:t>
      </w:r>
    </w:p>
    <w:p>
      <w:pPr>
        <w:spacing w:after="100" w:before="60"/>
      </w:pPr>
      <w:r>
        <w:rPr>
          <w:rFonts w:ascii="Arial" w:cs="Arial" w:eastAsia="Arial" w:hAnsi="Arial"/>
          <w:color w:val="333333"/>
          <w:sz w:val="22"/>
          <w:szCs w:val="22"/>
        </w:rPr>
        <w:t xml:space="preserve">The evaluation framework ties to three business KPIs, not one:</w:t>
      </w:r>
    </w:p>
    <w:p>
      <w:pPr>
        <w:pStyle w:val="ListParagraph"/>
        <w:numPr>
          <w:ilvl w:val="0"/>
          <w:numId w:val="2"/>
        </w:numPr>
        <w:spacing w:after="40" w:before="40"/>
      </w:pPr>
      <w:r>
        <w:rPr>
          <w:rFonts w:ascii="Arial" w:cs="Arial" w:eastAsia="Arial" w:hAnsi="Arial"/>
          <w:color w:val="333333"/>
          <w:sz w:val="22"/>
          <w:szCs w:val="22"/>
        </w:rPr>
        <w:t xml:space="preserve">Renewal rate improvement: accounts flagged as At Risk or Critical by AHI that received CSM intervention should renew at a higher rate than equivalent accounts that were not flagged. Target: 15 percentage point improvement in At Risk account renewal rate within 12 months.</w:t>
      </w:r>
    </w:p>
    <w:p>
      <w:pPr>
        <w:pStyle w:val="ListParagraph"/>
        <w:numPr>
          <w:ilvl w:val="0"/>
          <w:numId w:val="2"/>
        </w:numPr>
        <w:spacing w:after="40" w:before="40"/>
      </w:pPr>
      <w:r>
        <w:rPr>
          <w:rFonts w:ascii="Arial" w:cs="Arial" w:eastAsia="Arial" w:hAnsi="Arial"/>
          <w:color w:val="333333"/>
          <w:sz w:val="22"/>
          <w:szCs w:val="22"/>
        </w:rPr>
        <w:t xml:space="preserve">Time to intervention: average days between an account crossing into At Risk status and a CSM action logged in CRM. Target: reduce from current baseline (unknown) to under 14 days.</w:t>
      </w:r>
    </w:p>
    <w:p>
      <w:pPr>
        <w:pStyle w:val="ListParagraph"/>
        <w:numPr>
          <w:ilvl w:val="0"/>
          <w:numId w:val="2"/>
        </w:numPr>
        <w:spacing w:after="40" w:before="40"/>
      </w:pPr>
      <w:r>
        <w:rPr>
          <w:rFonts w:ascii="Arial" w:cs="Arial" w:eastAsia="Arial" w:hAnsi="Arial"/>
          <w:color w:val="333333"/>
          <w:sz w:val="22"/>
          <w:szCs w:val="22"/>
        </w:rPr>
        <w:t xml:space="preserve">CSM adoption rate: percentage of CSMs logging at least one AHI-triggered action per week. Target: ≥70% adoption within 60 days of launch. Below 50% signals a trust or UX problem, not a metric problem.</w:t>
      </w:r>
    </w:p>
    <w:p>
      <w:pPr>
        <w:pStyle w:val="Heading2"/>
        <w:spacing w:after="80" w:before="280"/>
      </w:pPr>
      <w:r>
        <w:rPr>
          <w:rFonts w:ascii="Arial" w:cs="Arial" w:eastAsia="Arial" w:hAnsi="Arial"/>
          <w:b/>
          <w:bCs/>
          <w:color w:val="1B3F6B"/>
          <w:sz w:val="26"/>
          <w:szCs w:val="26"/>
        </w:rPr>
        <w:t xml:space="preserve">11.2 The hard truth</w:t>
      </w:r>
    </w:p>
    <w:p>
      <w:pPr>
        <w:spacing w:after="100" w:before="60"/>
      </w:pPr>
      <w:r>
        <w:rPr>
          <w:rFonts w:ascii="Arial" w:cs="Arial" w:eastAsia="Arial" w:hAnsi="Arial"/>
          <w:color w:val="333333"/>
          <w:sz w:val="22"/>
          <w:szCs w:val="22"/>
        </w:rPr>
        <w:t xml:space="preserve">A composite scoring model built on business-logic weights is a hypothesis, not a validated model. The weights assigned in v1 — 0.25 Consumption, 0.25 Deployment, 0.20 Stability, 0.15 Expansion, 0.15 Trend — represent the team’s best current judgment about what drives renewal, not an empirically derived answer. The shadow period exists precisely to test that judgment. If Layer 3 validation shows Engagement Trend is the strongest predictor of churn and Expansion is the weakest, the weights will be recalibrated before comp is attached. Presenting AHI as a finished answer rather than a calibrated v1 would be the wrong posture. The evaluation framework is how we know when we are ready to move from v1 to v2.</w:t>
      </w:r>
    </w:p>
    <w:p>
      <w:pPr>
        <w:pBdr>
          <w:bottom w:val="single" w:color="DDDDDD" w:sz="4" w:space="1"/>
        </w:pBdr>
        <w:spacing w:after="120" w:before="120"/>
      </w:pPr>
    </w:p>
    <w:p>
      <w:pPr>
        <w:pStyle w:val="Heading1"/>
        <w:spacing w:after="120" w:before="360"/>
      </w:pPr>
      <w:r>
        <w:rPr>
          <w:rFonts w:ascii="Arial" w:cs="Arial" w:eastAsia="Arial" w:hAnsi="Arial"/>
          <w:b/>
          <w:bCs/>
          <w:color w:val="1B3F6B"/>
          <w:sz w:val="32"/>
          <w:szCs w:val="32"/>
        </w:rPr>
        <w:t xml:space="preserve">12. Architecture Trade-offs</w:t>
      </w:r>
    </w:p>
    <w:p>
      <w:pPr>
        <w:spacing w:after="100" w:before="60"/>
      </w:pPr>
      <w:r>
        <w:rPr>
          <w:rFonts w:ascii="Arial" w:cs="Arial" w:eastAsia="Arial" w:hAnsi="Arial"/>
          <w:color w:val="333333"/>
          <w:sz w:val="22"/>
          <w:szCs w:val="22"/>
        </w:rPr>
        <w:t xml:space="preserve">Every significant design decision in this project involved a meaningful alternative. The following documents the choice made, the alternative rejected, and the rationale.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900"/>
        <w:gridCol w:w="4160"/>
      </w:tblGrid>
      <w:tr>
        <w:trPr>
          <w:tblHeader/>
        </w:trPr>
        <w:tc>
          <w:tcPr>
            <w:tcW w:type="dxa" w:w="16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7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Choice Made</w:t>
            </w:r>
          </w:p>
        </w:tc>
        <w:tc>
          <w:tcPr>
            <w:tcW w:type="dxa" w:w="190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Alternative Rejected</w:t>
            </w:r>
          </w:p>
        </w:tc>
        <w:tc>
          <w:tcPr>
            <w:tcW w:type="dxa" w:w="4160"/>
            <w:tcBorders>
              <w:top w:val="single" w:color="CCCCCC" w:sz="1"/>
              <w:left w:val="single" w:color="CCCCCC" w:sz="1"/>
              <w:bottom w:val="single" w:color="CCCCCC" w:sz="1"/>
              <w:right w:val="single" w:color="CCCCCC" w:sz="1"/>
            </w:tcBorders>
            <w:shd w:fill="1B3F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Metric type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Weighted composite score (AHI)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ML churn prediction model (logistic regression / gradient boosting)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labeled training data exists — the shadow period will produce it. Explainability is a hard requirement when comp is attached: a CSM cannot appeal a 73% churn probability but can appeal a Deployment score of 20%. Trust is a product requirement. Trade-off: accuracy ceiling ~70-75% vs. potential 85%+ for ML. Accepted in exchange for CSM adoption and exec trust.</w:t>
            </w:r>
          </w:p>
        </w:tc>
      </w:tr>
      <w:tr>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Storage layer</w:t>
            </w:r>
          </w:p>
        </w:tc>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Google BigQuery (columnar, serverless)</w:t>
            </w:r>
          </w:p>
        </w:tc>
        <w:tc>
          <w:tcPr>
            <w:tcW w:type="dxa" w:w="19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Postgres (transactional) / Snowflake (data warehouse)</w:t>
            </w:r>
          </w:p>
        </w:tc>
        <w:tc>
          <w:tcPr>
            <w:tcW w:type="dxa" w:w="4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200K+ daily usage log rows is an analytical aggregation problem, not a transactional one. BigQuery columnar storage is purpose-built for window functions and aggregations at scale. Postgres would require indexing and partitioning overhead. Snowflake adds licensing cost unjustified at prototype stage. BigQuery Sandbox is free.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framework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(full UX control)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Streamlit (Python-native, faster build)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Audience is VP CS and 50 CSM reps, not data scientists. Information hierarchy, color coding, and account pinning require UX control Streamlit cannot provide without significant workarounds. Trade-off: longer build time. Accepted because dashboard is a centerpiece of the executive pitch.</w:t>
            </w:r>
          </w:p>
        </w:tc>
      </w:tr>
      <w:tr>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Trend calculation</w:t>
            </w:r>
          </w:p>
        </w:tc>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Linear regression slope (120-day)</w:t>
            </w:r>
          </w:p>
        </w:tc>
        <w:tc>
          <w:tcPr>
            <w:tcW w:type="dxa" w:w="19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ARIMA / Prophet (time-series forecasting)</w:t>
            </w:r>
          </w:p>
        </w:tc>
        <w:tc>
          <w:tcPr>
            <w:tcW w:type="dxa" w:w="4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ARIMA and Prophet answer ‘what comes next?’ We need ‘which direction?’ Linear regression slope is interpretable, runs in milliseconds, requires no training or hyperparameter tuning. Principle applied: simplest model that answers the specific question being asked.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Anomaly detection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Isolation Forest (unsupervised)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Rules-based threshold (e.g. month-1 share &gt; 70%)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Rules-based thresholds require manual calibration per segment and miss novel patterns. Isolation Forest learns the normal consumption distribution from the data and flags statistical outliers without requiring labeled anomaly examples. Trade-off: less interpretable than a rule. Mitigated by surfacing the anomaly flag explicitly in the dashboard and narrative.</w:t>
            </w:r>
          </w:p>
        </w:tc>
      </w:tr>
      <w:tr>
        <w:tc>
          <w:tcPr>
            <w:tcW w:type="dxa" w:w="1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Weight derivation</w:t>
            </w:r>
          </w:p>
        </w:tc>
        <w:tc>
          <w:tcPr>
            <w:tcW w:type="dxa" w:w="17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Business-logic weights (v1 hypothesis)</w:t>
            </w:r>
          </w:p>
        </w:tc>
        <w:tc>
          <w:tcPr>
            <w:tcW w:type="dxa" w:w="19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Statistically derived weights from historical renewal data</w:t>
            </w:r>
          </w:p>
        </w:tc>
        <w:tc>
          <w:tcPr>
            <w:tcW w:type="dxa" w:w="41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color w:val="333333"/>
                <w:sz w:val="20"/>
                <w:szCs w:val="20"/>
              </w:rPr>
              <w:t xml:space="preserve">No labeled historical dataset mapping AHI-equivalent behavior to renewal outcomes exists. Business-logic weights are testable hypotheses with explicit rationale. Shadow period produces the labeled data needed for statistical derivation in v2. Sequence: opinionated v1, empirical v2.</w:t>
            </w:r>
          </w:p>
        </w:tc>
      </w:tr>
    </w:tbl>
    <w:p>
      <w:pPr>
        <w:spacing w:after="80" w:before="120"/>
      </w:pPr>
    </w:p>
    <w:p>
      <w:pPr>
        <w:pBdr>
          <w:bottom w:val="single" w:color="DDDDDD" w:sz="4" w:space="1"/>
        </w:pBdr>
        <w:spacing w:after="120" w:before="120"/>
      </w:pPr>
    </w:p>
    <w:p>
      <w:pPr>
        <w:pStyle w:val="Heading1"/>
        <w:spacing w:after="120" w:before="360"/>
      </w:pPr>
      <w:r>
        <w:rPr>
          <w:rFonts w:ascii="Arial" w:cs="Arial" w:eastAsia="Arial" w:hAnsi="Arial"/>
          <w:b/>
          <w:bCs/>
          <w:color w:val="1B3F6B"/>
          <w:sz w:val="32"/>
          <w:szCs w:val="32"/>
        </w:rPr>
        <w:t xml:space="preserve">13. Retrospective &amp; Future State</w:t>
      </w:r>
    </w:p>
    <w:p>
      <w:pPr>
        <w:spacing w:after="100" w:before="60"/>
      </w:pPr>
      <w:r>
        <w:rPr>
          <w:rFonts w:ascii="Arial" w:cs="Arial" w:eastAsia="Arial" w:hAnsi="Arial"/>
          <w:color w:val="333333"/>
          <w:sz w:val="22"/>
          <w:szCs w:val="22"/>
        </w:rPr>
        <w:t xml:space="preserve">AHI v1 is the data foundation. The following describes what v2 looks like with today’s AI stack, and what would be built differently if starting from scratch in 2026.</w:t>
      </w:r>
    </w:p>
    <w:p>
      <w:pPr>
        <w:pStyle w:val="Heading2"/>
        <w:spacing w:after="80" w:before="280"/>
      </w:pPr>
      <w:r>
        <w:rPr>
          <w:rFonts w:ascii="Arial" w:cs="Arial" w:eastAsia="Arial" w:hAnsi="Arial"/>
          <w:b/>
          <w:bCs/>
          <w:color w:val="1B3F6B"/>
          <w:sz w:val="26"/>
          <w:szCs w:val="26"/>
        </w:rPr>
        <w:t xml:space="preserve">13.1 What v2 looks like — three additions</w:t>
      </w:r>
    </w:p>
    <w:p>
      <w:pPr>
        <w:spacing w:after="60" w:before="200"/>
      </w:pPr>
      <w:r>
        <w:rPr>
          <w:rFonts w:ascii="Arial" w:cs="Arial" w:eastAsia="Arial" w:hAnsi="Arial"/>
          <w:b/>
          <w:bCs/>
          <w:color w:val="333333"/>
          <w:sz w:val="24"/>
          <w:szCs w:val="24"/>
        </w:rPr>
        <w:t xml:space="preserve">Addition 1: LLM-generated intervention briefs (expanding the narrative layer)</w:t>
      </w:r>
    </w:p>
    <w:p>
      <w:pPr>
        <w:spacing w:after="100" w:before="60"/>
      </w:pPr>
      <w:r>
        <w:rPr>
          <w:rFonts w:ascii="Arial" w:cs="Arial" w:eastAsia="Arial" w:hAnsi="Arial"/>
          <w:color w:val="333333"/>
          <w:sz w:val="22"/>
          <w:szCs w:val="22"/>
        </w:rPr>
        <w:t xml:space="preserve">V1 generates a 2-3 sentence account narrative. V2 generates a full intervention brief: the narrative, a draft CSM outreach email, the recommended internal escalation contact, and a suggested agenda for the next customer call — all in one Claude API call. The CSM reviews and approves in one click. The activation energy to act drops from 30 minutes to 30 seconds. That is where churn prevention actually happens — not in the insight, but in the speed of the response.</w:t>
      </w:r>
    </w:p>
    <w:p>
      <w:pPr>
        <w:spacing w:after="60" w:before="200"/>
      </w:pPr>
      <w:r>
        <w:rPr>
          <w:rFonts w:ascii="Arial" w:cs="Arial" w:eastAsia="Arial" w:hAnsi="Arial"/>
          <w:b/>
          <w:bCs/>
          <w:color w:val="333333"/>
          <w:sz w:val="24"/>
          <w:szCs w:val="24"/>
        </w:rPr>
        <w:t xml:space="preserve">Addition 2: Agentic intervention triggers</w:t>
      </w:r>
    </w:p>
    <w:p>
      <w:pPr>
        <w:spacing w:after="100" w:before="60"/>
      </w:pPr>
      <w:r>
        <w:rPr>
          <w:rFonts w:ascii="Arial" w:cs="Arial" w:eastAsia="Arial" w:hAnsi="Arial"/>
          <w:color w:val="333333"/>
          <w:sz w:val="22"/>
          <w:szCs w:val="22"/>
        </w:rPr>
        <w:t xml:space="preserve">V1 surfaces information. V2 triggers action. When an account crosses from Healthy into Monitor, an agent detects the threshold crossing, drafts the outreach email, identifies the right escalation contact from the org chart, and queues it for CSM approval — without the CSM having to check the dashboard first. The human remains in the loop at the approval step. The agentic layer eliminates the gap between insight and action.</w:t>
      </w:r>
    </w:p>
    <w:p>
      <w:pPr>
        <w:spacing w:after="60" w:before="200"/>
      </w:pPr>
      <w:r>
        <w:rPr>
          <w:rFonts w:ascii="Arial" w:cs="Arial" w:eastAsia="Arial" w:hAnsi="Arial"/>
          <w:b/>
          <w:bCs/>
          <w:color w:val="333333"/>
          <w:sz w:val="24"/>
          <w:szCs w:val="24"/>
        </w:rPr>
        <w:t xml:space="preserve">Addition 3: Multimodal signal enrichment</w:t>
      </w:r>
    </w:p>
    <w:p>
      <w:pPr>
        <w:spacing w:after="100" w:before="60"/>
      </w:pPr>
      <w:r>
        <w:rPr>
          <w:rFonts w:ascii="Arial" w:cs="Arial" w:eastAsia="Arial" w:hAnsi="Arial"/>
          <w:color w:val="333333"/>
          <w:sz w:val="22"/>
          <w:szCs w:val="22"/>
        </w:rPr>
        <w:t xml:space="preserve">V1 uses structured data only — credits consumed, tickets open, ARR. V2 adds unstructured signals: support ticket text analyzed for customer sentiment and urgency, QBR notes parsed for competitive mentions or executive dissatisfaction, call transcripts flagged for churn language. An LLM reads every support ticket and extracts a sentiment score that feeds into Platform Stability more richly than ticket count alone. This signal exists today in PAN’s systems — it is just unreadable at scale without an LLM layer.</w:t>
      </w:r>
    </w:p>
    <w:p>
      <w:pPr>
        <w:pStyle w:val="Heading2"/>
        <w:spacing w:after="80" w:before="280"/>
      </w:pPr>
      <w:r>
        <w:rPr>
          <w:rFonts w:ascii="Arial" w:cs="Arial" w:eastAsia="Arial" w:hAnsi="Arial"/>
          <w:b/>
          <w:bCs/>
          <w:color w:val="1B3F6B"/>
          <w:sz w:val="26"/>
          <w:szCs w:val="26"/>
        </w:rPr>
        <w:t xml:space="preserve">13.2 What would be built differently from scratch</w:t>
      </w:r>
    </w:p>
    <w:p>
      <w:pPr>
        <w:pStyle w:val="ListParagraph"/>
        <w:numPr>
          <w:ilvl w:val="0"/>
          <w:numId w:val="2"/>
        </w:numPr>
        <w:spacing w:after="40" w:before="40"/>
      </w:pPr>
      <w:r>
        <w:rPr>
          <w:rFonts w:ascii="Arial" w:cs="Arial" w:eastAsia="Arial" w:hAnsi="Arial"/>
          <w:color w:val="333333"/>
          <w:sz w:val="22"/>
          <w:szCs w:val="22"/>
        </w:rPr>
        <w:t xml:space="preserve">Start with the LLM narrative layer from day one, not as a v2 addition. The narrative is what drives CSM behavior change — the score alone does not.</w:t>
      </w:r>
    </w:p>
    <w:p>
      <w:pPr>
        <w:pStyle w:val="ListParagraph"/>
        <w:numPr>
          <w:ilvl w:val="0"/>
          <w:numId w:val="2"/>
        </w:numPr>
        <w:spacing w:after="40" w:before="40"/>
      </w:pPr>
      <w:r>
        <w:rPr>
          <w:rFonts w:ascii="Arial" w:cs="Arial" w:eastAsia="Arial" w:hAnsi="Arial"/>
          <w:color w:val="333333"/>
          <w:sz w:val="22"/>
          <w:szCs w:val="22"/>
        </w:rPr>
        <w:t xml:space="preserve">Use dbt for the SQL pipeline rather than raw BigQuery SQL. dbt adds lineage, documentation, and testability that makes the pipeline maintainable by a data engineering team, not just the PM who built it.</w:t>
      </w:r>
    </w:p>
    <w:p>
      <w:pPr>
        <w:pStyle w:val="ListParagraph"/>
        <w:numPr>
          <w:ilvl w:val="0"/>
          <w:numId w:val="2"/>
        </w:numPr>
        <w:spacing w:after="40" w:before="40"/>
      </w:pPr>
      <w:r>
        <w:rPr>
          <w:rFonts w:ascii="Arial" w:cs="Arial" w:eastAsia="Arial" w:hAnsi="Arial"/>
          <w:color w:val="333333"/>
          <w:sz w:val="22"/>
          <w:szCs w:val="22"/>
        </w:rPr>
        <w:t xml:space="preserve">Instrument CSM actions (acted / dismissed / escalated) from day one as a feedback loop. That behavioral data is what makes the shadow period analysis meaningful and what eventually trains the ML layer in v3.</w:t>
      </w:r>
    </w:p>
    <w:p>
      <w:pPr>
        <w:pStyle w:val="ListParagraph"/>
        <w:numPr>
          <w:ilvl w:val="0"/>
          <w:numId w:val="2"/>
        </w:numPr>
        <w:spacing w:after="40" w:before="40"/>
      </w:pPr>
      <w:r>
        <w:rPr>
          <w:rFonts w:ascii="Arial" w:cs="Arial" w:eastAsia="Arial" w:hAnsi="Arial"/>
          <w:color w:val="333333"/>
          <w:sz w:val="22"/>
          <w:szCs w:val="22"/>
        </w:rPr>
        <w:t xml:space="preserve">Involve a CS leader as a co-designer from week one, not as a reviewer at the end. Weight assumptions made with a senior CSM in the room would be more defensible than weight assumptions made from first principles alone.</w:t>
      </w:r>
    </w:p>
    <w:p>
      <w:pPr>
        <w:pStyle w:val="Heading2"/>
        <w:spacing w:after="80" w:before="280"/>
      </w:pPr>
      <w:r>
        <w:rPr>
          <w:rFonts w:ascii="Arial" w:cs="Arial" w:eastAsia="Arial" w:hAnsi="Arial"/>
          <w:b/>
          <w:bCs/>
          <w:color w:val="1B3F6B"/>
          <w:sz w:val="26"/>
          <w:szCs w:val="26"/>
        </w:rPr>
        <w:t xml:space="preserve">13.3 Closing framing</w:t>
      </w:r>
    </w:p>
    <w:p>
      <w:pPr>
        <w:spacing w:after="100" w:before="60"/>
      </w:pPr>
      <w:r>
        <w:rPr>
          <w:rFonts w:ascii="Arial" w:cs="Arial" w:eastAsia="Arial" w:hAnsi="Arial"/>
          <w:color w:val="333333"/>
          <w:sz w:val="22"/>
          <w:szCs w:val="22"/>
        </w:rPr>
        <w:t xml:space="preserve">AHI v1 is not a finished product. It is the right first thing to build: a trusted, explainable, CSM-facing metric with a clean data foundation, automated quality gates, and an AI layer that adds value without adding opacity. You cannot build an agentic CSM assistant without a trusted metric underneath it. The agentic layer is v2. The foundation is already there.</w:t>
      </w:r>
    </w:p>
    <w:p>
      <w:pPr>
        <w:spacing w:after="80" w:before="120"/>
      </w:pPr>
    </w:p>
    <w:p>
      <w:pPr>
        <w:pBdr>
          <w:bottom w:val="single" w:color="DDDDDD" w:sz="4" w:space="1"/>
        </w:pBdr>
        <w:spacing w:after="120" w:before="120"/>
      </w:pPr>
    </w:p>
    <w:p>
      <w:pPr>
        <w:pStyle w:val="Heading1"/>
        <w:spacing w:after="120" w:before="360"/>
      </w:pPr>
      <w:r>
        <w:rPr>
          <w:rFonts w:ascii="Arial" w:cs="Arial" w:eastAsia="Arial" w:hAnsi="Arial"/>
          <w:b/>
          <w:bCs/>
          <w:color w:val="1B3F6B"/>
          <w:sz w:val="32"/>
          <w:szCs w:val="32"/>
        </w:rPr>
        <w:t xml:space="preserve">14. Open Questions for VP Review</w:t>
      </w:r>
    </w:p>
    <w:p>
      <w:pPr>
        <w:pStyle w:val="ListParagraph"/>
        <w:numPr>
          <w:ilvl w:val="0"/>
          <w:numId w:val="2"/>
        </w:numPr>
        <w:spacing w:after="40" w:before="40"/>
      </w:pPr>
      <w:r>
        <w:rPr>
          <w:rFonts w:ascii="Arial" w:cs="Arial" w:eastAsia="Arial" w:hAnsi="Arial"/>
          <w:color w:val="333333"/>
          <w:sz w:val="22"/>
          <w:szCs w:val="22"/>
        </w:rPr>
        <w:t xml:space="preserve">Should the Contract Expansion dimension use a 1.5× cap or should it be graduated — e.g., 1.2× = 80 pts, 1.5× = 100 pts, with no benefit above 1.5×?</w:t>
      </w:r>
    </w:p>
    <w:p>
      <w:pPr>
        <w:pStyle w:val="ListParagraph"/>
        <w:numPr>
          <w:ilvl w:val="0"/>
          <w:numId w:val="2"/>
        </w:numPr>
        <w:spacing w:after="40" w:before="40"/>
      </w:pPr>
      <w:r>
        <w:rPr>
          <w:rFonts w:ascii="Arial" w:cs="Arial" w:eastAsia="Arial" w:hAnsi="Arial"/>
          <w:color w:val="333333"/>
          <w:sz w:val="22"/>
          <w:szCs w:val="22"/>
        </w:rPr>
        <w:t xml:space="preserve">Should overage penalty (0.85×) on Consumption Health be graduated rather than binary — e.g., 1.2× overage = 0.92×, 1.5× overage = 0.75×?</w:t>
      </w:r>
    </w:p>
    <w:p>
      <w:pPr>
        <w:pStyle w:val="ListParagraph"/>
        <w:numPr>
          <w:ilvl w:val="0"/>
          <w:numId w:val="2"/>
        </w:numPr>
        <w:spacing w:after="40" w:before="40"/>
      </w:pPr>
      <w:r>
        <w:rPr>
          <w:rFonts w:ascii="Arial" w:cs="Arial" w:eastAsia="Arial" w:hAnsi="Arial"/>
          <w:color w:val="333333"/>
          <w:sz w:val="22"/>
          <w:szCs w:val="22"/>
        </w:rPr>
        <w:t xml:space="preserve">Should Platform Stability incorporate ticket age (days open) in addition to count and severity weighting?</w:t>
      </w:r>
    </w:p>
    <w:p>
      <w:pPr>
        <w:pStyle w:val="ListParagraph"/>
        <w:numPr>
          <w:ilvl w:val="0"/>
          <w:numId w:val="2"/>
        </w:numPr>
        <w:spacing w:after="40" w:before="40"/>
      </w:pPr>
      <w:r>
        <w:rPr>
          <w:rFonts w:ascii="Arial" w:cs="Arial" w:eastAsia="Arial" w:hAnsi="Arial"/>
          <w:color w:val="333333"/>
          <w:sz w:val="22"/>
          <w:szCs w:val="22"/>
        </w:rPr>
        <w:t xml:space="preserve">What is the right ARR floor for an account to be included in CSM AHI rollup — currently all active contracts are included regardless of size.</w:t>
      </w:r>
    </w:p>
    <w:p>
      <w:pPr>
        <w:pStyle w:val="ListParagraph"/>
        <w:numPr>
          <w:ilvl w:val="0"/>
          <w:numId w:val="2"/>
        </w:numPr>
        <w:spacing w:after="40" w:before="40"/>
      </w:pPr>
      <w:r>
        <w:rPr>
          <w:rFonts w:ascii="Arial" w:cs="Arial" w:eastAsia="Arial" w:hAnsi="Arial"/>
          <w:color w:val="333333"/>
          <w:sz w:val="22"/>
          <w:szCs w:val="22"/>
        </w:rPr>
        <w:t xml:space="preserve">Should AHI be calculated weekly for high-touch Enterprise accounts and monthly for Mid-Market, or should cadence be uniform across segments?</w:t>
      </w:r>
    </w:p>
    <w:p>
      <w:pPr>
        <w:spacing w:after="60" w:before="240"/>
      </w:pPr>
    </w:p>
    <w:p>
      <w:r>
        <w:rPr>
          <w:rFonts w:ascii="Arial" w:cs="Arial" w:eastAsia="Arial" w:hAnsi="Arial"/>
          <w:i/>
          <w:iCs/>
          <w:color w:val="999999"/>
          <w:sz w:val="20"/>
          <w:szCs w:val="20"/>
        </w:rPr>
        <w:t xml:space="preserve">End of specification — v2.0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2026-06-27T23:02:30.851Z</dcterms:created>
  <dcterms:modified xsi:type="dcterms:W3CDTF">2026-06-27T23:02:30.851Z</dcterms:modified>
</cp:coreProperties>
</file>

<file path=docProps/custom.xml><?xml version="1.0" encoding="utf-8"?>
<Properties xmlns="http://schemas.openxmlformats.org/officeDocument/2006/custom-properties" xmlns:vt="http://schemas.openxmlformats.org/officeDocument/2006/docPropsVTypes"/>
</file>