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AB59C0F" w14:textId="77777777" w:rsidR="00BB1D38" w:rsidRDefault="00000000" w:rsidP="006B7C3E">
      <w:pPr>
        <w:spacing w:after="60"/>
        <w:jc w:val="center"/>
      </w:pPr>
      <w:r>
        <w:rPr>
          <w:b/>
          <w:bCs/>
          <w:color w:val="1B3F6B"/>
          <w:sz w:val="44"/>
          <w:szCs w:val="44"/>
        </w:rPr>
        <w:t>Account Health Index (AHI)</w:t>
      </w:r>
    </w:p>
    <w:p w14:paraId="0430D314" w14:textId="77777777" w:rsidR="00BB1D38" w:rsidRDefault="00000000" w:rsidP="006B7C3E">
      <w:pPr>
        <w:spacing w:after="40"/>
        <w:jc w:val="center"/>
      </w:pPr>
      <w:r>
        <w:rPr>
          <w:color w:val="666666"/>
          <w:sz w:val="26"/>
          <w:szCs w:val="26"/>
        </w:rPr>
        <w:t>North Star Metric — Product &amp; Technical Specification</w:t>
      </w:r>
    </w:p>
    <w:p w14:paraId="601E61C2" w14:textId="77777777" w:rsidR="00BB1D38" w:rsidRDefault="00000000" w:rsidP="006B7C3E">
      <w:pPr>
        <w:spacing w:after="40"/>
        <w:jc w:val="center"/>
      </w:pPr>
      <w:r>
        <w:rPr>
          <w:color w:val="999999"/>
        </w:rPr>
        <w:t>Palo Alto Networks · Global Customer Services · Principal IT PM Initiative</w:t>
      </w:r>
    </w:p>
    <w:p w14:paraId="089931DC" w14:textId="77777777" w:rsidR="00BB1D38" w:rsidRDefault="00000000" w:rsidP="006B7C3E">
      <w:pPr>
        <w:spacing w:after="40"/>
        <w:jc w:val="center"/>
      </w:pPr>
      <w:r>
        <w:rPr>
          <w:i/>
          <w:iCs/>
          <w:color w:val="999999"/>
        </w:rPr>
        <w:t>Version 2.0 · June 2026</w:t>
      </w:r>
    </w:p>
    <w:p w14:paraId="781A8B5A" w14:textId="0512ADD3" w:rsidR="00BB1D38" w:rsidRDefault="00BB1D38">
      <w:pPr>
        <w:pBdr>
          <w:bottom w:val="single" w:sz="4" w:space="1" w:color="DDDDDD"/>
        </w:pBdr>
        <w:spacing w:before="120" w:after="120"/>
      </w:pPr>
    </w:p>
    <w:p w14:paraId="2D60F202" w14:textId="77777777" w:rsidR="00BB1D38" w:rsidRDefault="00000000">
      <w:pPr>
        <w:pStyle w:val="Heading1"/>
      </w:pPr>
      <w:r>
        <w:rPr>
          <w:color w:val="1B3F6B"/>
        </w:rPr>
        <w:t>1. Context &amp; Problem Statement</w:t>
      </w:r>
    </w:p>
    <w:p w14:paraId="7B31095F" w14:textId="77777777" w:rsidR="00BB1D38" w:rsidRDefault="00000000">
      <w:pPr>
        <w:spacing w:before="60" w:after="100"/>
      </w:pPr>
      <w:r>
        <w:rPr>
          <w:color w:val="333333"/>
        </w:rPr>
        <w:t>Palo Alto Networks' Global Customer Services (GCS) organization is transitioning from a traditional upfront Bookings and Total Contract Value (TCV) model to an Annual Recurring Revenue (ARR) model with hybrid consumption-based pricing.</w:t>
      </w:r>
    </w:p>
    <w:p w14:paraId="234168C4" w14:textId="77777777" w:rsidR="00BB1D38" w:rsidRDefault="00000000">
      <w:pPr>
        <w:spacing w:before="60" w:after="100"/>
        <w:rPr>
          <w:color w:val="333333"/>
        </w:rPr>
      </w:pPr>
      <w:r>
        <w:rPr>
          <w:color w:val="333333"/>
        </w:rPr>
        <w:t>The existing success metrics — primarily centered on bookings and initial contract value — do not capture the behaviors that drive long-term customer retention and revenue expansion. A customer may sign a large contract but never deploy the product, or may consume heavily in month one and then go dark. Neither scenario is visible in TCV alone.</w:t>
      </w:r>
    </w:p>
    <w:p w14:paraId="21A129A6" w14:textId="77777777" w:rsidR="006B7C3E" w:rsidRDefault="006B7C3E">
      <w:pPr>
        <w:spacing w:before="60" w:after="100"/>
      </w:pPr>
    </w:p>
    <w:p w14:paraId="1F5CE638" w14:textId="77777777" w:rsidR="00BB1D38" w:rsidRDefault="00000000">
      <w:pPr>
        <w:spacing w:before="60" w:after="100"/>
      </w:pPr>
      <w:r>
        <w:rPr>
          <w:color w:val="333333"/>
        </w:rPr>
        <w:t>GCS leadership needs a single North Star metric that balances four dimensions of account health:</w:t>
      </w:r>
    </w:p>
    <w:p w14:paraId="49F8C2F7" w14:textId="77777777" w:rsidR="00BB1D38" w:rsidRDefault="00000000">
      <w:pPr>
        <w:pStyle w:val="ListParagraph"/>
        <w:numPr>
          <w:ilvl w:val="0"/>
          <w:numId w:val="2"/>
        </w:numPr>
        <w:spacing w:before="40" w:after="40"/>
      </w:pPr>
      <w:r>
        <w:rPr>
          <w:color w:val="333333"/>
        </w:rPr>
        <w:t>Initial contract deployment — are purchased products actively in use?</w:t>
      </w:r>
    </w:p>
    <w:p w14:paraId="675C68A7" w14:textId="77777777" w:rsidR="00BB1D38" w:rsidRDefault="00000000">
      <w:pPr>
        <w:pStyle w:val="ListParagraph"/>
        <w:numPr>
          <w:ilvl w:val="0"/>
          <w:numId w:val="2"/>
        </w:numPr>
        <w:spacing w:before="40" w:after="40"/>
      </w:pPr>
      <w:r>
        <w:rPr>
          <w:color w:val="333333"/>
        </w:rPr>
        <w:t>Consumption health — is the customer consuming committed compute credits at a sustainable rate?</w:t>
      </w:r>
    </w:p>
    <w:p w14:paraId="5F27B039" w14:textId="5B231F43" w:rsidR="00BB1D38" w:rsidRDefault="00000000">
      <w:pPr>
        <w:pStyle w:val="ListParagraph"/>
        <w:numPr>
          <w:ilvl w:val="0"/>
          <w:numId w:val="2"/>
        </w:numPr>
        <w:spacing w:before="40" w:after="40"/>
      </w:pPr>
      <w:r>
        <w:rPr>
          <w:color w:val="333333"/>
        </w:rPr>
        <w:t>Platform stability — is technical experience clean, or is account burdened with open support issues?</w:t>
      </w:r>
    </w:p>
    <w:p w14:paraId="10A06795" w14:textId="77777777" w:rsidR="00BB1D38" w:rsidRDefault="00000000">
      <w:pPr>
        <w:pStyle w:val="ListParagraph"/>
        <w:numPr>
          <w:ilvl w:val="0"/>
          <w:numId w:val="2"/>
        </w:numPr>
        <w:spacing w:before="40" w:after="40"/>
      </w:pPr>
      <w:r>
        <w:rPr>
          <w:color w:val="333333"/>
        </w:rPr>
        <w:t>Engagement trajectory — is usage trending up, flat, or declining over time?</w:t>
      </w:r>
    </w:p>
    <w:p w14:paraId="74B26FAE" w14:textId="77777777" w:rsidR="00BB1D38" w:rsidRDefault="00BB1D38">
      <w:pPr>
        <w:pBdr>
          <w:bottom w:val="single" w:sz="4" w:space="1" w:color="DDDDDD"/>
        </w:pBdr>
        <w:spacing w:before="120" w:after="120"/>
      </w:pPr>
    </w:p>
    <w:p w14:paraId="7C735B05" w14:textId="77777777" w:rsidR="00BB1D38" w:rsidRDefault="00000000">
      <w:pPr>
        <w:pStyle w:val="Heading1"/>
      </w:pPr>
      <w:r>
        <w:rPr>
          <w:color w:val="1B3F6B"/>
        </w:rPr>
        <w:t>2. Data Strategy</w:t>
      </w:r>
    </w:p>
    <w:p w14:paraId="7077D5E9" w14:textId="77777777" w:rsidR="00BB1D38" w:rsidRDefault="00000000">
      <w:pPr>
        <w:spacing w:before="60" w:after="100"/>
      </w:pPr>
      <w:r>
        <w:rPr>
          <w:color w:val="333333"/>
        </w:rPr>
        <w:t>Data strategy for this initiative covers three questions: why synthetic data, how it was designed, and how quality and business alignment were ensured throughout.</w:t>
      </w:r>
    </w:p>
    <w:p w14:paraId="405638AA" w14:textId="77777777" w:rsidR="00BB1D38" w:rsidRDefault="00000000">
      <w:pPr>
        <w:pStyle w:val="Heading2"/>
      </w:pPr>
      <w:r>
        <w:rPr>
          <w:color w:val="1B3F6B"/>
        </w:rPr>
        <w:t>2.1 Why synthetic data</w:t>
      </w:r>
    </w:p>
    <w:p w14:paraId="46C8B6B0" w14:textId="77777777" w:rsidR="00BB1D38" w:rsidRDefault="00000000">
      <w:pPr>
        <w:spacing w:before="60" w:after="100"/>
      </w:pPr>
      <w:r>
        <w:rPr>
          <w:color w:val="333333"/>
        </w:rPr>
        <w:t>PAN's proprietary customer consumption data cannot be shared in a case study context. Synthetic data solves this while enabling a more rigorous design process: rather than fitting a metric to whatever data happens to exist, the dataset was co-designed with the metric — every table structure, edge case, and anomaly rate was chosen specifically to stress-test AHI's design assumptions.</w:t>
      </w:r>
    </w:p>
    <w:p w14:paraId="1D154B1E" w14:textId="77777777" w:rsidR="00BB1D38" w:rsidRDefault="00000000">
      <w:pPr>
        <w:spacing w:before="60" w:after="100"/>
      </w:pPr>
      <w:r>
        <w:rPr>
          <w:color w:val="333333"/>
        </w:rPr>
        <w:t>This co-design approach is the key distinction between synthetic data done well and synthetic data done as a shortcut. The dataset does not exist to fill a repo. It exists to prove that AHI handles the real-world data pathologies that would break a naive metric.</w:t>
      </w:r>
    </w:p>
    <w:p w14:paraId="54EF74D2" w14:textId="77777777" w:rsidR="00BB1D38" w:rsidRDefault="00000000">
      <w:pPr>
        <w:pStyle w:val="Heading2"/>
      </w:pPr>
      <w:r>
        <w:rPr>
          <w:color w:val="1B3F6B"/>
        </w:rPr>
        <w:t>2.2 Generation approach</w:t>
      </w:r>
    </w:p>
    <w:p w14:paraId="01617B9A" w14:textId="77777777" w:rsidR="00BB1D38" w:rsidRDefault="00000000">
      <w:pPr>
        <w:spacing w:before="60" w:after="100"/>
      </w:pPr>
      <w:r>
        <w:rPr>
          <w:color w:val="333333"/>
        </w:rPr>
        <w:t>The synthetic dataset was generated using a Python script (Faker + Pandas) with AI-assisted development via Claude. The generation spec was written first as a Markdown document — defining table schemas, row counts, relationship constraints, and edge case injection rates — before a single line of code was written. Claude then translated the spec into executable Python, with iterative refinement to ensure edge cases were injected at the correct prevalence rates and relationships between tables were referentially consistent.</w:t>
      </w:r>
    </w:p>
    <w:p w14:paraId="13CF7839" w14:textId="77777777" w:rsidR="00BB1D38" w:rsidRDefault="00BB1D38">
      <w:pPr>
        <w:spacing w:before="80" w:after="80"/>
      </w:pPr>
    </w:p>
    <w:tbl>
      <w:tblPr>
        <w:tblW w:w="107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19"/>
        <w:gridCol w:w="1188"/>
        <w:gridCol w:w="7692"/>
      </w:tblGrid>
      <w:tr w:rsidR="00BB1D38" w14:paraId="27261FFB" w14:textId="77777777" w:rsidTr="006B7C3E">
        <w:tblPrEx>
          <w:tblCellMar>
            <w:top w:w="0" w:type="dxa"/>
            <w:bottom w:w="0" w:type="dxa"/>
          </w:tblCellMar>
        </w:tblPrEx>
        <w:trPr>
          <w:tblHeader/>
          <w:jc w:val="center"/>
        </w:trPr>
        <w:tc>
          <w:tcPr>
            <w:tcW w:w="1919" w:type="dxa"/>
            <w:tcBorders>
              <w:top w:val="single" w:sz="1" w:space="0" w:color="CCCCCC"/>
              <w:left w:val="single" w:sz="1" w:space="0" w:color="CCCCCC"/>
              <w:bottom w:val="single" w:sz="1" w:space="0" w:color="CCCCCC"/>
              <w:right w:val="single" w:sz="1" w:space="0" w:color="CCCCCC"/>
            </w:tcBorders>
            <w:shd w:val="clear" w:color="auto" w:fill="1B3F6B"/>
            <w:tcMar>
              <w:top w:w="80" w:type="dxa"/>
              <w:left w:w="120" w:type="dxa"/>
              <w:bottom w:w="80" w:type="dxa"/>
              <w:right w:w="120" w:type="dxa"/>
            </w:tcMar>
          </w:tcPr>
          <w:p w14:paraId="1943DBCE" w14:textId="77777777" w:rsidR="00BB1D38" w:rsidRDefault="00000000">
            <w:r>
              <w:rPr>
                <w:b/>
                <w:bCs/>
                <w:color w:val="FFFFFF"/>
                <w:sz w:val="20"/>
                <w:szCs w:val="20"/>
              </w:rPr>
              <w:lastRenderedPageBreak/>
              <w:t>Table</w:t>
            </w:r>
          </w:p>
        </w:tc>
        <w:tc>
          <w:tcPr>
            <w:tcW w:w="1188" w:type="dxa"/>
            <w:tcBorders>
              <w:top w:val="single" w:sz="1" w:space="0" w:color="CCCCCC"/>
              <w:left w:val="single" w:sz="1" w:space="0" w:color="CCCCCC"/>
              <w:bottom w:val="single" w:sz="1" w:space="0" w:color="CCCCCC"/>
              <w:right w:val="single" w:sz="1" w:space="0" w:color="CCCCCC"/>
            </w:tcBorders>
            <w:shd w:val="clear" w:color="auto" w:fill="1B3F6B"/>
            <w:tcMar>
              <w:top w:w="80" w:type="dxa"/>
              <w:left w:w="120" w:type="dxa"/>
              <w:bottom w:w="80" w:type="dxa"/>
              <w:right w:w="120" w:type="dxa"/>
            </w:tcMar>
          </w:tcPr>
          <w:p w14:paraId="5B543C8C" w14:textId="77777777" w:rsidR="00BB1D38" w:rsidRDefault="00000000">
            <w:r>
              <w:rPr>
                <w:b/>
                <w:bCs/>
                <w:color w:val="FFFFFF"/>
                <w:sz w:val="20"/>
                <w:szCs w:val="20"/>
              </w:rPr>
              <w:t>Row Count</w:t>
            </w:r>
          </w:p>
        </w:tc>
        <w:tc>
          <w:tcPr>
            <w:tcW w:w="7692" w:type="dxa"/>
            <w:tcBorders>
              <w:top w:val="single" w:sz="1" w:space="0" w:color="CCCCCC"/>
              <w:left w:val="single" w:sz="1" w:space="0" w:color="CCCCCC"/>
              <w:bottom w:val="single" w:sz="1" w:space="0" w:color="CCCCCC"/>
              <w:right w:val="single" w:sz="1" w:space="0" w:color="CCCCCC"/>
            </w:tcBorders>
            <w:shd w:val="clear" w:color="auto" w:fill="1B3F6B"/>
            <w:tcMar>
              <w:top w:w="80" w:type="dxa"/>
              <w:left w:w="120" w:type="dxa"/>
              <w:bottom w:w="80" w:type="dxa"/>
              <w:right w:w="120" w:type="dxa"/>
            </w:tcMar>
          </w:tcPr>
          <w:p w14:paraId="49A3ACB9" w14:textId="77777777" w:rsidR="00BB1D38" w:rsidRDefault="00000000">
            <w:r>
              <w:rPr>
                <w:b/>
                <w:bCs/>
                <w:color w:val="FFFFFF"/>
                <w:sz w:val="20"/>
                <w:szCs w:val="20"/>
              </w:rPr>
              <w:t>Design Purpose</w:t>
            </w:r>
          </w:p>
        </w:tc>
      </w:tr>
      <w:tr w:rsidR="00BB1D38" w14:paraId="47F56CD5" w14:textId="77777777" w:rsidTr="006B7C3E">
        <w:tblPrEx>
          <w:tblCellMar>
            <w:top w:w="0" w:type="dxa"/>
            <w:bottom w:w="0" w:type="dxa"/>
          </w:tblCellMar>
        </w:tblPrEx>
        <w:trPr>
          <w:jc w:val="center"/>
        </w:trPr>
        <w:tc>
          <w:tcPr>
            <w:tcW w:w="19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A5B3CD" w14:textId="77777777" w:rsidR="00BB1D38" w:rsidRDefault="00000000">
            <w:proofErr w:type="spellStart"/>
            <w:r>
              <w:rPr>
                <w:color w:val="333333"/>
                <w:sz w:val="20"/>
                <w:szCs w:val="20"/>
              </w:rPr>
              <w:t>CSM_rep</w:t>
            </w:r>
            <w:proofErr w:type="spellEnd"/>
          </w:p>
        </w:tc>
        <w:tc>
          <w:tcPr>
            <w:tcW w:w="11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EFB495" w14:textId="77777777" w:rsidR="00BB1D38" w:rsidRDefault="00000000">
            <w:r>
              <w:rPr>
                <w:color w:val="333333"/>
                <w:sz w:val="20"/>
                <w:szCs w:val="20"/>
              </w:rPr>
              <w:t>~50 rows</w:t>
            </w:r>
          </w:p>
        </w:tc>
        <w:tc>
          <w:tcPr>
            <w:tcW w:w="76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FB4BC" w14:textId="77777777" w:rsidR="00BB1D38" w:rsidRDefault="00000000">
            <w:r>
              <w:rPr>
                <w:color w:val="333333"/>
                <w:sz w:val="20"/>
                <w:szCs w:val="20"/>
              </w:rPr>
              <w:t>Provides the rollup hierarchy for comp calculations. Segmented by Enterprise and Mid-Market to enable performance analysis by segment.</w:t>
            </w:r>
          </w:p>
        </w:tc>
      </w:tr>
      <w:tr w:rsidR="00BB1D38" w14:paraId="29E2538F" w14:textId="77777777" w:rsidTr="006B7C3E">
        <w:tblPrEx>
          <w:tblCellMar>
            <w:top w:w="0" w:type="dxa"/>
            <w:bottom w:w="0" w:type="dxa"/>
          </w:tblCellMar>
        </w:tblPrEx>
        <w:trPr>
          <w:jc w:val="center"/>
        </w:trPr>
        <w:tc>
          <w:tcPr>
            <w:tcW w:w="1919"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2D5D0DBB" w14:textId="77777777" w:rsidR="00BB1D38" w:rsidRDefault="00000000">
            <w:r>
              <w:rPr>
                <w:color w:val="333333"/>
                <w:sz w:val="20"/>
                <w:szCs w:val="20"/>
              </w:rPr>
              <w:t>Accounts</w:t>
            </w:r>
          </w:p>
        </w:tc>
        <w:tc>
          <w:tcPr>
            <w:tcW w:w="1188"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65E49D6B" w14:textId="77777777" w:rsidR="00BB1D38" w:rsidRDefault="00000000">
            <w:r>
              <w:rPr>
                <w:color w:val="333333"/>
                <w:sz w:val="20"/>
                <w:szCs w:val="20"/>
              </w:rPr>
              <w:t>~1,000 rows</w:t>
            </w:r>
          </w:p>
        </w:tc>
        <w:tc>
          <w:tcPr>
            <w:tcW w:w="7692"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0E77ED96" w14:textId="77777777" w:rsidR="00BB1D38" w:rsidRDefault="00000000">
            <w:r>
              <w:rPr>
                <w:color w:val="333333"/>
                <w:sz w:val="20"/>
                <w:szCs w:val="20"/>
              </w:rPr>
              <w:t xml:space="preserve">Master account list. Referential integrity anchor — all other tables join through </w:t>
            </w:r>
            <w:proofErr w:type="spellStart"/>
            <w:r>
              <w:rPr>
                <w:color w:val="333333"/>
                <w:sz w:val="20"/>
                <w:szCs w:val="20"/>
              </w:rPr>
              <w:t>account_id</w:t>
            </w:r>
            <w:proofErr w:type="spellEnd"/>
            <w:r>
              <w:rPr>
                <w:color w:val="333333"/>
                <w:sz w:val="20"/>
                <w:szCs w:val="20"/>
              </w:rPr>
              <w:t xml:space="preserve">. Orphaned usage edge case is seeded by creating usage logs with </w:t>
            </w:r>
            <w:proofErr w:type="spellStart"/>
            <w:r>
              <w:rPr>
                <w:color w:val="333333"/>
                <w:sz w:val="20"/>
                <w:szCs w:val="20"/>
              </w:rPr>
              <w:t>account_ids</w:t>
            </w:r>
            <w:proofErr w:type="spellEnd"/>
            <w:r>
              <w:rPr>
                <w:color w:val="333333"/>
                <w:sz w:val="20"/>
                <w:szCs w:val="20"/>
              </w:rPr>
              <w:t xml:space="preserve"> absent from this table.</w:t>
            </w:r>
          </w:p>
        </w:tc>
      </w:tr>
      <w:tr w:rsidR="00BB1D38" w14:paraId="512B5D28" w14:textId="77777777" w:rsidTr="006B7C3E">
        <w:tblPrEx>
          <w:tblCellMar>
            <w:top w:w="0" w:type="dxa"/>
            <w:bottom w:w="0" w:type="dxa"/>
          </w:tblCellMar>
        </w:tblPrEx>
        <w:trPr>
          <w:jc w:val="center"/>
        </w:trPr>
        <w:tc>
          <w:tcPr>
            <w:tcW w:w="19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AC5409" w14:textId="77777777" w:rsidR="00BB1D38" w:rsidRDefault="00000000">
            <w:r>
              <w:rPr>
                <w:color w:val="333333"/>
                <w:sz w:val="20"/>
                <w:szCs w:val="20"/>
              </w:rPr>
              <w:t>Contracts</w:t>
            </w:r>
          </w:p>
        </w:tc>
        <w:tc>
          <w:tcPr>
            <w:tcW w:w="11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0DB39" w14:textId="77777777" w:rsidR="00BB1D38" w:rsidRDefault="00000000">
            <w:r>
              <w:rPr>
                <w:color w:val="333333"/>
                <w:sz w:val="20"/>
                <w:szCs w:val="20"/>
              </w:rPr>
              <w:t>~1,200 rows</w:t>
            </w:r>
          </w:p>
        </w:tc>
        <w:tc>
          <w:tcPr>
            <w:tcW w:w="76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870082" w14:textId="77777777" w:rsidR="00BB1D38" w:rsidRDefault="00000000">
            <w:r>
              <w:rPr>
                <w:color w:val="333333"/>
                <w:sz w:val="20"/>
                <w:szCs w:val="20"/>
              </w:rPr>
              <w:t xml:space="preserve">More rows than accounts to support mid-year expansion edge case (some accounts have two active contracts). Includes </w:t>
            </w:r>
            <w:proofErr w:type="spellStart"/>
            <w:r>
              <w:rPr>
                <w:color w:val="333333"/>
                <w:sz w:val="20"/>
                <w:szCs w:val="20"/>
              </w:rPr>
              <w:t>annual_commit_dollars</w:t>
            </w:r>
            <w:proofErr w:type="spellEnd"/>
            <w:r>
              <w:rPr>
                <w:color w:val="333333"/>
                <w:sz w:val="20"/>
                <w:szCs w:val="20"/>
              </w:rPr>
              <w:t xml:space="preserve"> and </w:t>
            </w:r>
            <w:proofErr w:type="spellStart"/>
            <w:r>
              <w:rPr>
                <w:color w:val="333333"/>
                <w:sz w:val="20"/>
                <w:szCs w:val="20"/>
              </w:rPr>
              <w:t>included_monthly_compute_credits</w:t>
            </w:r>
            <w:proofErr w:type="spellEnd"/>
            <w:r>
              <w:rPr>
                <w:color w:val="333333"/>
                <w:sz w:val="20"/>
                <w:szCs w:val="20"/>
              </w:rPr>
              <w:t xml:space="preserve"> as the Consumption Health denominator.</w:t>
            </w:r>
          </w:p>
        </w:tc>
      </w:tr>
      <w:tr w:rsidR="00BB1D38" w14:paraId="6269746D" w14:textId="77777777" w:rsidTr="006B7C3E">
        <w:tblPrEx>
          <w:tblCellMar>
            <w:top w:w="0" w:type="dxa"/>
            <w:bottom w:w="0" w:type="dxa"/>
          </w:tblCellMar>
        </w:tblPrEx>
        <w:trPr>
          <w:jc w:val="center"/>
        </w:trPr>
        <w:tc>
          <w:tcPr>
            <w:tcW w:w="1919"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07A1B0E2" w14:textId="77777777" w:rsidR="00BB1D38" w:rsidRDefault="00000000">
            <w:proofErr w:type="spellStart"/>
            <w:r>
              <w:rPr>
                <w:color w:val="333333"/>
                <w:sz w:val="20"/>
                <w:szCs w:val="20"/>
              </w:rPr>
              <w:t>Account_Health</w:t>
            </w:r>
            <w:proofErr w:type="spellEnd"/>
          </w:p>
        </w:tc>
        <w:tc>
          <w:tcPr>
            <w:tcW w:w="1188"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610B9069" w14:textId="77777777" w:rsidR="00BB1D38" w:rsidRDefault="00000000">
            <w:r>
              <w:rPr>
                <w:color w:val="333333"/>
                <w:sz w:val="20"/>
                <w:szCs w:val="20"/>
              </w:rPr>
              <w:t>~50,000 rows</w:t>
            </w:r>
          </w:p>
        </w:tc>
        <w:tc>
          <w:tcPr>
            <w:tcW w:w="7692"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13B002D5" w14:textId="77777777" w:rsidR="00BB1D38" w:rsidRDefault="00000000">
            <w:r>
              <w:rPr>
                <w:color w:val="333333"/>
                <w:sz w:val="20"/>
                <w:szCs w:val="20"/>
              </w:rPr>
              <w:t xml:space="preserve">Monthly aggregate health color and consumption per account across 12 months. Used as reconciliation check against </w:t>
            </w:r>
            <w:proofErr w:type="spellStart"/>
            <w:r>
              <w:rPr>
                <w:color w:val="333333"/>
                <w:sz w:val="20"/>
                <w:szCs w:val="20"/>
              </w:rPr>
              <w:t>Daily_Usage_Logs</w:t>
            </w:r>
            <w:proofErr w:type="spellEnd"/>
            <w:r>
              <w:rPr>
                <w:color w:val="333333"/>
                <w:sz w:val="20"/>
                <w:szCs w:val="20"/>
              </w:rPr>
              <w:t xml:space="preserve"> in DQ Layer 1 construct validity test.</w:t>
            </w:r>
          </w:p>
        </w:tc>
      </w:tr>
      <w:tr w:rsidR="00BB1D38" w14:paraId="732BA535" w14:textId="77777777" w:rsidTr="006B7C3E">
        <w:tblPrEx>
          <w:tblCellMar>
            <w:top w:w="0" w:type="dxa"/>
            <w:bottom w:w="0" w:type="dxa"/>
          </w:tblCellMar>
        </w:tblPrEx>
        <w:trPr>
          <w:jc w:val="center"/>
        </w:trPr>
        <w:tc>
          <w:tcPr>
            <w:tcW w:w="19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A46BA5" w14:textId="77777777" w:rsidR="00BB1D38" w:rsidRDefault="00000000">
            <w:proofErr w:type="spellStart"/>
            <w:r>
              <w:rPr>
                <w:color w:val="333333"/>
                <w:sz w:val="20"/>
                <w:szCs w:val="20"/>
              </w:rPr>
              <w:t>Daily_Usage_Logs</w:t>
            </w:r>
            <w:proofErr w:type="spellEnd"/>
          </w:p>
        </w:tc>
        <w:tc>
          <w:tcPr>
            <w:tcW w:w="11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C23795" w14:textId="77777777" w:rsidR="00BB1D38" w:rsidRDefault="00000000">
            <w:r>
              <w:rPr>
                <w:color w:val="333333"/>
                <w:sz w:val="20"/>
                <w:szCs w:val="20"/>
              </w:rPr>
              <w:t>~200,000 rows</w:t>
            </w:r>
          </w:p>
        </w:tc>
        <w:tc>
          <w:tcPr>
            <w:tcW w:w="76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DB5A7F" w14:textId="77777777" w:rsidR="00BB1D38" w:rsidRDefault="00000000">
            <w:r>
              <w:rPr>
                <w:color w:val="333333"/>
                <w:sz w:val="20"/>
                <w:szCs w:val="20"/>
              </w:rPr>
              <w:t>Granular daily consumption. Primary input for Consumption Health and Engagement Trend. Spike-and-drop, shelfware, overage, and orphaned usage edge cases are all injected at this table level.</w:t>
            </w:r>
          </w:p>
        </w:tc>
      </w:tr>
    </w:tbl>
    <w:p w14:paraId="4C147104" w14:textId="77777777" w:rsidR="00BB1D38" w:rsidRDefault="00000000">
      <w:pPr>
        <w:pStyle w:val="Heading2"/>
      </w:pPr>
      <w:r>
        <w:rPr>
          <w:color w:val="1B3F6B"/>
        </w:rPr>
        <w:t>2.3 Deliberate edge case design</w:t>
      </w:r>
    </w:p>
    <w:p w14:paraId="47407E32" w14:textId="77777777" w:rsidR="00BB1D38" w:rsidRDefault="00000000">
      <w:pPr>
        <w:spacing w:before="60" w:after="100"/>
      </w:pPr>
      <w:r>
        <w:rPr>
          <w:color w:val="333333"/>
        </w:rPr>
        <w:t>Five edge cases were seeded deliberately into the dataset. Each was chosen because it represents a real B2B SaaS data pathology that a naive metric would either mishandle or miss entirely. The prevalence rates reflect realistic enterprise portfolio distributions, not arbitrary choices.</w:t>
      </w:r>
    </w:p>
    <w:p w14:paraId="1036128B" w14:textId="77777777" w:rsidR="00BB1D38" w:rsidRDefault="00BB1D38">
      <w:pPr>
        <w:spacing w:before="80" w:after="80"/>
      </w:pPr>
    </w:p>
    <w:tbl>
      <w:tblPr>
        <w:tblW w:w="1097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349"/>
        <w:gridCol w:w="1350"/>
        <w:gridCol w:w="3240"/>
        <w:gridCol w:w="1890"/>
        <w:gridCol w:w="3150"/>
      </w:tblGrid>
      <w:tr w:rsidR="00BB1D38" w14:paraId="0C9AEEB7" w14:textId="77777777" w:rsidTr="006B7C3E">
        <w:tblPrEx>
          <w:tblCellMar>
            <w:top w:w="0" w:type="dxa"/>
            <w:bottom w:w="0" w:type="dxa"/>
          </w:tblCellMar>
        </w:tblPrEx>
        <w:trPr>
          <w:tblHeader/>
          <w:jc w:val="center"/>
        </w:trPr>
        <w:tc>
          <w:tcPr>
            <w:tcW w:w="1349" w:type="dxa"/>
            <w:tcBorders>
              <w:top w:val="single" w:sz="1" w:space="0" w:color="CCCCCC"/>
              <w:left w:val="single" w:sz="1" w:space="0" w:color="CCCCCC"/>
              <w:bottom w:val="single" w:sz="1" w:space="0" w:color="CCCCCC"/>
              <w:right w:val="single" w:sz="1" w:space="0" w:color="CCCCCC"/>
            </w:tcBorders>
            <w:shd w:val="clear" w:color="auto" w:fill="1B3F6B"/>
            <w:tcMar>
              <w:top w:w="80" w:type="dxa"/>
              <w:left w:w="120" w:type="dxa"/>
              <w:bottom w:w="80" w:type="dxa"/>
              <w:right w:w="120" w:type="dxa"/>
            </w:tcMar>
          </w:tcPr>
          <w:p w14:paraId="057211D3" w14:textId="77777777" w:rsidR="00BB1D38" w:rsidRDefault="00000000">
            <w:r>
              <w:rPr>
                <w:b/>
                <w:bCs/>
                <w:color w:val="FFFFFF"/>
                <w:sz w:val="20"/>
                <w:szCs w:val="20"/>
              </w:rPr>
              <w:t>Edge Case</w:t>
            </w:r>
          </w:p>
        </w:tc>
        <w:tc>
          <w:tcPr>
            <w:tcW w:w="1350" w:type="dxa"/>
            <w:tcBorders>
              <w:top w:val="single" w:sz="1" w:space="0" w:color="CCCCCC"/>
              <w:left w:val="single" w:sz="1" w:space="0" w:color="CCCCCC"/>
              <w:bottom w:val="single" w:sz="1" w:space="0" w:color="CCCCCC"/>
              <w:right w:val="single" w:sz="1" w:space="0" w:color="CCCCCC"/>
            </w:tcBorders>
            <w:shd w:val="clear" w:color="auto" w:fill="1B3F6B"/>
            <w:tcMar>
              <w:top w:w="80" w:type="dxa"/>
              <w:left w:w="120" w:type="dxa"/>
              <w:bottom w:w="80" w:type="dxa"/>
              <w:right w:w="120" w:type="dxa"/>
            </w:tcMar>
          </w:tcPr>
          <w:p w14:paraId="04228F64" w14:textId="77777777" w:rsidR="00BB1D38" w:rsidRDefault="00000000">
            <w:r>
              <w:rPr>
                <w:b/>
                <w:bCs/>
                <w:color w:val="FFFFFF"/>
                <w:sz w:val="20"/>
                <w:szCs w:val="20"/>
              </w:rPr>
              <w:t>Prevalence</w:t>
            </w:r>
          </w:p>
        </w:tc>
        <w:tc>
          <w:tcPr>
            <w:tcW w:w="3240" w:type="dxa"/>
            <w:tcBorders>
              <w:top w:val="single" w:sz="1" w:space="0" w:color="CCCCCC"/>
              <w:left w:val="single" w:sz="1" w:space="0" w:color="CCCCCC"/>
              <w:bottom w:val="single" w:sz="1" w:space="0" w:color="CCCCCC"/>
              <w:right w:val="single" w:sz="1" w:space="0" w:color="CCCCCC"/>
            </w:tcBorders>
            <w:shd w:val="clear" w:color="auto" w:fill="1B3F6B"/>
            <w:tcMar>
              <w:top w:w="80" w:type="dxa"/>
              <w:left w:w="120" w:type="dxa"/>
              <w:bottom w:w="80" w:type="dxa"/>
              <w:right w:w="120" w:type="dxa"/>
            </w:tcMar>
          </w:tcPr>
          <w:p w14:paraId="3CE3AA99" w14:textId="77777777" w:rsidR="00BB1D38" w:rsidRDefault="00000000">
            <w:r>
              <w:rPr>
                <w:b/>
                <w:bCs/>
                <w:color w:val="FFFFFF"/>
                <w:sz w:val="20"/>
                <w:szCs w:val="20"/>
              </w:rPr>
              <w:t>Why This Rate</w:t>
            </w:r>
          </w:p>
        </w:tc>
        <w:tc>
          <w:tcPr>
            <w:tcW w:w="1890" w:type="dxa"/>
            <w:tcBorders>
              <w:top w:val="single" w:sz="1" w:space="0" w:color="CCCCCC"/>
              <w:left w:val="single" w:sz="1" w:space="0" w:color="CCCCCC"/>
              <w:bottom w:val="single" w:sz="1" w:space="0" w:color="CCCCCC"/>
              <w:right w:val="single" w:sz="1" w:space="0" w:color="CCCCCC"/>
            </w:tcBorders>
            <w:shd w:val="clear" w:color="auto" w:fill="1B3F6B"/>
            <w:tcMar>
              <w:top w:w="80" w:type="dxa"/>
              <w:left w:w="120" w:type="dxa"/>
              <w:bottom w:w="80" w:type="dxa"/>
              <w:right w:w="120" w:type="dxa"/>
            </w:tcMar>
          </w:tcPr>
          <w:p w14:paraId="05147D10" w14:textId="77777777" w:rsidR="00BB1D38" w:rsidRDefault="00000000">
            <w:r>
              <w:rPr>
                <w:b/>
                <w:bCs/>
                <w:color w:val="FFFFFF"/>
                <w:sz w:val="20"/>
                <w:szCs w:val="20"/>
              </w:rPr>
              <w:t>Which Dimension Catches It</w:t>
            </w:r>
          </w:p>
        </w:tc>
        <w:tc>
          <w:tcPr>
            <w:tcW w:w="3150" w:type="dxa"/>
            <w:tcBorders>
              <w:top w:val="single" w:sz="1" w:space="0" w:color="CCCCCC"/>
              <w:left w:val="single" w:sz="1" w:space="0" w:color="CCCCCC"/>
              <w:bottom w:val="single" w:sz="1" w:space="0" w:color="CCCCCC"/>
              <w:right w:val="single" w:sz="1" w:space="0" w:color="CCCCCC"/>
            </w:tcBorders>
            <w:shd w:val="clear" w:color="auto" w:fill="1B3F6B"/>
            <w:tcMar>
              <w:top w:w="80" w:type="dxa"/>
              <w:left w:w="120" w:type="dxa"/>
              <w:bottom w:w="80" w:type="dxa"/>
              <w:right w:w="120" w:type="dxa"/>
            </w:tcMar>
          </w:tcPr>
          <w:p w14:paraId="7E0E7B3E" w14:textId="77777777" w:rsidR="00BB1D38" w:rsidRDefault="00000000">
            <w:r>
              <w:rPr>
                <w:b/>
                <w:bCs/>
                <w:color w:val="FFFFFF"/>
                <w:sz w:val="20"/>
                <w:szCs w:val="20"/>
              </w:rPr>
              <w:t>What Breaks Without It</w:t>
            </w:r>
          </w:p>
        </w:tc>
      </w:tr>
      <w:tr w:rsidR="00BB1D38" w14:paraId="1A9434C8" w14:textId="77777777" w:rsidTr="006B7C3E">
        <w:tblPrEx>
          <w:tblCellMar>
            <w:top w:w="0" w:type="dxa"/>
            <w:bottom w:w="0" w:type="dxa"/>
          </w:tblCellMar>
        </w:tblPrEx>
        <w:trPr>
          <w:jc w:val="center"/>
        </w:trPr>
        <w:tc>
          <w:tcPr>
            <w:tcW w:w="13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C49941" w14:textId="77777777" w:rsidR="00BB1D38" w:rsidRDefault="00000000">
            <w:r>
              <w:rPr>
                <w:color w:val="333333"/>
                <w:sz w:val="20"/>
                <w:szCs w:val="20"/>
              </w:rPr>
              <w:t>Spike &amp; Drop</w:t>
            </w:r>
          </w:p>
        </w:tc>
        <w:tc>
          <w:tcPr>
            <w:tcW w:w="1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3823FC" w14:textId="77777777" w:rsidR="00BB1D38" w:rsidRDefault="00000000">
            <w:r>
              <w:rPr>
                <w:color w:val="333333"/>
                <w:sz w:val="20"/>
                <w:szCs w:val="20"/>
              </w:rPr>
              <w:t>~5% of accounts</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C95E6D" w14:textId="018568FE" w:rsidR="00BB1D38" w:rsidRDefault="00000000">
            <w:r>
              <w:rPr>
                <w:color w:val="333333"/>
                <w:sz w:val="20"/>
                <w:szCs w:val="20"/>
              </w:rPr>
              <w:t>Matches observed churn precursor rate in enterprise SaaS literature. Too low to dominate portfolio, high enough to be meaningful in 1,000-account dataset (~50 accounts).</w:t>
            </w:r>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85A4E" w14:textId="77777777" w:rsidR="00BB1D38" w:rsidRDefault="00000000">
            <w:r>
              <w:rPr>
                <w:color w:val="333333"/>
                <w:sz w:val="20"/>
                <w:szCs w:val="20"/>
              </w:rPr>
              <w:t>Engagement Trend (0.5× anomaly multiplier via Isolation Forest)</w:t>
            </w:r>
          </w:p>
        </w:tc>
        <w:tc>
          <w:tcPr>
            <w:tcW w:w="31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ED52F4" w14:textId="6B9C45EC" w:rsidR="00BB1D38" w:rsidRDefault="006B7C3E">
            <w:r>
              <w:rPr>
                <w:color w:val="333333"/>
                <w:sz w:val="20"/>
                <w:szCs w:val="20"/>
              </w:rPr>
              <w:t>M</w:t>
            </w:r>
            <w:r w:rsidR="00000000">
              <w:rPr>
                <w:color w:val="333333"/>
                <w:sz w:val="20"/>
                <w:szCs w:val="20"/>
              </w:rPr>
              <w:t>etric using point-in-time consumption would score a spike-and-drop account as Healthy in month 1 and miss collapse entirely.</w:t>
            </w:r>
          </w:p>
        </w:tc>
      </w:tr>
      <w:tr w:rsidR="00BB1D38" w14:paraId="632A18E0" w14:textId="77777777" w:rsidTr="006B7C3E">
        <w:tblPrEx>
          <w:tblCellMar>
            <w:top w:w="0" w:type="dxa"/>
            <w:bottom w:w="0" w:type="dxa"/>
          </w:tblCellMar>
        </w:tblPrEx>
        <w:trPr>
          <w:jc w:val="center"/>
        </w:trPr>
        <w:tc>
          <w:tcPr>
            <w:tcW w:w="1349"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42B9A3D7" w14:textId="77777777" w:rsidR="00BB1D38" w:rsidRDefault="00000000">
            <w:r>
              <w:rPr>
                <w:color w:val="333333"/>
                <w:sz w:val="20"/>
                <w:szCs w:val="20"/>
              </w:rPr>
              <w:t>Shelfware</w:t>
            </w:r>
          </w:p>
        </w:tc>
        <w:tc>
          <w:tcPr>
            <w:tcW w:w="135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66CF3802" w14:textId="77777777" w:rsidR="00BB1D38" w:rsidRDefault="00000000">
            <w:r>
              <w:rPr>
                <w:color w:val="333333"/>
                <w:sz w:val="20"/>
                <w:szCs w:val="20"/>
              </w:rPr>
              <w:t>~10% of accounts</w:t>
            </w:r>
          </w:p>
        </w:tc>
        <w:tc>
          <w:tcPr>
            <w:tcW w:w="324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36A49AD0" w14:textId="77777777" w:rsidR="00BB1D38" w:rsidRDefault="00000000">
            <w:r>
              <w:rPr>
                <w:color w:val="333333"/>
                <w:sz w:val="20"/>
                <w:szCs w:val="20"/>
              </w:rPr>
              <w:t>Industry estimates place shelfware at 10-30% of enterprise software contracts. Conservative end chosen to avoid overstating the problem in a PAN-specific context.</w:t>
            </w:r>
          </w:p>
        </w:tc>
        <w:tc>
          <w:tcPr>
            <w:tcW w:w="189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63D40197" w14:textId="77777777" w:rsidR="00BB1D38" w:rsidRDefault="00000000">
            <w:r>
              <w:rPr>
                <w:color w:val="333333"/>
                <w:sz w:val="20"/>
                <w:szCs w:val="20"/>
              </w:rPr>
              <w:t>Deployment Depth + Consumption Health (both score near zero)</w:t>
            </w:r>
          </w:p>
        </w:tc>
        <w:tc>
          <w:tcPr>
            <w:tcW w:w="315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574DEA80" w14:textId="34CD8773" w:rsidR="00BB1D38" w:rsidRDefault="006B7C3E">
            <w:r>
              <w:rPr>
                <w:color w:val="333333"/>
                <w:sz w:val="20"/>
                <w:szCs w:val="20"/>
              </w:rPr>
              <w:t>M</w:t>
            </w:r>
            <w:r w:rsidR="00000000">
              <w:rPr>
                <w:color w:val="333333"/>
                <w:sz w:val="20"/>
                <w:szCs w:val="20"/>
              </w:rPr>
              <w:t>etric measuring ARR or contract value would show these accounts as high-value. AHI shows them Churning.</w:t>
            </w:r>
          </w:p>
        </w:tc>
      </w:tr>
      <w:tr w:rsidR="00BB1D38" w14:paraId="7C4158B4" w14:textId="77777777" w:rsidTr="006B7C3E">
        <w:tblPrEx>
          <w:tblCellMar>
            <w:top w:w="0" w:type="dxa"/>
            <w:bottom w:w="0" w:type="dxa"/>
          </w:tblCellMar>
        </w:tblPrEx>
        <w:trPr>
          <w:jc w:val="center"/>
        </w:trPr>
        <w:tc>
          <w:tcPr>
            <w:tcW w:w="13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092430" w14:textId="77777777" w:rsidR="00BB1D38" w:rsidRDefault="00000000">
            <w:r>
              <w:rPr>
                <w:color w:val="333333"/>
                <w:sz w:val="20"/>
                <w:szCs w:val="20"/>
              </w:rPr>
              <w:t>Consistent Overages</w:t>
            </w:r>
          </w:p>
        </w:tc>
        <w:tc>
          <w:tcPr>
            <w:tcW w:w="1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BE24F9" w14:textId="77777777" w:rsidR="00BB1D38" w:rsidRDefault="00000000">
            <w:r>
              <w:rPr>
                <w:color w:val="333333"/>
                <w:sz w:val="20"/>
                <w:szCs w:val="20"/>
              </w:rPr>
              <w:t>~15% of accounts</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9D2EA3" w14:textId="2F147E0B" w:rsidR="00BB1D38" w:rsidRDefault="00000000">
            <w:r>
              <w:rPr>
                <w:color w:val="333333"/>
                <w:sz w:val="20"/>
                <w:szCs w:val="20"/>
              </w:rPr>
              <w:t>Overage accounts are common in consumption models during early adoption phase. 15% reflects healthy but not runaway adoption rate.</w:t>
            </w:r>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12F650" w14:textId="77777777" w:rsidR="00BB1D38" w:rsidRDefault="00000000">
            <w:r>
              <w:rPr>
                <w:color w:val="333333"/>
                <w:sz w:val="20"/>
                <w:szCs w:val="20"/>
              </w:rPr>
              <w:t>Consumption Health (0.85× penalty above 120%)</w:t>
            </w:r>
          </w:p>
        </w:tc>
        <w:tc>
          <w:tcPr>
            <w:tcW w:w="31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801F67" w14:textId="77777777" w:rsidR="00BB1D38" w:rsidRDefault="00000000">
            <w:r>
              <w:rPr>
                <w:color w:val="333333"/>
                <w:sz w:val="20"/>
                <w:szCs w:val="20"/>
              </w:rPr>
              <w:t>Without an overage signal, CSMs have no metric incentive to right-size contracts. Expansion revenue gets left on the table.</w:t>
            </w:r>
          </w:p>
        </w:tc>
      </w:tr>
      <w:tr w:rsidR="00BB1D38" w14:paraId="420140B4" w14:textId="77777777" w:rsidTr="006B7C3E">
        <w:tblPrEx>
          <w:tblCellMar>
            <w:top w:w="0" w:type="dxa"/>
            <w:bottom w:w="0" w:type="dxa"/>
          </w:tblCellMar>
        </w:tblPrEx>
        <w:trPr>
          <w:jc w:val="center"/>
        </w:trPr>
        <w:tc>
          <w:tcPr>
            <w:tcW w:w="1349"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71F4EA9F" w14:textId="77777777" w:rsidR="00BB1D38" w:rsidRDefault="00000000">
            <w:r>
              <w:rPr>
                <w:color w:val="333333"/>
                <w:sz w:val="20"/>
                <w:szCs w:val="20"/>
              </w:rPr>
              <w:t>Mid-Year Expansions</w:t>
            </w:r>
          </w:p>
        </w:tc>
        <w:tc>
          <w:tcPr>
            <w:tcW w:w="135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5BD9D1EB" w14:textId="77777777" w:rsidR="00BB1D38" w:rsidRDefault="00000000">
            <w:r>
              <w:rPr>
                <w:color w:val="333333"/>
                <w:sz w:val="20"/>
                <w:szCs w:val="20"/>
              </w:rPr>
              <w:t>Several accounts</w:t>
            </w:r>
          </w:p>
        </w:tc>
        <w:tc>
          <w:tcPr>
            <w:tcW w:w="324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4E56FD76" w14:textId="31288BC0" w:rsidR="00BB1D38" w:rsidRDefault="00000000">
            <w:r>
              <w:rPr>
                <w:color w:val="333333"/>
                <w:sz w:val="20"/>
                <w:szCs w:val="20"/>
              </w:rPr>
              <w:t>Kept small to test denominator reset logic without distorting overall portfolio distribution.</w:t>
            </w:r>
          </w:p>
        </w:tc>
        <w:tc>
          <w:tcPr>
            <w:tcW w:w="189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7A467094" w14:textId="77777777" w:rsidR="00BB1D38" w:rsidRDefault="00000000">
            <w:r>
              <w:rPr>
                <w:color w:val="333333"/>
                <w:sz w:val="20"/>
                <w:szCs w:val="20"/>
              </w:rPr>
              <w:t xml:space="preserve">Contract Expansion (resets </w:t>
            </w:r>
            <w:proofErr w:type="spellStart"/>
            <w:r>
              <w:rPr>
                <w:color w:val="333333"/>
                <w:sz w:val="20"/>
                <w:szCs w:val="20"/>
              </w:rPr>
              <w:t>committed_credits</w:t>
            </w:r>
            <w:proofErr w:type="spellEnd"/>
            <w:r>
              <w:rPr>
                <w:color w:val="333333"/>
                <w:sz w:val="20"/>
                <w:szCs w:val="20"/>
              </w:rPr>
              <w:t xml:space="preserve"> baseline)</w:t>
            </w:r>
          </w:p>
        </w:tc>
        <w:tc>
          <w:tcPr>
            <w:tcW w:w="315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7B59E05D" w14:textId="621CC65D" w:rsidR="00BB1D38" w:rsidRDefault="00000000">
            <w:r>
              <w:rPr>
                <w:color w:val="333333"/>
                <w:sz w:val="20"/>
                <w:szCs w:val="20"/>
              </w:rPr>
              <w:t>Without reset, mid-year expansion account's consumption ratio is calculated against wrong denominator, artificially inflating or deflating score.</w:t>
            </w:r>
          </w:p>
        </w:tc>
      </w:tr>
      <w:tr w:rsidR="00BB1D38" w14:paraId="0D3F8B6E" w14:textId="77777777" w:rsidTr="006B7C3E">
        <w:tblPrEx>
          <w:tblCellMar>
            <w:top w:w="0" w:type="dxa"/>
            <w:bottom w:w="0" w:type="dxa"/>
          </w:tblCellMar>
        </w:tblPrEx>
        <w:trPr>
          <w:jc w:val="center"/>
        </w:trPr>
        <w:tc>
          <w:tcPr>
            <w:tcW w:w="13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1C090A" w14:textId="77777777" w:rsidR="00BB1D38" w:rsidRDefault="00000000">
            <w:r>
              <w:rPr>
                <w:color w:val="333333"/>
                <w:sz w:val="20"/>
                <w:szCs w:val="20"/>
              </w:rPr>
              <w:t>Orphaned/Rogue Usage</w:t>
            </w:r>
          </w:p>
        </w:tc>
        <w:tc>
          <w:tcPr>
            <w:tcW w:w="1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93A1B1" w14:textId="77777777" w:rsidR="00BB1D38" w:rsidRDefault="00000000">
            <w:r>
              <w:rPr>
                <w:color w:val="333333"/>
                <w:sz w:val="20"/>
                <w:szCs w:val="20"/>
              </w:rPr>
              <w:t>A few hundred log rows</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AEF411" w14:textId="77777777" w:rsidR="00BB1D38" w:rsidRDefault="00000000">
            <w:r>
              <w:rPr>
                <w:color w:val="333333"/>
                <w:sz w:val="20"/>
                <w:szCs w:val="20"/>
              </w:rPr>
              <w:t xml:space="preserve">Small enough to be realistic (data pipeline errors, not systemic failure) but large enough to be </w:t>
            </w:r>
            <w:r>
              <w:rPr>
                <w:color w:val="333333"/>
                <w:sz w:val="20"/>
                <w:szCs w:val="20"/>
              </w:rPr>
              <w:lastRenderedPageBreak/>
              <w:t>caught by DQ tests on a dataset of this size.</w:t>
            </w:r>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6182C" w14:textId="77777777" w:rsidR="00BB1D38" w:rsidRDefault="00000000">
            <w:r>
              <w:rPr>
                <w:color w:val="333333"/>
                <w:sz w:val="20"/>
                <w:szCs w:val="20"/>
              </w:rPr>
              <w:lastRenderedPageBreak/>
              <w:t>DQ test layer (excluded before AHI runs)</w:t>
            </w:r>
          </w:p>
        </w:tc>
        <w:tc>
          <w:tcPr>
            <w:tcW w:w="31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6A54AE" w14:textId="333F4DDC" w:rsidR="00BB1D38" w:rsidRDefault="00000000">
            <w:r>
              <w:rPr>
                <w:color w:val="333333"/>
                <w:sz w:val="20"/>
                <w:szCs w:val="20"/>
              </w:rPr>
              <w:t xml:space="preserve">Without DQ catch, orphaned usage leaks into consumption calculations, inflating scores for </w:t>
            </w:r>
            <w:r>
              <w:rPr>
                <w:color w:val="333333"/>
                <w:sz w:val="20"/>
                <w:szCs w:val="20"/>
              </w:rPr>
              <w:lastRenderedPageBreak/>
              <w:t>accounts that don't exist or have expired contracts.</w:t>
            </w:r>
          </w:p>
        </w:tc>
      </w:tr>
    </w:tbl>
    <w:p w14:paraId="4D9F8298" w14:textId="77777777" w:rsidR="00BB1D38" w:rsidRDefault="00000000">
      <w:pPr>
        <w:pStyle w:val="Heading2"/>
      </w:pPr>
      <w:r>
        <w:rPr>
          <w:color w:val="1B3F6B"/>
        </w:rPr>
        <w:lastRenderedPageBreak/>
        <w:t>2.4 Data quality assurance</w:t>
      </w:r>
    </w:p>
    <w:p w14:paraId="7B61E039" w14:textId="77777777" w:rsidR="00BB1D38" w:rsidRDefault="00000000">
      <w:pPr>
        <w:spacing w:before="60" w:after="100"/>
      </w:pPr>
      <w:r>
        <w:rPr>
          <w:color w:val="333333"/>
        </w:rPr>
        <w:t>Quality was enforced at two levels: generation-time and pipeline-time.</w:t>
      </w:r>
    </w:p>
    <w:p w14:paraId="3100AED2" w14:textId="77777777" w:rsidR="006B7C3E" w:rsidRPr="006B7C3E" w:rsidRDefault="00000000">
      <w:pPr>
        <w:spacing w:before="60" w:after="100"/>
        <w:rPr>
          <w:b/>
          <w:bCs/>
          <w:color w:val="333333"/>
        </w:rPr>
      </w:pPr>
      <w:r w:rsidRPr="006B7C3E">
        <w:rPr>
          <w:b/>
          <w:bCs/>
          <w:color w:val="333333"/>
        </w:rPr>
        <w:t xml:space="preserve">Generation-time: </w:t>
      </w:r>
    </w:p>
    <w:p w14:paraId="192D8417" w14:textId="02311BB5" w:rsidR="006B7C3E" w:rsidRPr="006B7C3E" w:rsidRDefault="00000000" w:rsidP="006B7C3E">
      <w:pPr>
        <w:pStyle w:val="ListParagraph"/>
        <w:numPr>
          <w:ilvl w:val="0"/>
          <w:numId w:val="3"/>
        </w:numPr>
        <w:spacing w:before="60" w:after="100"/>
        <w:rPr>
          <w:color w:val="333333"/>
        </w:rPr>
      </w:pPr>
      <w:r w:rsidRPr="006B7C3E">
        <w:rPr>
          <w:color w:val="333333"/>
        </w:rPr>
        <w:t xml:space="preserve">referential integrity between tables was enforced in the Python script — every </w:t>
      </w:r>
      <w:proofErr w:type="spellStart"/>
      <w:r w:rsidRPr="006B7C3E">
        <w:rPr>
          <w:color w:val="333333"/>
        </w:rPr>
        <w:t>account_id</w:t>
      </w:r>
      <w:proofErr w:type="spellEnd"/>
      <w:r w:rsidRPr="006B7C3E">
        <w:rPr>
          <w:color w:val="333333"/>
        </w:rPr>
        <w:t xml:space="preserve"> in Contracts, </w:t>
      </w:r>
      <w:proofErr w:type="spellStart"/>
      <w:r w:rsidRPr="006B7C3E">
        <w:rPr>
          <w:color w:val="333333"/>
        </w:rPr>
        <w:t>Account_Health</w:t>
      </w:r>
      <w:proofErr w:type="spellEnd"/>
      <w:r w:rsidRPr="006B7C3E">
        <w:rPr>
          <w:color w:val="333333"/>
        </w:rPr>
        <w:t xml:space="preserve">, and </w:t>
      </w:r>
      <w:proofErr w:type="spellStart"/>
      <w:r w:rsidRPr="006B7C3E">
        <w:rPr>
          <w:color w:val="333333"/>
        </w:rPr>
        <w:t>Daily_Usage_Logs</w:t>
      </w:r>
      <w:proofErr w:type="spellEnd"/>
      <w:r w:rsidRPr="006B7C3E">
        <w:rPr>
          <w:color w:val="333333"/>
        </w:rPr>
        <w:t xml:space="preserve"> exists in the Accounts table, except for the deliberately seeded orphaned usage rows. </w:t>
      </w:r>
    </w:p>
    <w:p w14:paraId="74E3F732" w14:textId="5E8E6E62" w:rsidR="00BB1D38" w:rsidRPr="006B7C3E" w:rsidRDefault="00000000" w:rsidP="006B7C3E">
      <w:pPr>
        <w:pStyle w:val="ListParagraph"/>
        <w:numPr>
          <w:ilvl w:val="0"/>
          <w:numId w:val="3"/>
        </w:numPr>
        <w:spacing w:before="60" w:after="100"/>
        <w:rPr>
          <w:color w:val="333333"/>
        </w:rPr>
      </w:pPr>
      <w:r w:rsidRPr="006B7C3E">
        <w:rPr>
          <w:color w:val="333333"/>
        </w:rPr>
        <w:t xml:space="preserve">Date ranges were validated to ensure contract start dates precede end dates and that </w:t>
      </w:r>
      <w:proofErr w:type="gramStart"/>
      <w:r w:rsidRPr="006B7C3E">
        <w:rPr>
          <w:color w:val="333333"/>
        </w:rPr>
        <w:t>the majority of</w:t>
      </w:r>
      <w:proofErr w:type="gramEnd"/>
      <w:r w:rsidRPr="006B7C3E">
        <w:rPr>
          <w:color w:val="333333"/>
        </w:rPr>
        <w:t xml:space="preserve"> usage logs fall within active contract periods.</w:t>
      </w:r>
    </w:p>
    <w:p w14:paraId="714426B9" w14:textId="77777777" w:rsidR="006B7C3E" w:rsidRDefault="006B7C3E">
      <w:pPr>
        <w:spacing w:before="60" w:after="100"/>
      </w:pPr>
    </w:p>
    <w:p w14:paraId="254DDE1A" w14:textId="77777777" w:rsidR="006B7C3E" w:rsidRPr="006B7C3E" w:rsidRDefault="00000000">
      <w:pPr>
        <w:spacing w:before="60" w:after="100"/>
        <w:rPr>
          <w:b/>
          <w:bCs/>
          <w:color w:val="333333"/>
        </w:rPr>
      </w:pPr>
      <w:r w:rsidRPr="006B7C3E">
        <w:rPr>
          <w:b/>
          <w:bCs/>
          <w:color w:val="333333"/>
        </w:rPr>
        <w:t xml:space="preserve">Pipeline-time: </w:t>
      </w:r>
    </w:p>
    <w:p w14:paraId="30EB1901" w14:textId="77777777" w:rsidR="006B7C3E" w:rsidRPr="006B7C3E" w:rsidRDefault="00000000" w:rsidP="006B7C3E">
      <w:pPr>
        <w:pStyle w:val="ListParagraph"/>
        <w:numPr>
          <w:ilvl w:val="0"/>
          <w:numId w:val="4"/>
        </w:numPr>
        <w:spacing w:before="60" w:after="100"/>
        <w:rPr>
          <w:color w:val="333333"/>
        </w:rPr>
      </w:pPr>
      <w:r w:rsidRPr="006B7C3E">
        <w:rPr>
          <w:color w:val="333333"/>
        </w:rPr>
        <w:t xml:space="preserve">six automated DQ assertions run before every AHI calculation. </w:t>
      </w:r>
    </w:p>
    <w:p w14:paraId="688F292E" w14:textId="2474D3B9" w:rsidR="00BB1D38" w:rsidRDefault="00000000" w:rsidP="006B7C3E">
      <w:pPr>
        <w:pStyle w:val="ListParagraph"/>
        <w:numPr>
          <w:ilvl w:val="0"/>
          <w:numId w:val="4"/>
        </w:numPr>
        <w:spacing w:before="60" w:after="100"/>
      </w:pPr>
      <w:r w:rsidRPr="006B7C3E">
        <w:rPr>
          <w:color w:val="333333"/>
        </w:rPr>
        <w:t>Any assertion failure halts the pipeline and routes the failing rows to a quarantine table for engineering review rather than silently corrupting the metric output. This is the same pattern used in production data pipelines — quality gates, not quality hopes.</w:t>
      </w:r>
    </w:p>
    <w:p w14:paraId="572BB8D4" w14:textId="77777777" w:rsidR="00BB1D38" w:rsidRDefault="00000000">
      <w:pPr>
        <w:pStyle w:val="Heading2"/>
      </w:pPr>
      <w:r>
        <w:rPr>
          <w:color w:val="1B3F6B"/>
        </w:rPr>
        <w:t>2.5 Alignment to business use case</w:t>
      </w:r>
    </w:p>
    <w:p w14:paraId="435E852B" w14:textId="77777777" w:rsidR="00BB1D38" w:rsidRDefault="00000000">
      <w:pPr>
        <w:spacing w:before="60" w:after="100"/>
      </w:pPr>
      <w:r>
        <w:rPr>
          <w:color w:val="333333"/>
        </w:rPr>
        <w:t>The dataset was not generated then fitted to the metric. The metric and the data were co-designed in the following sequence:</w:t>
      </w:r>
    </w:p>
    <w:p w14:paraId="1C278888" w14:textId="77777777" w:rsidR="00BB1D38" w:rsidRDefault="00000000" w:rsidP="006B7C3E">
      <w:pPr>
        <w:pStyle w:val="ListParagraph"/>
        <w:numPr>
          <w:ilvl w:val="0"/>
          <w:numId w:val="5"/>
        </w:numPr>
        <w:spacing w:before="40" w:after="40"/>
      </w:pPr>
      <w:r w:rsidRPr="006B7C3E">
        <w:rPr>
          <w:b/>
          <w:bCs/>
          <w:color w:val="333333"/>
        </w:rPr>
        <w:t xml:space="preserve">Step 1: </w:t>
      </w:r>
      <w:r w:rsidRPr="006B7C3E">
        <w:rPr>
          <w:color w:val="333333"/>
        </w:rPr>
        <w:t>Define the business question (what is account health at a point in time?).</w:t>
      </w:r>
    </w:p>
    <w:p w14:paraId="33AD8EF1" w14:textId="05AEE6B9" w:rsidR="00BB1D38" w:rsidRDefault="00000000" w:rsidP="006B7C3E">
      <w:pPr>
        <w:pStyle w:val="ListParagraph"/>
        <w:numPr>
          <w:ilvl w:val="0"/>
          <w:numId w:val="5"/>
        </w:numPr>
        <w:spacing w:before="40" w:after="40"/>
      </w:pPr>
      <w:r w:rsidRPr="006B7C3E">
        <w:rPr>
          <w:b/>
          <w:bCs/>
          <w:color w:val="333333"/>
        </w:rPr>
        <w:t xml:space="preserve">Step 2: </w:t>
      </w:r>
      <w:r w:rsidRPr="006B7C3E">
        <w:rPr>
          <w:color w:val="333333"/>
        </w:rPr>
        <w:t>Identify real-world data pathologies that make that question hard to answer (shelfware, spike-and-drop, overages, expansions, orphaned usage).</w:t>
      </w:r>
    </w:p>
    <w:p w14:paraId="24517C9C" w14:textId="21D5F1EB" w:rsidR="00BB1D38" w:rsidRDefault="00000000" w:rsidP="006B7C3E">
      <w:pPr>
        <w:pStyle w:val="ListParagraph"/>
        <w:numPr>
          <w:ilvl w:val="0"/>
          <w:numId w:val="5"/>
        </w:numPr>
        <w:spacing w:before="40" w:after="40"/>
      </w:pPr>
      <w:r w:rsidRPr="006B7C3E">
        <w:rPr>
          <w:b/>
          <w:bCs/>
          <w:color w:val="333333"/>
        </w:rPr>
        <w:t xml:space="preserve">Step 3: </w:t>
      </w:r>
      <w:r w:rsidRPr="006B7C3E">
        <w:rPr>
          <w:color w:val="333333"/>
        </w:rPr>
        <w:t>Design metric dimensions to handle each pathology explicitly.</w:t>
      </w:r>
    </w:p>
    <w:p w14:paraId="652623F8" w14:textId="77777777" w:rsidR="00BB1D38" w:rsidRDefault="00000000" w:rsidP="006B7C3E">
      <w:pPr>
        <w:pStyle w:val="ListParagraph"/>
        <w:numPr>
          <w:ilvl w:val="0"/>
          <w:numId w:val="5"/>
        </w:numPr>
        <w:spacing w:before="40" w:after="40"/>
      </w:pPr>
      <w:r w:rsidRPr="006B7C3E">
        <w:rPr>
          <w:b/>
          <w:bCs/>
          <w:color w:val="333333"/>
        </w:rPr>
        <w:t xml:space="preserve">Step 4: </w:t>
      </w:r>
      <w:r w:rsidRPr="006B7C3E">
        <w:rPr>
          <w:color w:val="333333"/>
        </w:rPr>
        <w:t>Generate synthetic data that contains each pathology at a realistic prevalence rate.</w:t>
      </w:r>
    </w:p>
    <w:p w14:paraId="033EBCE3" w14:textId="6E4C2E11" w:rsidR="00BB1D38" w:rsidRDefault="00000000" w:rsidP="006B7C3E">
      <w:pPr>
        <w:pStyle w:val="ListParagraph"/>
        <w:numPr>
          <w:ilvl w:val="0"/>
          <w:numId w:val="5"/>
        </w:numPr>
        <w:spacing w:before="40" w:after="40"/>
      </w:pPr>
      <w:r w:rsidRPr="006B7C3E">
        <w:rPr>
          <w:b/>
          <w:bCs/>
          <w:color w:val="333333"/>
        </w:rPr>
        <w:t xml:space="preserve">Step 5: </w:t>
      </w:r>
      <w:r w:rsidRPr="006B7C3E">
        <w:rPr>
          <w:color w:val="333333"/>
        </w:rPr>
        <w:t>Validate that metric handles each pathology correctly on synthetic data before claiming it will work in production.</w:t>
      </w:r>
    </w:p>
    <w:p w14:paraId="65BFF278" w14:textId="77777777" w:rsidR="006B7C3E" w:rsidRDefault="006B7C3E">
      <w:pPr>
        <w:spacing w:before="60" w:after="100"/>
        <w:rPr>
          <w:color w:val="333333"/>
        </w:rPr>
      </w:pPr>
    </w:p>
    <w:p w14:paraId="088F86B1" w14:textId="0FC5D8E9" w:rsidR="00BB1D38" w:rsidRDefault="00000000" w:rsidP="006B7C3E">
      <w:pPr>
        <w:spacing w:before="60" w:after="100"/>
      </w:pPr>
      <w:r>
        <w:rPr>
          <w:color w:val="333333"/>
        </w:rPr>
        <w:t>This sequence — problem first, metric second, data third, validation fourth — is the correct order for building a trustworthy measurement system. Reversing it (generate data, fit a metric, declare success) produces a metric that works in the lab and fails in production.</w:t>
      </w:r>
    </w:p>
    <w:p w14:paraId="052ED68C" w14:textId="77777777" w:rsidR="00BB1D38" w:rsidRDefault="00BB1D38">
      <w:pPr>
        <w:pBdr>
          <w:bottom w:val="single" w:sz="4" w:space="1" w:color="DDDDDD"/>
        </w:pBdr>
        <w:spacing w:before="120" w:after="120"/>
      </w:pPr>
    </w:p>
    <w:p w14:paraId="70E96CB5" w14:textId="77777777" w:rsidR="00BB1D38" w:rsidRDefault="00000000">
      <w:pPr>
        <w:pStyle w:val="Heading1"/>
      </w:pPr>
      <w:r>
        <w:rPr>
          <w:color w:val="1B3F6B"/>
        </w:rPr>
        <w:t>3. Data Model &amp; Output Table Schema</w:t>
      </w:r>
    </w:p>
    <w:p w14:paraId="45FC5044" w14:textId="77777777" w:rsidR="00BB1D38" w:rsidRDefault="00000000">
      <w:pPr>
        <w:pStyle w:val="Heading2"/>
      </w:pPr>
      <w:r>
        <w:rPr>
          <w:color w:val="1B3F6B"/>
        </w:rPr>
        <w:t>3.1 Data Model Overview</w:t>
      </w:r>
    </w:p>
    <w:p w14:paraId="60C13A01" w14:textId="77777777" w:rsidR="006B7C3E" w:rsidRDefault="00000000">
      <w:pPr>
        <w:spacing w:before="60" w:after="100"/>
        <w:rPr>
          <w:color w:val="333333"/>
        </w:rPr>
      </w:pPr>
      <w:r w:rsidRPr="006B7C3E">
        <w:rPr>
          <w:b/>
          <w:bCs/>
          <w:color w:val="333333"/>
        </w:rPr>
        <w:t>Storage layer:</w:t>
      </w:r>
      <w:r>
        <w:rPr>
          <w:color w:val="333333"/>
        </w:rPr>
        <w:t xml:space="preserve"> all five source tables and both output tables are provisioned in Google </w:t>
      </w:r>
      <w:proofErr w:type="spellStart"/>
      <w:r>
        <w:rPr>
          <w:color w:val="333333"/>
        </w:rPr>
        <w:t>BigQuery</w:t>
      </w:r>
      <w:proofErr w:type="spellEnd"/>
      <w:r>
        <w:rPr>
          <w:color w:val="333333"/>
        </w:rPr>
        <w:t xml:space="preserve"> Sandbox (free tier). </w:t>
      </w:r>
    </w:p>
    <w:p w14:paraId="6C253E04" w14:textId="77777777" w:rsidR="006B7C3E" w:rsidRDefault="006B7C3E">
      <w:pPr>
        <w:spacing w:before="60" w:after="100"/>
        <w:rPr>
          <w:color w:val="333333"/>
        </w:rPr>
      </w:pPr>
    </w:p>
    <w:p w14:paraId="7BA02BEC" w14:textId="51450AEE" w:rsidR="00BB1D38" w:rsidRDefault="00000000">
      <w:pPr>
        <w:spacing w:before="60" w:after="100"/>
      </w:pPr>
      <w:proofErr w:type="spellStart"/>
      <w:r>
        <w:rPr>
          <w:color w:val="333333"/>
        </w:rPr>
        <w:t>BigQuery</w:t>
      </w:r>
      <w:proofErr w:type="spellEnd"/>
      <w:r>
        <w:rPr>
          <w:color w:val="333333"/>
        </w:rPr>
        <w:t xml:space="preserve"> was selected as the storage layer because AHI calculations are analytical aggregations — window functions, monthly sums, linear regression across date ranges — not transactional queries. </w:t>
      </w:r>
      <w:proofErr w:type="spellStart"/>
      <w:r>
        <w:rPr>
          <w:color w:val="333333"/>
        </w:rPr>
        <w:t>BigQuery's</w:t>
      </w:r>
      <w:proofErr w:type="spellEnd"/>
      <w:r>
        <w:rPr>
          <w:color w:val="333333"/>
        </w:rPr>
        <w:t xml:space="preserve"> columnar storage handles this query pattern at scale without infrastructure management. All downstream metric calculations query </w:t>
      </w:r>
      <w:proofErr w:type="spellStart"/>
      <w:r>
        <w:rPr>
          <w:color w:val="333333"/>
        </w:rPr>
        <w:t>BigQuery</w:t>
      </w:r>
      <w:proofErr w:type="spellEnd"/>
      <w:r>
        <w:rPr>
          <w:color w:val="333333"/>
        </w:rPr>
        <w:t xml:space="preserve"> directly.</w:t>
      </w:r>
    </w:p>
    <w:p w14:paraId="4AC1FA2A" w14:textId="77777777" w:rsidR="00BB1D38" w:rsidRDefault="00000000">
      <w:pPr>
        <w:spacing w:before="60" w:after="100"/>
      </w:pPr>
      <w:r>
        <w:rPr>
          <w:color w:val="333333"/>
        </w:rPr>
        <w:lastRenderedPageBreak/>
        <w:t>AHI is calculated from five source tables. Understanding how they relate is essential for interpreting the metric correctly.</w:t>
      </w:r>
    </w:p>
    <w:p w14:paraId="0EA6F9A6" w14:textId="77777777" w:rsidR="00BB1D38" w:rsidRDefault="00BB1D38">
      <w:pPr>
        <w:spacing w:before="80" w:after="80"/>
      </w:pPr>
    </w:p>
    <w:tbl>
      <w:tblPr>
        <w:tblW w:w="10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19"/>
        <w:gridCol w:w="1410"/>
        <w:gridCol w:w="5130"/>
        <w:gridCol w:w="2430"/>
      </w:tblGrid>
      <w:tr w:rsidR="00BB1D38" w14:paraId="74F7F5F7" w14:textId="77777777" w:rsidTr="006B7C3E">
        <w:tblPrEx>
          <w:tblCellMar>
            <w:top w:w="0" w:type="dxa"/>
            <w:bottom w:w="0" w:type="dxa"/>
          </w:tblCellMar>
        </w:tblPrEx>
        <w:trPr>
          <w:tblHeader/>
        </w:trPr>
        <w:tc>
          <w:tcPr>
            <w:tcW w:w="1919" w:type="dxa"/>
            <w:tcBorders>
              <w:top w:val="single" w:sz="1" w:space="0" w:color="CCCCCC"/>
              <w:left w:val="single" w:sz="1" w:space="0" w:color="CCCCCC"/>
              <w:bottom w:val="single" w:sz="1" w:space="0" w:color="CCCCCC"/>
              <w:right w:val="single" w:sz="1" w:space="0" w:color="CCCCCC"/>
            </w:tcBorders>
            <w:shd w:val="clear" w:color="auto" w:fill="1B3F6B"/>
            <w:tcMar>
              <w:top w:w="80" w:type="dxa"/>
              <w:left w:w="120" w:type="dxa"/>
              <w:bottom w:w="80" w:type="dxa"/>
              <w:right w:w="120" w:type="dxa"/>
            </w:tcMar>
          </w:tcPr>
          <w:p w14:paraId="36C4075C" w14:textId="77777777" w:rsidR="00BB1D38" w:rsidRDefault="00000000">
            <w:r>
              <w:rPr>
                <w:b/>
                <w:bCs/>
                <w:color w:val="FFFFFF"/>
                <w:sz w:val="20"/>
                <w:szCs w:val="20"/>
              </w:rPr>
              <w:t>Table</w:t>
            </w:r>
          </w:p>
        </w:tc>
        <w:tc>
          <w:tcPr>
            <w:tcW w:w="1410" w:type="dxa"/>
            <w:tcBorders>
              <w:top w:val="single" w:sz="1" w:space="0" w:color="CCCCCC"/>
              <w:left w:val="single" w:sz="1" w:space="0" w:color="CCCCCC"/>
              <w:bottom w:val="single" w:sz="1" w:space="0" w:color="CCCCCC"/>
              <w:right w:val="single" w:sz="1" w:space="0" w:color="CCCCCC"/>
            </w:tcBorders>
            <w:shd w:val="clear" w:color="auto" w:fill="1B3F6B"/>
            <w:tcMar>
              <w:top w:w="80" w:type="dxa"/>
              <w:left w:w="120" w:type="dxa"/>
              <w:bottom w:w="80" w:type="dxa"/>
              <w:right w:w="120" w:type="dxa"/>
            </w:tcMar>
          </w:tcPr>
          <w:p w14:paraId="195B14CA" w14:textId="77777777" w:rsidR="00BB1D38" w:rsidRDefault="00000000">
            <w:r>
              <w:rPr>
                <w:b/>
                <w:bCs/>
                <w:color w:val="FFFFFF"/>
                <w:sz w:val="20"/>
                <w:szCs w:val="20"/>
              </w:rPr>
              <w:t>Primary Key</w:t>
            </w:r>
          </w:p>
        </w:tc>
        <w:tc>
          <w:tcPr>
            <w:tcW w:w="5130" w:type="dxa"/>
            <w:tcBorders>
              <w:top w:val="single" w:sz="1" w:space="0" w:color="CCCCCC"/>
              <w:left w:val="single" w:sz="1" w:space="0" w:color="CCCCCC"/>
              <w:bottom w:val="single" w:sz="1" w:space="0" w:color="CCCCCC"/>
              <w:right w:val="single" w:sz="1" w:space="0" w:color="CCCCCC"/>
            </w:tcBorders>
            <w:shd w:val="clear" w:color="auto" w:fill="1B3F6B"/>
            <w:tcMar>
              <w:top w:w="80" w:type="dxa"/>
              <w:left w:w="120" w:type="dxa"/>
              <w:bottom w:w="80" w:type="dxa"/>
              <w:right w:w="120" w:type="dxa"/>
            </w:tcMar>
          </w:tcPr>
          <w:p w14:paraId="56393DFB" w14:textId="77777777" w:rsidR="00BB1D38" w:rsidRDefault="00000000">
            <w:r>
              <w:rPr>
                <w:b/>
                <w:bCs/>
                <w:color w:val="FFFFFF"/>
                <w:sz w:val="20"/>
                <w:szCs w:val="20"/>
              </w:rPr>
              <w:t>Role in AHI</w:t>
            </w:r>
          </w:p>
        </w:tc>
        <w:tc>
          <w:tcPr>
            <w:tcW w:w="2430" w:type="dxa"/>
            <w:tcBorders>
              <w:top w:val="single" w:sz="1" w:space="0" w:color="CCCCCC"/>
              <w:left w:val="single" w:sz="1" w:space="0" w:color="CCCCCC"/>
              <w:bottom w:val="single" w:sz="1" w:space="0" w:color="CCCCCC"/>
              <w:right w:val="single" w:sz="1" w:space="0" w:color="CCCCCC"/>
            </w:tcBorders>
            <w:shd w:val="clear" w:color="auto" w:fill="1B3F6B"/>
            <w:tcMar>
              <w:top w:w="80" w:type="dxa"/>
              <w:left w:w="120" w:type="dxa"/>
              <w:bottom w:w="80" w:type="dxa"/>
              <w:right w:w="120" w:type="dxa"/>
            </w:tcMar>
          </w:tcPr>
          <w:p w14:paraId="6D0BB3A7" w14:textId="77777777" w:rsidR="00BB1D38" w:rsidRDefault="00000000">
            <w:r>
              <w:rPr>
                <w:b/>
                <w:bCs/>
                <w:color w:val="FFFFFF"/>
                <w:sz w:val="20"/>
                <w:szCs w:val="20"/>
              </w:rPr>
              <w:t>Joins To</w:t>
            </w:r>
          </w:p>
        </w:tc>
      </w:tr>
      <w:tr w:rsidR="00BB1D38" w14:paraId="29A18181" w14:textId="77777777" w:rsidTr="006B7C3E">
        <w:tblPrEx>
          <w:tblCellMar>
            <w:top w:w="0" w:type="dxa"/>
            <w:bottom w:w="0" w:type="dxa"/>
          </w:tblCellMar>
        </w:tblPrEx>
        <w:tc>
          <w:tcPr>
            <w:tcW w:w="19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A3FEF0" w14:textId="77777777" w:rsidR="00BB1D38" w:rsidRDefault="00000000">
            <w:proofErr w:type="spellStart"/>
            <w:r>
              <w:rPr>
                <w:color w:val="333333"/>
                <w:sz w:val="20"/>
                <w:szCs w:val="20"/>
              </w:rPr>
              <w:t>CSM_rep</w:t>
            </w:r>
            <w:proofErr w:type="spellEnd"/>
          </w:p>
        </w:tc>
        <w:tc>
          <w:tcPr>
            <w:tcW w:w="14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820EB" w14:textId="77777777" w:rsidR="00BB1D38" w:rsidRDefault="00000000">
            <w:proofErr w:type="spellStart"/>
            <w:r>
              <w:rPr>
                <w:color w:val="333333"/>
                <w:sz w:val="20"/>
                <w:szCs w:val="20"/>
              </w:rPr>
              <w:t>csm_id</w:t>
            </w:r>
            <w:proofErr w:type="spellEnd"/>
          </w:p>
        </w:tc>
        <w:tc>
          <w:tcPr>
            <w:tcW w:w="51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93A825" w14:textId="77777777" w:rsidR="00BB1D38" w:rsidRDefault="00000000">
            <w:r>
              <w:rPr>
                <w:color w:val="333333"/>
                <w:sz w:val="20"/>
                <w:szCs w:val="20"/>
              </w:rPr>
              <w:t>Master list of all Customer Success Managers. Each rep has a name, region, and segment (Enterprise or Mid-Market). This is the table AHI rolls up to for comp purposes.</w:t>
            </w:r>
          </w:p>
        </w:tc>
        <w:tc>
          <w:tcPr>
            <w:tcW w:w="2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A665F0" w14:textId="77777777" w:rsidR="00BB1D38" w:rsidRDefault="00000000">
            <w:r>
              <w:rPr>
                <w:color w:val="333333"/>
                <w:sz w:val="20"/>
                <w:szCs w:val="20"/>
              </w:rPr>
              <w:t xml:space="preserve">Accounts via </w:t>
            </w:r>
            <w:proofErr w:type="spellStart"/>
            <w:r>
              <w:rPr>
                <w:color w:val="333333"/>
                <w:sz w:val="20"/>
                <w:szCs w:val="20"/>
              </w:rPr>
              <w:t>rep_id</w:t>
            </w:r>
            <w:proofErr w:type="spellEnd"/>
          </w:p>
        </w:tc>
      </w:tr>
      <w:tr w:rsidR="00BB1D38" w14:paraId="3054A524" w14:textId="77777777" w:rsidTr="006B7C3E">
        <w:tblPrEx>
          <w:tblCellMar>
            <w:top w:w="0" w:type="dxa"/>
            <w:bottom w:w="0" w:type="dxa"/>
          </w:tblCellMar>
        </w:tblPrEx>
        <w:tc>
          <w:tcPr>
            <w:tcW w:w="1919"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33F1F91F" w14:textId="77777777" w:rsidR="00BB1D38" w:rsidRDefault="00000000">
            <w:r>
              <w:rPr>
                <w:color w:val="333333"/>
                <w:sz w:val="20"/>
                <w:szCs w:val="20"/>
              </w:rPr>
              <w:t>Accounts</w:t>
            </w:r>
          </w:p>
        </w:tc>
        <w:tc>
          <w:tcPr>
            <w:tcW w:w="141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64EEEA22" w14:textId="77777777" w:rsidR="00BB1D38" w:rsidRDefault="00000000">
            <w:proofErr w:type="spellStart"/>
            <w:r>
              <w:rPr>
                <w:color w:val="333333"/>
                <w:sz w:val="20"/>
                <w:szCs w:val="20"/>
              </w:rPr>
              <w:t>account_id</w:t>
            </w:r>
            <w:proofErr w:type="spellEnd"/>
          </w:p>
        </w:tc>
        <w:tc>
          <w:tcPr>
            <w:tcW w:w="513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3C990C51" w14:textId="77777777" w:rsidR="00BB1D38" w:rsidRDefault="00000000">
            <w:r>
              <w:rPr>
                <w:color w:val="333333"/>
                <w:sz w:val="20"/>
                <w:szCs w:val="20"/>
              </w:rPr>
              <w:t xml:space="preserve">Master list of all customer accounts. Each account is assigned to one CSM via </w:t>
            </w:r>
            <w:proofErr w:type="spellStart"/>
            <w:r>
              <w:rPr>
                <w:color w:val="333333"/>
                <w:sz w:val="20"/>
                <w:szCs w:val="20"/>
              </w:rPr>
              <w:t>rep_id</w:t>
            </w:r>
            <w:proofErr w:type="spellEnd"/>
            <w:r>
              <w:rPr>
                <w:color w:val="333333"/>
                <w:sz w:val="20"/>
                <w:szCs w:val="20"/>
              </w:rPr>
              <w:t xml:space="preserve"> — the same value as </w:t>
            </w:r>
            <w:proofErr w:type="spellStart"/>
            <w:r>
              <w:rPr>
                <w:color w:val="333333"/>
                <w:sz w:val="20"/>
                <w:szCs w:val="20"/>
              </w:rPr>
              <w:t>csm_id</w:t>
            </w:r>
            <w:proofErr w:type="spellEnd"/>
            <w:r>
              <w:rPr>
                <w:color w:val="333333"/>
                <w:sz w:val="20"/>
                <w:szCs w:val="20"/>
              </w:rPr>
              <w:t xml:space="preserve"> in </w:t>
            </w:r>
            <w:proofErr w:type="spellStart"/>
            <w:r>
              <w:rPr>
                <w:color w:val="333333"/>
                <w:sz w:val="20"/>
                <w:szCs w:val="20"/>
              </w:rPr>
              <w:t>CSM_rep</w:t>
            </w:r>
            <w:proofErr w:type="spellEnd"/>
            <w:r>
              <w:rPr>
                <w:color w:val="333333"/>
                <w:sz w:val="20"/>
                <w:szCs w:val="20"/>
              </w:rPr>
              <w:t>, just named differently in this table.</w:t>
            </w:r>
          </w:p>
        </w:tc>
        <w:tc>
          <w:tcPr>
            <w:tcW w:w="243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567A63D4" w14:textId="77777777" w:rsidR="00BB1D38" w:rsidRDefault="00000000">
            <w:proofErr w:type="spellStart"/>
            <w:r>
              <w:rPr>
                <w:color w:val="333333"/>
                <w:sz w:val="20"/>
                <w:szCs w:val="20"/>
              </w:rPr>
              <w:t>CSM_rep</w:t>
            </w:r>
            <w:proofErr w:type="spellEnd"/>
            <w:r>
              <w:rPr>
                <w:color w:val="333333"/>
                <w:sz w:val="20"/>
                <w:szCs w:val="20"/>
              </w:rPr>
              <w:t xml:space="preserve"> via </w:t>
            </w:r>
            <w:proofErr w:type="spellStart"/>
            <w:r>
              <w:rPr>
                <w:color w:val="333333"/>
                <w:sz w:val="20"/>
                <w:szCs w:val="20"/>
              </w:rPr>
              <w:t>rep_id</w:t>
            </w:r>
            <w:proofErr w:type="spellEnd"/>
            <w:r>
              <w:rPr>
                <w:color w:val="333333"/>
                <w:sz w:val="20"/>
                <w:szCs w:val="20"/>
              </w:rPr>
              <w:t xml:space="preserve"> = </w:t>
            </w:r>
            <w:proofErr w:type="spellStart"/>
            <w:r>
              <w:rPr>
                <w:color w:val="333333"/>
                <w:sz w:val="20"/>
                <w:szCs w:val="20"/>
              </w:rPr>
              <w:t>csm_id</w:t>
            </w:r>
            <w:proofErr w:type="spellEnd"/>
          </w:p>
        </w:tc>
      </w:tr>
      <w:tr w:rsidR="00BB1D38" w14:paraId="610ED5AA" w14:textId="77777777" w:rsidTr="006B7C3E">
        <w:tblPrEx>
          <w:tblCellMar>
            <w:top w:w="0" w:type="dxa"/>
            <w:bottom w:w="0" w:type="dxa"/>
          </w:tblCellMar>
        </w:tblPrEx>
        <w:tc>
          <w:tcPr>
            <w:tcW w:w="19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5029D9" w14:textId="77777777" w:rsidR="00BB1D38" w:rsidRDefault="00000000">
            <w:r>
              <w:rPr>
                <w:color w:val="333333"/>
                <w:sz w:val="20"/>
                <w:szCs w:val="20"/>
              </w:rPr>
              <w:t>Contracts</w:t>
            </w:r>
          </w:p>
        </w:tc>
        <w:tc>
          <w:tcPr>
            <w:tcW w:w="14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624685" w14:textId="77777777" w:rsidR="00BB1D38" w:rsidRDefault="00000000">
            <w:proofErr w:type="spellStart"/>
            <w:r>
              <w:rPr>
                <w:color w:val="333333"/>
                <w:sz w:val="20"/>
                <w:szCs w:val="20"/>
              </w:rPr>
              <w:t>contract_id</w:t>
            </w:r>
            <w:proofErr w:type="spellEnd"/>
          </w:p>
        </w:tc>
        <w:tc>
          <w:tcPr>
            <w:tcW w:w="51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82A3E" w14:textId="5919E10D" w:rsidR="00BB1D38" w:rsidRDefault="00000000">
            <w:r>
              <w:rPr>
                <w:color w:val="333333"/>
                <w:sz w:val="20"/>
                <w:szCs w:val="20"/>
              </w:rPr>
              <w:t>One or more contracts per account defining annual committed spend and included compute credits. The Consumption Health dimension reads from this table for denominator.</w:t>
            </w:r>
          </w:p>
        </w:tc>
        <w:tc>
          <w:tcPr>
            <w:tcW w:w="2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B962C5" w14:textId="77777777" w:rsidR="00BB1D38" w:rsidRDefault="00000000">
            <w:r>
              <w:rPr>
                <w:color w:val="333333"/>
                <w:sz w:val="20"/>
                <w:szCs w:val="20"/>
              </w:rPr>
              <w:t xml:space="preserve">Accounts via </w:t>
            </w:r>
            <w:proofErr w:type="spellStart"/>
            <w:r>
              <w:rPr>
                <w:color w:val="333333"/>
                <w:sz w:val="20"/>
                <w:szCs w:val="20"/>
              </w:rPr>
              <w:t>account_id</w:t>
            </w:r>
            <w:proofErr w:type="spellEnd"/>
          </w:p>
        </w:tc>
      </w:tr>
      <w:tr w:rsidR="00BB1D38" w14:paraId="3D868FEA" w14:textId="77777777" w:rsidTr="006B7C3E">
        <w:tblPrEx>
          <w:tblCellMar>
            <w:top w:w="0" w:type="dxa"/>
            <w:bottom w:w="0" w:type="dxa"/>
          </w:tblCellMar>
        </w:tblPrEx>
        <w:tc>
          <w:tcPr>
            <w:tcW w:w="1919"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1127BA25" w14:textId="77777777" w:rsidR="00BB1D38" w:rsidRDefault="00000000">
            <w:proofErr w:type="spellStart"/>
            <w:r>
              <w:rPr>
                <w:color w:val="333333"/>
                <w:sz w:val="20"/>
                <w:szCs w:val="20"/>
              </w:rPr>
              <w:t>Account_Health</w:t>
            </w:r>
            <w:proofErr w:type="spellEnd"/>
          </w:p>
        </w:tc>
        <w:tc>
          <w:tcPr>
            <w:tcW w:w="141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3C1CD9AF" w14:textId="77777777" w:rsidR="00BB1D38" w:rsidRDefault="00000000">
            <w:proofErr w:type="spellStart"/>
            <w:r>
              <w:rPr>
                <w:color w:val="333333"/>
                <w:sz w:val="20"/>
                <w:szCs w:val="20"/>
              </w:rPr>
              <w:t>account_id</w:t>
            </w:r>
            <w:proofErr w:type="spellEnd"/>
            <w:r>
              <w:rPr>
                <w:color w:val="333333"/>
                <w:sz w:val="20"/>
                <w:szCs w:val="20"/>
              </w:rPr>
              <w:t xml:space="preserve"> + date</w:t>
            </w:r>
          </w:p>
        </w:tc>
        <w:tc>
          <w:tcPr>
            <w:tcW w:w="513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39D7E9EA" w14:textId="77777777" w:rsidR="00BB1D38" w:rsidRDefault="00000000">
            <w:r>
              <w:rPr>
                <w:color w:val="333333"/>
                <w:sz w:val="20"/>
                <w:szCs w:val="20"/>
              </w:rPr>
              <w:t xml:space="preserve">Monthly health color and aggregate compute credits consumed per account. Used as a validation check against </w:t>
            </w:r>
            <w:proofErr w:type="spellStart"/>
            <w:r>
              <w:rPr>
                <w:color w:val="333333"/>
                <w:sz w:val="20"/>
                <w:szCs w:val="20"/>
              </w:rPr>
              <w:t>Daily_Usage_Logs</w:t>
            </w:r>
            <w:proofErr w:type="spellEnd"/>
            <w:r>
              <w:rPr>
                <w:color w:val="333333"/>
                <w:sz w:val="20"/>
                <w:szCs w:val="20"/>
              </w:rPr>
              <w:t>.</w:t>
            </w:r>
          </w:p>
        </w:tc>
        <w:tc>
          <w:tcPr>
            <w:tcW w:w="243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2B357998" w14:textId="77777777" w:rsidR="00BB1D38" w:rsidRDefault="00000000">
            <w:r>
              <w:rPr>
                <w:color w:val="333333"/>
                <w:sz w:val="20"/>
                <w:szCs w:val="20"/>
              </w:rPr>
              <w:t xml:space="preserve">Accounts via </w:t>
            </w:r>
            <w:proofErr w:type="spellStart"/>
            <w:r>
              <w:rPr>
                <w:color w:val="333333"/>
                <w:sz w:val="20"/>
                <w:szCs w:val="20"/>
              </w:rPr>
              <w:t>account_id</w:t>
            </w:r>
            <w:proofErr w:type="spellEnd"/>
          </w:p>
        </w:tc>
      </w:tr>
      <w:tr w:rsidR="00BB1D38" w14:paraId="33E1C054" w14:textId="77777777" w:rsidTr="006B7C3E">
        <w:tblPrEx>
          <w:tblCellMar>
            <w:top w:w="0" w:type="dxa"/>
            <w:bottom w:w="0" w:type="dxa"/>
          </w:tblCellMar>
        </w:tblPrEx>
        <w:tc>
          <w:tcPr>
            <w:tcW w:w="19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4BD9B9" w14:textId="77777777" w:rsidR="00BB1D38" w:rsidRDefault="00000000">
            <w:proofErr w:type="spellStart"/>
            <w:r>
              <w:rPr>
                <w:color w:val="333333"/>
                <w:sz w:val="20"/>
                <w:szCs w:val="20"/>
              </w:rPr>
              <w:t>Daily_Usage_Logs</w:t>
            </w:r>
            <w:proofErr w:type="spellEnd"/>
          </w:p>
        </w:tc>
        <w:tc>
          <w:tcPr>
            <w:tcW w:w="14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EC869D" w14:textId="77777777" w:rsidR="00BB1D38" w:rsidRDefault="00000000">
            <w:proofErr w:type="spellStart"/>
            <w:r>
              <w:rPr>
                <w:color w:val="333333"/>
                <w:sz w:val="20"/>
                <w:szCs w:val="20"/>
              </w:rPr>
              <w:t>log_id</w:t>
            </w:r>
            <w:proofErr w:type="spellEnd"/>
          </w:p>
        </w:tc>
        <w:tc>
          <w:tcPr>
            <w:tcW w:w="51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F53158" w14:textId="77777777" w:rsidR="00BB1D38" w:rsidRDefault="00000000">
            <w:r>
              <w:rPr>
                <w:color w:val="333333"/>
                <w:sz w:val="20"/>
                <w:szCs w:val="20"/>
              </w:rPr>
              <w:t>Granular daily compute credit consumption per account. This is the primary input for Consumption Health and Engagement Trend calculations.</w:t>
            </w:r>
          </w:p>
        </w:tc>
        <w:tc>
          <w:tcPr>
            <w:tcW w:w="2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72BDA3" w14:textId="77777777" w:rsidR="00BB1D38" w:rsidRDefault="00000000">
            <w:r>
              <w:rPr>
                <w:color w:val="333333"/>
                <w:sz w:val="20"/>
                <w:szCs w:val="20"/>
              </w:rPr>
              <w:t xml:space="preserve">Accounts via </w:t>
            </w:r>
            <w:proofErr w:type="spellStart"/>
            <w:r>
              <w:rPr>
                <w:color w:val="333333"/>
                <w:sz w:val="20"/>
                <w:szCs w:val="20"/>
              </w:rPr>
              <w:t>account_id</w:t>
            </w:r>
            <w:proofErr w:type="spellEnd"/>
          </w:p>
        </w:tc>
      </w:tr>
    </w:tbl>
    <w:p w14:paraId="769C2423" w14:textId="77777777" w:rsidR="00BB1D38" w:rsidRDefault="00BB1D38">
      <w:pPr>
        <w:spacing w:before="120" w:after="80"/>
      </w:pPr>
    </w:p>
    <w:p w14:paraId="52D84510" w14:textId="77777777" w:rsidR="006B7C3E" w:rsidRDefault="00000000">
      <w:pPr>
        <w:spacing w:before="60" w:after="100"/>
        <w:rPr>
          <w:color w:val="333333"/>
        </w:rPr>
      </w:pPr>
      <w:r>
        <w:rPr>
          <w:color w:val="333333"/>
        </w:rPr>
        <w:t xml:space="preserve">Key join note: </w:t>
      </w:r>
      <w:proofErr w:type="spellStart"/>
      <w:r>
        <w:rPr>
          <w:color w:val="333333"/>
        </w:rPr>
        <w:t>csm_id</w:t>
      </w:r>
      <w:proofErr w:type="spellEnd"/>
      <w:r>
        <w:rPr>
          <w:color w:val="333333"/>
        </w:rPr>
        <w:t xml:space="preserve"> does not appear in Contracts, </w:t>
      </w:r>
      <w:proofErr w:type="spellStart"/>
      <w:r>
        <w:rPr>
          <w:color w:val="333333"/>
        </w:rPr>
        <w:t>Account_Health</w:t>
      </w:r>
      <w:proofErr w:type="spellEnd"/>
      <w:r>
        <w:rPr>
          <w:color w:val="333333"/>
        </w:rPr>
        <w:t xml:space="preserve">, or </w:t>
      </w:r>
      <w:proofErr w:type="spellStart"/>
      <w:r>
        <w:rPr>
          <w:color w:val="333333"/>
        </w:rPr>
        <w:t>Daily_Usage_Logs</w:t>
      </w:r>
      <w:proofErr w:type="spellEnd"/>
      <w:r>
        <w:rPr>
          <w:color w:val="333333"/>
        </w:rPr>
        <w:t xml:space="preserve">. </w:t>
      </w:r>
    </w:p>
    <w:p w14:paraId="636A381E" w14:textId="77777777" w:rsidR="006B7C3E" w:rsidRDefault="00000000">
      <w:pPr>
        <w:spacing w:before="60" w:after="100"/>
        <w:rPr>
          <w:color w:val="333333"/>
        </w:rPr>
      </w:pPr>
      <w:r>
        <w:rPr>
          <w:color w:val="333333"/>
        </w:rPr>
        <w:t xml:space="preserve">To attribute usage data to a CSM, the pipeline always joins through the Accounts table as the bridge: </w:t>
      </w:r>
      <w:proofErr w:type="spellStart"/>
      <w:r>
        <w:rPr>
          <w:color w:val="333333"/>
        </w:rPr>
        <w:t>Daily_Usage_Logs</w:t>
      </w:r>
      <w:proofErr w:type="spellEnd"/>
      <w:r>
        <w:rPr>
          <w:color w:val="333333"/>
        </w:rPr>
        <w:t xml:space="preserve"> → Accounts (</w:t>
      </w:r>
      <w:proofErr w:type="spellStart"/>
      <w:r>
        <w:rPr>
          <w:color w:val="333333"/>
        </w:rPr>
        <w:t>account_id</w:t>
      </w:r>
      <w:proofErr w:type="spellEnd"/>
      <w:r>
        <w:rPr>
          <w:color w:val="333333"/>
        </w:rPr>
        <w:t xml:space="preserve">) → </w:t>
      </w:r>
      <w:proofErr w:type="spellStart"/>
      <w:r>
        <w:rPr>
          <w:color w:val="333333"/>
        </w:rPr>
        <w:t>CSM_rep</w:t>
      </w:r>
      <w:proofErr w:type="spellEnd"/>
      <w:r>
        <w:rPr>
          <w:color w:val="333333"/>
        </w:rPr>
        <w:t xml:space="preserve"> (</w:t>
      </w:r>
      <w:proofErr w:type="spellStart"/>
      <w:r>
        <w:rPr>
          <w:color w:val="333333"/>
        </w:rPr>
        <w:t>rep_id</w:t>
      </w:r>
      <w:proofErr w:type="spellEnd"/>
      <w:r>
        <w:rPr>
          <w:color w:val="333333"/>
        </w:rPr>
        <w:t xml:space="preserve"> = </w:t>
      </w:r>
      <w:proofErr w:type="spellStart"/>
      <w:r>
        <w:rPr>
          <w:color w:val="333333"/>
        </w:rPr>
        <w:t>csm_id</w:t>
      </w:r>
      <w:proofErr w:type="spellEnd"/>
      <w:r>
        <w:rPr>
          <w:color w:val="333333"/>
        </w:rPr>
        <w:t xml:space="preserve">). </w:t>
      </w:r>
    </w:p>
    <w:p w14:paraId="5F2359CF" w14:textId="4DDE4782" w:rsidR="00BB1D38" w:rsidRDefault="00000000">
      <w:pPr>
        <w:spacing w:before="60" w:after="100"/>
      </w:pPr>
      <w:r>
        <w:rPr>
          <w:color w:val="333333"/>
        </w:rPr>
        <w:t>This join chain is how account-level AHI scores are aggregated into a CSM-level score for compensation purposes.</w:t>
      </w:r>
    </w:p>
    <w:p w14:paraId="6A394738" w14:textId="77777777" w:rsidR="00BB1D38" w:rsidRDefault="00000000">
      <w:pPr>
        <w:pStyle w:val="Heading2"/>
      </w:pPr>
      <w:r>
        <w:rPr>
          <w:color w:val="1B3F6B"/>
        </w:rPr>
        <w:t xml:space="preserve">3.2 </w:t>
      </w:r>
      <w:proofErr w:type="spellStart"/>
      <w:r>
        <w:rPr>
          <w:color w:val="1B3F6B"/>
        </w:rPr>
        <w:t>account_ahi_monthly</w:t>
      </w:r>
      <w:proofErr w:type="spellEnd"/>
    </w:p>
    <w:tbl>
      <w:tblPr>
        <w:tblW w:w="881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500"/>
        <w:gridCol w:w="4819"/>
      </w:tblGrid>
      <w:tr w:rsidR="00BB1D38" w14:paraId="740F2F52" w14:textId="77777777" w:rsidTr="006B7C3E">
        <w:tblPrEx>
          <w:tblCellMar>
            <w:top w:w="0" w:type="dxa"/>
            <w:bottom w:w="0" w:type="dxa"/>
          </w:tblCellMar>
        </w:tblPrEx>
        <w:trPr>
          <w:tblHeader/>
          <w:jc w:val="center"/>
        </w:trPr>
        <w:tc>
          <w:tcPr>
            <w:tcW w:w="2500" w:type="dxa"/>
            <w:tcBorders>
              <w:top w:val="single" w:sz="1" w:space="0" w:color="CCCCCC"/>
              <w:left w:val="single" w:sz="1" w:space="0" w:color="CCCCCC"/>
              <w:bottom w:val="single" w:sz="1" w:space="0" w:color="CCCCCC"/>
              <w:right w:val="single" w:sz="1" w:space="0" w:color="CCCCCC"/>
            </w:tcBorders>
            <w:shd w:val="clear" w:color="auto" w:fill="1B3F6B"/>
            <w:tcMar>
              <w:top w:w="80" w:type="dxa"/>
              <w:left w:w="120" w:type="dxa"/>
              <w:bottom w:w="80" w:type="dxa"/>
              <w:right w:w="120" w:type="dxa"/>
            </w:tcMar>
          </w:tcPr>
          <w:p w14:paraId="326E1433" w14:textId="77777777" w:rsidR="00BB1D38" w:rsidRDefault="00000000">
            <w:r>
              <w:rPr>
                <w:b/>
                <w:bCs/>
                <w:color w:val="FFFFFF"/>
                <w:sz w:val="20"/>
                <w:szCs w:val="20"/>
              </w:rPr>
              <w:t>Column</w:t>
            </w:r>
          </w:p>
        </w:tc>
        <w:tc>
          <w:tcPr>
            <w:tcW w:w="1500" w:type="dxa"/>
            <w:tcBorders>
              <w:top w:val="single" w:sz="1" w:space="0" w:color="CCCCCC"/>
              <w:left w:val="single" w:sz="1" w:space="0" w:color="CCCCCC"/>
              <w:bottom w:val="single" w:sz="1" w:space="0" w:color="CCCCCC"/>
              <w:right w:val="single" w:sz="1" w:space="0" w:color="CCCCCC"/>
            </w:tcBorders>
            <w:shd w:val="clear" w:color="auto" w:fill="1B3F6B"/>
            <w:tcMar>
              <w:top w:w="80" w:type="dxa"/>
              <w:left w:w="120" w:type="dxa"/>
              <w:bottom w:w="80" w:type="dxa"/>
              <w:right w:w="120" w:type="dxa"/>
            </w:tcMar>
          </w:tcPr>
          <w:p w14:paraId="4409AEBC" w14:textId="77777777" w:rsidR="00BB1D38" w:rsidRDefault="00000000">
            <w:r>
              <w:rPr>
                <w:b/>
                <w:bCs/>
                <w:color w:val="FFFFFF"/>
                <w:sz w:val="20"/>
                <w:szCs w:val="20"/>
              </w:rPr>
              <w:t>Type</w:t>
            </w:r>
          </w:p>
        </w:tc>
        <w:tc>
          <w:tcPr>
            <w:tcW w:w="4819" w:type="dxa"/>
            <w:tcBorders>
              <w:top w:val="single" w:sz="1" w:space="0" w:color="CCCCCC"/>
              <w:left w:val="single" w:sz="1" w:space="0" w:color="CCCCCC"/>
              <w:bottom w:val="single" w:sz="1" w:space="0" w:color="CCCCCC"/>
              <w:right w:val="single" w:sz="1" w:space="0" w:color="CCCCCC"/>
            </w:tcBorders>
            <w:shd w:val="clear" w:color="auto" w:fill="1B3F6B"/>
            <w:tcMar>
              <w:top w:w="80" w:type="dxa"/>
              <w:left w:w="120" w:type="dxa"/>
              <w:bottom w:w="80" w:type="dxa"/>
              <w:right w:w="120" w:type="dxa"/>
            </w:tcMar>
          </w:tcPr>
          <w:p w14:paraId="428143B4" w14:textId="77777777" w:rsidR="00BB1D38" w:rsidRDefault="00000000">
            <w:r>
              <w:rPr>
                <w:b/>
                <w:bCs/>
                <w:color w:val="FFFFFF"/>
                <w:sz w:val="20"/>
                <w:szCs w:val="20"/>
              </w:rPr>
              <w:t>Description</w:t>
            </w:r>
          </w:p>
        </w:tc>
      </w:tr>
      <w:tr w:rsidR="00BB1D38" w14:paraId="2A4CBAF6" w14:textId="77777777" w:rsidTr="006B7C3E">
        <w:tblPrEx>
          <w:tblCellMar>
            <w:top w:w="0" w:type="dxa"/>
            <w:bottom w:w="0" w:type="dxa"/>
          </w:tblCellMar>
        </w:tblPrEx>
        <w:trPr>
          <w:jc w:val="center"/>
        </w:trPr>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976251" w14:textId="77777777" w:rsidR="00BB1D38" w:rsidRDefault="00000000">
            <w:proofErr w:type="spellStart"/>
            <w:r>
              <w:rPr>
                <w:color w:val="333333"/>
                <w:sz w:val="20"/>
                <w:szCs w:val="20"/>
              </w:rPr>
              <w:t>account_id</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A364C4" w14:textId="77777777" w:rsidR="00BB1D38" w:rsidRDefault="00000000">
            <w:r>
              <w:rPr>
                <w:color w:val="333333"/>
                <w:sz w:val="20"/>
                <w:szCs w:val="20"/>
              </w:rPr>
              <w:t>STRING</w:t>
            </w:r>
          </w:p>
        </w:tc>
        <w:tc>
          <w:tcPr>
            <w:tcW w:w="48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5D748A" w14:textId="77777777" w:rsidR="00BB1D38" w:rsidRDefault="00000000">
            <w:r>
              <w:rPr>
                <w:color w:val="333333"/>
                <w:sz w:val="20"/>
                <w:szCs w:val="20"/>
              </w:rPr>
              <w:t>Foreign key to Accounts table</w:t>
            </w:r>
          </w:p>
        </w:tc>
      </w:tr>
      <w:tr w:rsidR="00BB1D38" w14:paraId="036625C9" w14:textId="77777777" w:rsidTr="006B7C3E">
        <w:tblPrEx>
          <w:tblCellMar>
            <w:top w:w="0" w:type="dxa"/>
            <w:bottom w:w="0" w:type="dxa"/>
          </w:tblCellMar>
        </w:tblPrEx>
        <w:trPr>
          <w:jc w:val="center"/>
        </w:trPr>
        <w:tc>
          <w:tcPr>
            <w:tcW w:w="250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5CAD2743" w14:textId="77777777" w:rsidR="00BB1D38" w:rsidRDefault="00000000">
            <w:r>
              <w:rPr>
                <w:color w:val="333333"/>
                <w:sz w:val="20"/>
                <w:szCs w:val="20"/>
              </w:rPr>
              <w:t>month</w:t>
            </w:r>
          </w:p>
        </w:tc>
        <w:tc>
          <w:tcPr>
            <w:tcW w:w="150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79C82282" w14:textId="77777777" w:rsidR="00BB1D38" w:rsidRDefault="00000000">
            <w:r>
              <w:rPr>
                <w:color w:val="333333"/>
                <w:sz w:val="20"/>
                <w:szCs w:val="20"/>
              </w:rPr>
              <w:t>DATE</w:t>
            </w:r>
          </w:p>
        </w:tc>
        <w:tc>
          <w:tcPr>
            <w:tcW w:w="4819"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0DE0C805" w14:textId="77777777" w:rsidR="00BB1D38" w:rsidRDefault="00000000">
            <w:r>
              <w:rPr>
                <w:color w:val="333333"/>
                <w:sz w:val="20"/>
                <w:szCs w:val="20"/>
              </w:rPr>
              <w:t>First day of the calculation month</w:t>
            </w:r>
          </w:p>
        </w:tc>
      </w:tr>
      <w:tr w:rsidR="00BB1D38" w14:paraId="32819717" w14:textId="77777777" w:rsidTr="006B7C3E">
        <w:tblPrEx>
          <w:tblCellMar>
            <w:top w:w="0" w:type="dxa"/>
            <w:bottom w:w="0" w:type="dxa"/>
          </w:tblCellMar>
        </w:tblPrEx>
        <w:trPr>
          <w:jc w:val="center"/>
        </w:trPr>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C44BD1" w14:textId="77777777" w:rsidR="00BB1D38" w:rsidRDefault="00000000">
            <w:proofErr w:type="spellStart"/>
            <w:r>
              <w:rPr>
                <w:color w:val="333333"/>
                <w:sz w:val="20"/>
                <w:szCs w:val="20"/>
              </w:rPr>
              <w:t>ahi_score</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9D4275" w14:textId="77777777" w:rsidR="00BB1D38" w:rsidRDefault="00000000">
            <w:r>
              <w:rPr>
                <w:color w:val="333333"/>
                <w:sz w:val="20"/>
                <w:szCs w:val="20"/>
              </w:rPr>
              <w:t>FLOAT64</w:t>
            </w:r>
          </w:p>
        </w:tc>
        <w:tc>
          <w:tcPr>
            <w:tcW w:w="48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B3873" w14:textId="77777777" w:rsidR="00BB1D38" w:rsidRDefault="00000000">
            <w:r>
              <w:rPr>
                <w:color w:val="333333"/>
                <w:sz w:val="20"/>
                <w:szCs w:val="20"/>
              </w:rPr>
              <w:t>Composite AHI score (0–100)</w:t>
            </w:r>
          </w:p>
        </w:tc>
      </w:tr>
      <w:tr w:rsidR="00BB1D38" w14:paraId="54F4DD54" w14:textId="77777777" w:rsidTr="006B7C3E">
        <w:tblPrEx>
          <w:tblCellMar>
            <w:top w:w="0" w:type="dxa"/>
            <w:bottom w:w="0" w:type="dxa"/>
          </w:tblCellMar>
        </w:tblPrEx>
        <w:trPr>
          <w:jc w:val="center"/>
        </w:trPr>
        <w:tc>
          <w:tcPr>
            <w:tcW w:w="250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308E2074" w14:textId="77777777" w:rsidR="00BB1D38" w:rsidRDefault="00000000">
            <w:proofErr w:type="spellStart"/>
            <w:r>
              <w:rPr>
                <w:color w:val="333333"/>
                <w:sz w:val="20"/>
                <w:szCs w:val="20"/>
              </w:rPr>
              <w:t>consumption_score</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577FC679" w14:textId="77777777" w:rsidR="00BB1D38" w:rsidRDefault="00000000">
            <w:r>
              <w:rPr>
                <w:color w:val="333333"/>
                <w:sz w:val="20"/>
                <w:szCs w:val="20"/>
              </w:rPr>
              <w:t>FLOAT64</w:t>
            </w:r>
          </w:p>
        </w:tc>
        <w:tc>
          <w:tcPr>
            <w:tcW w:w="4819"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5BEE02F8" w14:textId="77777777" w:rsidR="00BB1D38" w:rsidRDefault="00000000">
            <w:r>
              <w:rPr>
                <w:color w:val="333333"/>
                <w:sz w:val="20"/>
                <w:szCs w:val="20"/>
              </w:rPr>
              <w:t>Dimension 1 score (0–100)</w:t>
            </w:r>
          </w:p>
        </w:tc>
      </w:tr>
      <w:tr w:rsidR="00BB1D38" w14:paraId="6B2F076D" w14:textId="77777777" w:rsidTr="006B7C3E">
        <w:tblPrEx>
          <w:tblCellMar>
            <w:top w:w="0" w:type="dxa"/>
            <w:bottom w:w="0" w:type="dxa"/>
          </w:tblCellMar>
        </w:tblPrEx>
        <w:trPr>
          <w:jc w:val="center"/>
        </w:trPr>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DBB54F" w14:textId="77777777" w:rsidR="00BB1D38" w:rsidRDefault="00000000">
            <w:proofErr w:type="spellStart"/>
            <w:r>
              <w:rPr>
                <w:color w:val="333333"/>
                <w:sz w:val="20"/>
                <w:szCs w:val="20"/>
              </w:rPr>
              <w:t>deployment_score</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C770B8" w14:textId="77777777" w:rsidR="00BB1D38" w:rsidRDefault="00000000">
            <w:r>
              <w:rPr>
                <w:color w:val="333333"/>
                <w:sz w:val="20"/>
                <w:szCs w:val="20"/>
              </w:rPr>
              <w:t>FLOAT64</w:t>
            </w:r>
          </w:p>
        </w:tc>
        <w:tc>
          <w:tcPr>
            <w:tcW w:w="48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3BEE3A" w14:textId="77777777" w:rsidR="00BB1D38" w:rsidRDefault="00000000">
            <w:r>
              <w:rPr>
                <w:color w:val="333333"/>
                <w:sz w:val="20"/>
                <w:szCs w:val="20"/>
              </w:rPr>
              <w:t>Dimension 2 score (0–100)</w:t>
            </w:r>
          </w:p>
        </w:tc>
      </w:tr>
      <w:tr w:rsidR="00BB1D38" w14:paraId="23A166EA" w14:textId="77777777" w:rsidTr="006B7C3E">
        <w:tblPrEx>
          <w:tblCellMar>
            <w:top w:w="0" w:type="dxa"/>
            <w:bottom w:w="0" w:type="dxa"/>
          </w:tblCellMar>
        </w:tblPrEx>
        <w:trPr>
          <w:jc w:val="center"/>
        </w:trPr>
        <w:tc>
          <w:tcPr>
            <w:tcW w:w="250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063CD112" w14:textId="77777777" w:rsidR="00BB1D38" w:rsidRDefault="00000000">
            <w:proofErr w:type="spellStart"/>
            <w:r>
              <w:rPr>
                <w:color w:val="333333"/>
                <w:sz w:val="20"/>
                <w:szCs w:val="20"/>
              </w:rPr>
              <w:t>stability_score</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662D4560" w14:textId="77777777" w:rsidR="00BB1D38" w:rsidRDefault="00000000">
            <w:r>
              <w:rPr>
                <w:color w:val="333333"/>
                <w:sz w:val="20"/>
                <w:szCs w:val="20"/>
              </w:rPr>
              <w:t>FLOAT64</w:t>
            </w:r>
          </w:p>
        </w:tc>
        <w:tc>
          <w:tcPr>
            <w:tcW w:w="4819"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71CB69A9" w14:textId="77777777" w:rsidR="00BB1D38" w:rsidRDefault="00000000">
            <w:r>
              <w:rPr>
                <w:color w:val="333333"/>
                <w:sz w:val="20"/>
                <w:szCs w:val="20"/>
              </w:rPr>
              <w:t>Dimension 3 score (0–100)</w:t>
            </w:r>
          </w:p>
        </w:tc>
      </w:tr>
      <w:tr w:rsidR="00BB1D38" w14:paraId="4D532EBB" w14:textId="77777777" w:rsidTr="006B7C3E">
        <w:tblPrEx>
          <w:tblCellMar>
            <w:top w:w="0" w:type="dxa"/>
            <w:bottom w:w="0" w:type="dxa"/>
          </w:tblCellMar>
        </w:tblPrEx>
        <w:trPr>
          <w:jc w:val="center"/>
        </w:trPr>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F5F5DB" w14:textId="77777777" w:rsidR="00BB1D38" w:rsidRDefault="00000000">
            <w:proofErr w:type="spellStart"/>
            <w:r>
              <w:rPr>
                <w:color w:val="333333"/>
                <w:sz w:val="20"/>
                <w:szCs w:val="20"/>
              </w:rPr>
              <w:t>expansion_score</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E573AD" w14:textId="77777777" w:rsidR="00BB1D38" w:rsidRDefault="00000000">
            <w:r>
              <w:rPr>
                <w:color w:val="333333"/>
                <w:sz w:val="20"/>
                <w:szCs w:val="20"/>
              </w:rPr>
              <w:t>FLOAT64</w:t>
            </w:r>
          </w:p>
        </w:tc>
        <w:tc>
          <w:tcPr>
            <w:tcW w:w="48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9398A1" w14:textId="77777777" w:rsidR="00BB1D38" w:rsidRDefault="00000000">
            <w:r>
              <w:rPr>
                <w:color w:val="333333"/>
                <w:sz w:val="20"/>
                <w:szCs w:val="20"/>
              </w:rPr>
              <w:t>Dimension 4 score — Contract Expansion (0–100)</w:t>
            </w:r>
          </w:p>
        </w:tc>
      </w:tr>
      <w:tr w:rsidR="00BB1D38" w14:paraId="50D7CF90" w14:textId="77777777" w:rsidTr="006B7C3E">
        <w:tblPrEx>
          <w:tblCellMar>
            <w:top w:w="0" w:type="dxa"/>
            <w:bottom w:w="0" w:type="dxa"/>
          </w:tblCellMar>
        </w:tblPrEx>
        <w:trPr>
          <w:jc w:val="center"/>
        </w:trPr>
        <w:tc>
          <w:tcPr>
            <w:tcW w:w="250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0B349866" w14:textId="77777777" w:rsidR="00BB1D38" w:rsidRDefault="00000000">
            <w:proofErr w:type="spellStart"/>
            <w:r>
              <w:rPr>
                <w:color w:val="333333"/>
                <w:sz w:val="20"/>
                <w:szCs w:val="20"/>
              </w:rPr>
              <w:t>trend_score</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7BC73A12" w14:textId="77777777" w:rsidR="00BB1D38" w:rsidRDefault="00000000">
            <w:r>
              <w:rPr>
                <w:color w:val="333333"/>
                <w:sz w:val="20"/>
                <w:szCs w:val="20"/>
              </w:rPr>
              <w:t>FLOAT64</w:t>
            </w:r>
          </w:p>
        </w:tc>
        <w:tc>
          <w:tcPr>
            <w:tcW w:w="4819"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250BCD83" w14:textId="77777777" w:rsidR="00BB1D38" w:rsidRDefault="00000000">
            <w:r>
              <w:rPr>
                <w:color w:val="333333"/>
                <w:sz w:val="20"/>
                <w:szCs w:val="20"/>
              </w:rPr>
              <w:t>Dimension 5 score — Engagement Trend (0–100)</w:t>
            </w:r>
          </w:p>
        </w:tc>
      </w:tr>
      <w:tr w:rsidR="00BB1D38" w14:paraId="5B9D4BF5" w14:textId="77777777" w:rsidTr="006B7C3E">
        <w:tblPrEx>
          <w:tblCellMar>
            <w:top w:w="0" w:type="dxa"/>
            <w:bottom w:w="0" w:type="dxa"/>
          </w:tblCellMar>
        </w:tblPrEx>
        <w:trPr>
          <w:jc w:val="center"/>
        </w:trPr>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42B144" w14:textId="77777777" w:rsidR="00BB1D38" w:rsidRDefault="00000000">
            <w:proofErr w:type="spellStart"/>
            <w:r>
              <w:rPr>
                <w:color w:val="333333"/>
                <w:sz w:val="20"/>
                <w:szCs w:val="20"/>
              </w:rPr>
              <w:t>overage_flag</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972B09" w14:textId="77777777" w:rsidR="00BB1D38" w:rsidRDefault="00000000">
            <w:r>
              <w:rPr>
                <w:color w:val="333333"/>
                <w:sz w:val="20"/>
                <w:szCs w:val="20"/>
              </w:rPr>
              <w:t>BOOLEAN</w:t>
            </w:r>
          </w:p>
        </w:tc>
        <w:tc>
          <w:tcPr>
            <w:tcW w:w="48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ACDFD" w14:textId="77777777" w:rsidR="00BB1D38" w:rsidRDefault="00000000">
            <w:r>
              <w:rPr>
                <w:color w:val="333333"/>
                <w:sz w:val="20"/>
                <w:szCs w:val="20"/>
              </w:rPr>
              <w:t xml:space="preserve">TRUE if </w:t>
            </w:r>
            <w:proofErr w:type="spellStart"/>
            <w:r>
              <w:rPr>
                <w:color w:val="333333"/>
                <w:sz w:val="20"/>
                <w:szCs w:val="20"/>
              </w:rPr>
              <w:t>raw_ratio</w:t>
            </w:r>
            <w:proofErr w:type="spellEnd"/>
            <w:r>
              <w:rPr>
                <w:color w:val="333333"/>
                <w:sz w:val="20"/>
                <w:szCs w:val="20"/>
              </w:rPr>
              <w:t xml:space="preserve"> &gt; 1.20</w:t>
            </w:r>
          </w:p>
        </w:tc>
      </w:tr>
      <w:tr w:rsidR="00BB1D38" w14:paraId="68AEEF5A" w14:textId="77777777" w:rsidTr="006B7C3E">
        <w:tblPrEx>
          <w:tblCellMar>
            <w:top w:w="0" w:type="dxa"/>
            <w:bottom w:w="0" w:type="dxa"/>
          </w:tblCellMar>
        </w:tblPrEx>
        <w:trPr>
          <w:jc w:val="center"/>
        </w:trPr>
        <w:tc>
          <w:tcPr>
            <w:tcW w:w="250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3C77E92B" w14:textId="77777777" w:rsidR="00BB1D38" w:rsidRDefault="00000000">
            <w:proofErr w:type="spellStart"/>
            <w:r>
              <w:rPr>
                <w:color w:val="333333"/>
                <w:sz w:val="20"/>
                <w:szCs w:val="20"/>
              </w:rPr>
              <w:t>orphan_usage_flag</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5F38F76D" w14:textId="77777777" w:rsidR="00BB1D38" w:rsidRDefault="00000000">
            <w:r>
              <w:rPr>
                <w:color w:val="333333"/>
                <w:sz w:val="20"/>
                <w:szCs w:val="20"/>
              </w:rPr>
              <w:t>BOOLEAN</w:t>
            </w:r>
          </w:p>
        </w:tc>
        <w:tc>
          <w:tcPr>
            <w:tcW w:w="4819"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27790483" w14:textId="77777777" w:rsidR="00BB1D38" w:rsidRDefault="00000000">
            <w:r>
              <w:rPr>
                <w:color w:val="333333"/>
                <w:sz w:val="20"/>
                <w:szCs w:val="20"/>
              </w:rPr>
              <w:t>TRUE if orphaned usage detected</w:t>
            </w:r>
          </w:p>
        </w:tc>
      </w:tr>
      <w:tr w:rsidR="00BB1D38" w14:paraId="679A3222" w14:textId="77777777" w:rsidTr="006B7C3E">
        <w:tblPrEx>
          <w:tblCellMar>
            <w:top w:w="0" w:type="dxa"/>
            <w:bottom w:w="0" w:type="dxa"/>
          </w:tblCellMar>
        </w:tblPrEx>
        <w:trPr>
          <w:jc w:val="center"/>
        </w:trPr>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2140C4" w14:textId="77777777" w:rsidR="00BB1D38" w:rsidRDefault="00000000">
            <w:proofErr w:type="spellStart"/>
            <w:r>
              <w:rPr>
                <w:color w:val="333333"/>
                <w:sz w:val="20"/>
                <w:szCs w:val="20"/>
              </w:rPr>
              <w:t>contract_overlap_flag</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E565B" w14:textId="77777777" w:rsidR="00BB1D38" w:rsidRDefault="00000000">
            <w:r>
              <w:rPr>
                <w:color w:val="333333"/>
                <w:sz w:val="20"/>
                <w:szCs w:val="20"/>
              </w:rPr>
              <w:t>BOOLEAN</w:t>
            </w:r>
          </w:p>
        </w:tc>
        <w:tc>
          <w:tcPr>
            <w:tcW w:w="48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03888D" w14:textId="77777777" w:rsidR="00BB1D38" w:rsidRDefault="00000000">
            <w:r>
              <w:rPr>
                <w:color w:val="333333"/>
                <w:sz w:val="20"/>
                <w:szCs w:val="20"/>
              </w:rPr>
              <w:t>TRUE if overlapping active contracts exist</w:t>
            </w:r>
          </w:p>
        </w:tc>
      </w:tr>
    </w:tbl>
    <w:p w14:paraId="218222F0" w14:textId="77777777" w:rsidR="00BB1D38" w:rsidRDefault="00BB1D38">
      <w:pPr>
        <w:spacing w:before="120" w:after="120"/>
      </w:pPr>
    </w:p>
    <w:p w14:paraId="45CE0E20" w14:textId="77777777" w:rsidR="006B7C3E" w:rsidRDefault="006B7C3E">
      <w:pPr>
        <w:spacing w:before="120" w:after="120"/>
      </w:pPr>
    </w:p>
    <w:p w14:paraId="188309D6" w14:textId="77777777" w:rsidR="00BB1D38" w:rsidRDefault="00000000">
      <w:pPr>
        <w:pStyle w:val="Heading2"/>
      </w:pPr>
      <w:r>
        <w:rPr>
          <w:color w:val="1B3F6B"/>
        </w:rPr>
        <w:lastRenderedPageBreak/>
        <w:t xml:space="preserve">3.3 </w:t>
      </w:r>
      <w:proofErr w:type="spellStart"/>
      <w:r>
        <w:rPr>
          <w:color w:val="1B3F6B"/>
        </w:rPr>
        <w:t>csm_ahi_monthly</w:t>
      </w:r>
      <w:proofErr w:type="spellEnd"/>
    </w:p>
    <w:tbl>
      <w:tblPr>
        <w:tblW w:w="81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500"/>
        <w:gridCol w:w="4189"/>
      </w:tblGrid>
      <w:tr w:rsidR="00BB1D38" w14:paraId="7DC58FF2" w14:textId="77777777" w:rsidTr="006B7C3E">
        <w:tblPrEx>
          <w:tblCellMar>
            <w:top w:w="0" w:type="dxa"/>
            <w:bottom w:w="0" w:type="dxa"/>
          </w:tblCellMar>
        </w:tblPrEx>
        <w:trPr>
          <w:tblHeader/>
          <w:jc w:val="center"/>
        </w:trPr>
        <w:tc>
          <w:tcPr>
            <w:tcW w:w="2500" w:type="dxa"/>
            <w:tcBorders>
              <w:top w:val="single" w:sz="1" w:space="0" w:color="CCCCCC"/>
              <w:left w:val="single" w:sz="1" w:space="0" w:color="CCCCCC"/>
              <w:bottom w:val="single" w:sz="1" w:space="0" w:color="CCCCCC"/>
              <w:right w:val="single" w:sz="1" w:space="0" w:color="CCCCCC"/>
            </w:tcBorders>
            <w:shd w:val="clear" w:color="auto" w:fill="1B3F6B"/>
            <w:tcMar>
              <w:top w:w="80" w:type="dxa"/>
              <w:left w:w="120" w:type="dxa"/>
              <w:bottom w:w="80" w:type="dxa"/>
              <w:right w:w="120" w:type="dxa"/>
            </w:tcMar>
          </w:tcPr>
          <w:p w14:paraId="761D1681" w14:textId="77777777" w:rsidR="00BB1D38" w:rsidRDefault="00000000">
            <w:r>
              <w:rPr>
                <w:b/>
                <w:bCs/>
                <w:color w:val="FFFFFF"/>
                <w:sz w:val="20"/>
                <w:szCs w:val="20"/>
              </w:rPr>
              <w:t>Column</w:t>
            </w:r>
          </w:p>
        </w:tc>
        <w:tc>
          <w:tcPr>
            <w:tcW w:w="1500" w:type="dxa"/>
            <w:tcBorders>
              <w:top w:val="single" w:sz="1" w:space="0" w:color="CCCCCC"/>
              <w:left w:val="single" w:sz="1" w:space="0" w:color="CCCCCC"/>
              <w:bottom w:val="single" w:sz="1" w:space="0" w:color="CCCCCC"/>
              <w:right w:val="single" w:sz="1" w:space="0" w:color="CCCCCC"/>
            </w:tcBorders>
            <w:shd w:val="clear" w:color="auto" w:fill="1B3F6B"/>
            <w:tcMar>
              <w:top w:w="80" w:type="dxa"/>
              <w:left w:w="120" w:type="dxa"/>
              <w:bottom w:w="80" w:type="dxa"/>
              <w:right w:w="120" w:type="dxa"/>
            </w:tcMar>
          </w:tcPr>
          <w:p w14:paraId="54F542CE" w14:textId="77777777" w:rsidR="00BB1D38" w:rsidRDefault="00000000">
            <w:r>
              <w:rPr>
                <w:b/>
                <w:bCs/>
                <w:color w:val="FFFFFF"/>
                <w:sz w:val="20"/>
                <w:szCs w:val="20"/>
              </w:rPr>
              <w:t>Type</w:t>
            </w:r>
          </w:p>
        </w:tc>
        <w:tc>
          <w:tcPr>
            <w:tcW w:w="4189" w:type="dxa"/>
            <w:tcBorders>
              <w:top w:val="single" w:sz="1" w:space="0" w:color="CCCCCC"/>
              <w:left w:val="single" w:sz="1" w:space="0" w:color="CCCCCC"/>
              <w:bottom w:val="single" w:sz="1" w:space="0" w:color="CCCCCC"/>
              <w:right w:val="single" w:sz="1" w:space="0" w:color="CCCCCC"/>
            </w:tcBorders>
            <w:shd w:val="clear" w:color="auto" w:fill="1B3F6B"/>
            <w:tcMar>
              <w:top w:w="80" w:type="dxa"/>
              <w:left w:w="120" w:type="dxa"/>
              <w:bottom w:w="80" w:type="dxa"/>
              <w:right w:w="120" w:type="dxa"/>
            </w:tcMar>
          </w:tcPr>
          <w:p w14:paraId="6010C0E9" w14:textId="77777777" w:rsidR="00BB1D38" w:rsidRDefault="00000000">
            <w:r>
              <w:rPr>
                <w:b/>
                <w:bCs/>
                <w:color w:val="FFFFFF"/>
                <w:sz w:val="20"/>
                <w:szCs w:val="20"/>
              </w:rPr>
              <w:t>Description</w:t>
            </w:r>
          </w:p>
        </w:tc>
      </w:tr>
      <w:tr w:rsidR="00BB1D38" w14:paraId="18CA7D48" w14:textId="77777777" w:rsidTr="006B7C3E">
        <w:tblPrEx>
          <w:tblCellMar>
            <w:top w:w="0" w:type="dxa"/>
            <w:bottom w:w="0" w:type="dxa"/>
          </w:tblCellMar>
        </w:tblPrEx>
        <w:trPr>
          <w:jc w:val="center"/>
        </w:trPr>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3026EF" w14:textId="77777777" w:rsidR="00BB1D38" w:rsidRDefault="00000000">
            <w:proofErr w:type="spellStart"/>
            <w:r>
              <w:rPr>
                <w:color w:val="333333"/>
                <w:sz w:val="20"/>
                <w:szCs w:val="20"/>
              </w:rPr>
              <w:t>csm_id</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526795" w14:textId="77777777" w:rsidR="00BB1D38" w:rsidRDefault="00000000">
            <w:r>
              <w:rPr>
                <w:color w:val="333333"/>
                <w:sz w:val="20"/>
                <w:szCs w:val="20"/>
              </w:rPr>
              <w:t>STRING</w:t>
            </w:r>
          </w:p>
        </w:tc>
        <w:tc>
          <w:tcPr>
            <w:tcW w:w="41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5C80EB" w14:textId="77777777" w:rsidR="00BB1D38" w:rsidRDefault="00000000">
            <w:r>
              <w:rPr>
                <w:color w:val="333333"/>
                <w:sz w:val="20"/>
                <w:szCs w:val="20"/>
              </w:rPr>
              <w:t xml:space="preserve">Foreign key to </w:t>
            </w:r>
            <w:proofErr w:type="spellStart"/>
            <w:r>
              <w:rPr>
                <w:color w:val="333333"/>
                <w:sz w:val="20"/>
                <w:szCs w:val="20"/>
              </w:rPr>
              <w:t>CSM_rep</w:t>
            </w:r>
            <w:proofErr w:type="spellEnd"/>
            <w:r>
              <w:rPr>
                <w:color w:val="333333"/>
                <w:sz w:val="20"/>
                <w:szCs w:val="20"/>
              </w:rPr>
              <w:t xml:space="preserve"> table</w:t>
            </w:r>
          </w:p>
        </w:tc>
      </w:tr>
      <w:tr w:rsidR="00BB1D38" w14:paraId="4CC1CDA1" w14:textId="77777777" w:rsidTr="006B7C3E">
        <w:tblPrEx>
          <w:tblCellMar>
            <w:top w:w="0" w:type="dxa"/>
            <w:bottom w:w="0" w:type="dxa"/>
          </w:tblCellMar>
        </w:tblPrEx>
        <w:trPr>
          <w:jc w:val="center"/>
        </w:trPr>
        <w:tc>
          <w:tcPr>
            <w:tcW w:w="250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2B34F8B1" w14:textId="77777777" w:rsidR="00BB1D38" w:rsidRDefault="00000000">
            <w:r>
              <w:rPr>
                <w:color w:val="333333"/>
                <w:sz w:val="20"/>
                <w:szCs w:val="20"/>
              </w:rPr>
              <w:t>month</w:t>
            </w:r>
          </w:p>
        </w:tc>
        <w:tc>
          <w:tcPr>
            <w:tcW w:w="150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2A35675C" w14:textId="77777777" w:rsidR="00BB1D38" w:rsidRDefault="00000000">
            <w:r>
              <w:rPr>
                <w:color w:val="333333"/>
                <w:sz w:val="20"/>
                <w:szCs w:val="20"/>
              </w:rPr>
              <w:t>DATE</w:t>
            </w:r>
          </w:p>
        </w:tc>
        <w:tc>
          <w:tcPr>
            <w:tcW w:w="4189"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5DCAEBB8" w14:textId="77777777" w:rsidR="00BB1D38" w:rsidRDefault="00000000">
            <w:r>
              <w:rPr>
                <w:color w:val="333333"/>
                <w:sz w:val="20"/>
                <w:szCs w:val="20"/>
              </w:rPr>
              <w:t>First day of the calculation month</w:t>
            </w:r>
          </w:p>
        </w:tc>
      </w:tr>
      <w:tr w:rsidR="00BB1D38" w14:paraId="2534E12A" w14:textId="77777777" w:rsidTr="006B7C3E">
        <w:tblPrEx>
          <w:tblCellMar>
            <w:top w:w="0" w:type="dxa"/>
            <w:bottom w:w="0" w:type="dxa"/>
          </w:tblCellMar>
        </w:tblPrEx>
        <w:trPr>
          <w:jc w:val="center"/>
        </w:trPr>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FA86E2" w14:textId="77777777" w:rsidR="00BB1D38" w:rsidRDefault="00000000">
            <w:proofErr w:type="spellStart"/>
            <w:r>
              <w:rPr>
                <w:color w:val="333333"/>
                <w:sz w:val="20"/>
                <w:szCs w:val="20"/>
              </w:rPr>
              <w:t>ahi_score</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156D6F" w14:textId="77777777" w:rsidR="00BB1D38" w:rsidRDefault="00000000">
            <w:r>
              <w:rPr>
                <w:color w:val="333333"/>
                <w:sz w:val="20"/>
                <w:szCs w:val="20"/>
              </w:rPr>
              <w:t>FLOAT64</w:t>
            </w:r>
          </w:p>
        </w:tc>
        <w:tc>
          <w:tcPr>
            <w:tcW w:w="41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14134B" w14:textId="77777777" w:rsidR="00BB1D38" w:rsidRDefault="00000000">
            <w:r>
              <w:rPr>
                <w:color w:val="333333"/>
                <w:sz w:val="20"/>
                <w:szCs w:val="20"/>
              </w:rPr>
              <w:t>ARR-weighted AHI across book of business</w:t>
            </w:r>
          </w:p>
        </w:tc>
      </w:tr>
      <w:tr w:rsidR="00BB1D38" w14:paraId="3210BC19" w14:textId="77777777" w:rsidTr="006B7C3E">
        <w:tblPrEx>
          <w:tblCellMar>
            <w:top w:w="0" w:type="dxa"/>
            <w:bottom w:w="0" w:type="dxa"/>
          </w:tblCellMar>
        </w:tblPrEx>
        <w:trPr>
          <w:jc w:val="center"/>
        </w:trPr>
        <w:tc>
          <w:tcPr>
            <w:tcW w:w="250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78AED595" w14:textId="77777777" w:rsidR="00BB1D38" w:rsidRDefault="00000000">
            <w:proofErr w:type="spellStart"/>
            <w:r>
              <w:rPr>
                <w:color w:val="333333"/>
                <w:sz w:val="20"/>
                <w:szCs w:val="20"/>
              </w:rPr>
              <w:t>accounts_at_risk</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6644A059" w14:textId="77777777" w:rsidR="00BB1D38" w:rsidRDefault="00000000">
            <w:r>
              <w:rPr>
                <w:color w:val="333333"/>
                <w:sz w:val="20"/>
                <w:szCs w:val="20"/>
              </w:rPr>
              <w:t>INT64</w:t>
            </w:r>
          </w:p>
        </w:tc>
        <w:tc>
          <w:tcPr>
            <w:tcW w:w="4189"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71C873D6" w14:textId="77777777" w:rsidR="00BB1D38" w:rsidRDefault="00000000">
            <w:r>
              <w:rPr>
                <w:color w:val="333333"/>
                <w:sz w:val="20"/>
                <w:szCs w:val="20"/>
              </w:rPr>
              <w:t>Count of accounts with AHI &lt; 50</w:t>
            </w:r>
          </w:p>
        </w:tc>
      </w:tr>
      <w:tr w:rsidR="00BB1D38" w14:paraId="16BAE535" w14:textId="77777777" w:rsidTr="006B7C3E">
        <w:tblPrEx>
          <w:tblCellMar>
            <w:top w:w="0" w:type="dxa"/>
            <w:bottom w:w="0" w:type="dxa"/>
          </w:tblCellMar>
        </w:tblPrEx>
        <w:trPr>
          <w:jc w:val="center"/>
        </w:trPr>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0CDF60" w14:textId="77777777" w:rsidR="00BB1D38" w:rsidRDefault="00000000">
            <w:proofErr w:type="spellStart"/>
            <w:r>
              <w:rPr>
                <w:color w:val="333333"/>
                <w:sz w:val="20"/>
                <w:szCs w:val="20"/>
              </w:rPr>
              <w:t>total_arr</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E24CFA" w14:textId="77777777" w:rsidR="00BB1D38" w:rsidRDefault="00000000">
            <w:r>
              <w:rPr>
                <w:color w:val="333333"/>
                <w:sz w:val="20"/>
                <w:szCs w:val="20"/>
              </w:rPr>
              <w:t>FLOAT64</w:t>
            </w:r>
          </w:p>
        </w:tc>
        <w:tc>
          <w:tcPr>
            <w:tcW w:w="41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AFEA43" w14:textId="77777777" w:rsidR="00BB1D38" w:rsidRDefault="00000000">
            <w:r>
              <w:rPr>
                <w:color w:val="333333"/>
                <w:sz w:val="20"/>
                <w:szCs w:val="20"/>
              </w:rPr>
              <w:t>Total ARR in CSM's book</w:t>
            </w:r>
          </w:p>
        </w:tc>
      </w:tr>
      <w:tr w:rsidR="00BB1D38" w14:paraId="381BCC75" w14:textId="77777777" w:rsidTr="006B7C3E">
        <w:tblPrEx>
          <w:tblCellMar>
            <w:top w:w="0" w:type="dxa"/>
            <w:bottom w:w="0" w:type="dxa"/>
          </w:tblCellMar>
        </w:tblPrEx>
        <w:trPr>
          <w:jc w:val="center"/>
        </w:trPr>
        <w:tc>
          <w:tcPr>
            <w:tcW w:w="250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1AF7E611" w14:textId="77777777" w:rsidR="00BB1D38" w:rsidRDefault="00000000">
            <w:proofErr w:type="spellStart"/>
            <w:r>
              <w:rPr>
                <w:color w:val="333333"/>
                <w:sz w:val="20"/>
                <w:szCs w:val="20"/>
              </w:rPr>
              <w:t>arr_at_risk</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3341DC6A" w14:textId="77777777" w:rsidR="00BB1D38" w:rsidRDefault="00000000">
            <w:r>
              <w:rPr>
                <w:color w:val="333333"/>
                <w:sz w:val="20"/>
                <w:szCs w:val="20"/>
              </w:rPr>
              <w:t>FLOAT64</w:t>
            </w:r>
          </w:p>
        </w:tc>
        <w:tc>
          <w:tcPr>
            <w:tcW w:w="4189"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00B197DE" w14:textId="77777777" w:rsidR="00BB1D38" w:rsidRDefault="00000000">
            <w:r>
              <w:rPr>
                <w:color w:val="333333"/>
                <w:sz w:val="20"/>
                <w:szCs w:val="20"/>
              </w:rPr>
              <w:t>ARR from accounts with AHI &lt; 50</w:t>
            </w:r>
          </w:p>
        </w:tc>
      </w:tr>
    </w:tbl>
    <w:p w14:paraId="3CF12C32" w14:textId="77777777" w:rsidR="00BB1D38" w:rsidRDefault="00BB1D38">
      <w:pPr>
        <w:pBdr>
          <w:bottom w:val="single" w:sz="4" w:space="1" w:color="DDDDDD"/>
        </w:pBdr>
        <w:spacing w:before="120" w:after="120"/>
      </w:pPr>
    </w:p>
    <w:p w14:paraId="0B394565" w14:textId="77777777" w:rsidR="00BB1D38" w:rsidRDefault="00000000">
      <w:pPr>
        <w:pStyle w:val="Heading1"/>
      </w:pPr>
      <w:r>
        <w:rPr>
          <w:color w:val="1B3F6B"/>
        </w:rPr>
        <w:t>4. Data Quality Tests</w:t>
      </w:r>
    </w:p>
    <w:p w14:paraId="2AF895FB" w14:textId="0054994A" w:rsidR="00BB1D38" w:rsidRDefault="00000000" w:rsidP="006B7C3E">
      <w:pPr>
        <w:spacing w:before="60" w:after="100"/>
      </w:pPr>
      <w:r>
        <w:rPr>
          <w:color w:val="333333"/>
        </w:rPr>
        <w:t>The following automated assertions must pass before the AHI pipeline runs. Any failure halts the pipeline and alerts the data engineering team.</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76"/>
        <w:gridCol w:w="3399"/>
        <w:gridCol w:w="3085"/>
      </w:tblGrid>
      <w:tr w:rsidR="00BB1D38" w14:paraId="0863AE3A" w14:textId="77777777" w:rsidTr="006B7C3E">
        <w:tblPrEx>
          <w:tblCellMar>
            <w:top w:w="0" w:type="dxa"/>
            <w:bottom w:w="0" w:type="dxa"/>
          </w:tblCellMar>
        </w:tblPrEx>
        <w:trPr>
          <w:tblHeader/>
          <w:jc w:val="center"/>
        </w:trPr>
        <w:tc>
          <w:tcPr>
            <w:tcW w:w="2500" w:type="dxa"/>
            <w:tcBorders>
              <w:top w:val="single" w:sz="1" w:space="0" w:color="CCCCCC"/>
              <w:left w:val="single" w:sz="1" w:space="0" w:color="CCCCCC"/>
              <w:bottom w:val="single" w:sz="1" w:space="0" w:color="CCCCCC"/>
              <w:right w:val="single" w:sz="1" w:space="0" w:color="CCCCCC"/>
            </w:tcBorders>
            <w:shd w:val="clear" w:color="auto" w:fill="1B3F6B"/>
            <w:tcMar>
              <w:top w:w="80" w:type="dxa"/>
              <w:left w:w="120" w:type="dxa"/>
              <w:bottom w:w="80" w:type="dxa"/>
              <w:right w:w="120" w:type="dxa"/>
            </w:tcMar>
          </w:tcPr>
          <w:p w14:paraId="1D9E9015" w14:textId="77777777" w:rsidR="00BB1D38" w:rsidRDefault="00000000">
            <w:r>
              <w:rPr>
                <w:b/>
                <w:bCs/>
                <w:color w:val="FFFFFF"/>
                <w:sz w:val="20"/>
                <w:szCs w:val="20"/>
              </w:rPr>
              <w:t>Test Name</w:t>
            </w:r>
          </w:p>
        </w:tc>
        <w:tc>
          <w:tcPr>
            <w:tcW w:w="3500" w:type="dxa"/>
            <w:tcBorders>
              <w:top w:val="single" w:sz="1" w:space="0" w:color="CCCCCC"/>
              <w:left w:val="single" w:sz="1" w:space="0" w:color="CCCCCC"/>
              <w:bottom w:val="single" w:sz="1" w:space="0" w:color="CCCCCC"/>
              <w:right w:val="single" w:sz="1" w:space="0" w:color="CCCCCC"/>
            </w:tcBorders>
            <w:shd w:val="clear" w:color="auto" w:fill="1B3F6B"/>
            <w:tcMar>
              <w:top w:w="80" w:type="dxa"/>
              <w:left w:w="120" w:type="dxa"/>
              <w:bottom w:w="80" w:type="dxa"/>
              <w:right w:w="120" w:type="dxa"/>
            </w:tcMar>
          </w:tcPr>
          <w:p w14:paraId="670A3D8F" w14:textId="77777777" w:rsidR="00BB1D38" w:rsidRDefault="00000000">
            <w:r>
              <w:rPr>
                <w:b/>
                <w:bCs/>
                <w:color w:val="FFFFFF"/>
                <w:sz w:val="20"/>
                <w:szCs w:val="20"/>
              </w:rPr>
              <w:t>Logic</w:t>
            </w:r>
          </w:p>
        </w:tc>
        <w:tc>
          <w:tcPr>
            <w:tcW w:w="3360" w:type="dxa"/>
            <w:tcBorders>
              <w:top w:val="single" w:sz="1" w:space="0" w:color="CCCCCC"/>
              <w:left w:val="single" w:sz="1" w:space="0" w:color="CCCCCC"/>
              <w:bottom w:val="single" w:sz="1" w:space="0" w:color="CCCCCC"/>
              <w:right w:val="single" w:sz="1" w:space="0" w:color="CCCCCC"/>
            </w:tcBorders>
            <w:shd w:val="clear" w:color="auto" w:fill="1B3F6B"/>
            <w:tcMar>
              <w:top w:w="80" w:type="dxa"/>
              <w:left w:w="120" w:type="dxa"/>
              <w:bottom w:w="80" w:type="dxa"/>
              <w:right w:w="120" w:type="dxa"/>
            </w:tcMar>
          </w:tcPr>
          <w:p w14:paraId="0EE87F2E" w14:textId="77777777" w:rsidR="00BB1D38" w:rsidRDefault="00000000">
            <w:r>
              <w:rPr>
                <w:b/>
                <w:bCs/>
                <w:color w:val="FFFFFF"/>
                <w:sz w:val="20"/>
                <w:szCs w:val="20"/>
              </w:rPr>
              <w:t>Failure Action</w:t>
            </w:r>
          </w:p>
        </w:tc>
      </w:tr>
      <w:tr w:rsidR="00BB1D38" w14:paraId="1D5EE60D" w14:textId="77777777" w:rsidTr="006B7C3E">
        <w:tblPrEx>
          <w:tblCellMar>
            <w:top w:w="0" w:type="dxa"/>
            <w:bottom w:w="0" w:type="dxa"/>
          </w:tblCellMar>
        </w:tblPrEx>
        <w:trPr>
          <w:jc w:val="center"/>
        </w:trPr>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1FA87B" w14:textId="77777777" w:rsidR="00BB1D38" w:rsidRDefault="00000000">
            <w:proofErr w:type="spellStart"/>
            <w:r>
              <w:rPr>
                <w:color w:val="333333"/>
                <w:sz w:val="20"/>
                <w:szCs w:val="20"/>
              </w:rPr>
              <w:t>orphaned_usage_check</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8F667B" w14:textId="77777777" w:rsidR="00BB1D38" w:rsidRDefault="00000000">
            <w:r>
              <w:rPr>
                <w:color w:val="333333"/>
                <w:sz w:val="20"/>
                <w:szCs w:val="20"/>
              </w:rPr>
              <w:t xml:space="preserve">COUNT usage logs WHERE </w:t>
            </w:r>
            <w:proofErr w:type="spellStart"/>
            <w:r>
              <w:rPr>
                <w:color w:val="333333"/>
                <w:sz w:val="20"/>
                <w:szCs w:val="20"/>
              </w:rPr>
              <w:t>account_id</w:t>
            </w:r>
            <w:proofErr w:type="spellEnd"/>
            <w:r>
              <w:rPr>
                <w:color w:val="333333"/>
                <w:sz w:val="20"/>
                <w:szCs w:val="20"/>
              </w:rPr>
              <w:t xml:space="preserve"> NOT IN Accounts = 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5B3076" w14:textId="77777777" w:rsidR="00BB1D38" w:rsidRDefault="00000000">
            <w:r>
              <w:rPr>
                <w:color w:val="333333"/>
                <w:sz w:val="20"/>
                <w:szCs w:val="20"/>
              </w:rPr>
              <w:t>Exclude orphaned rows; flag in output</w:t>
            </w:r>
          </w:p>
        </w:tc>
      </w:tr>
      <w:tr w:rsidR="00BB1D38" w14:paraId="479CB296" w14:textId="77777777" w:rsidTr="006B7C3E">
        <w:tblPrEx>
          <w:tblCellMar>
            <w:top w:w="0" w:type="dxa"/>
            <w:bottom w:w="0" w:type="dxa"/>
          </w:tblCellMar>
        </w:tblPrEx>
        <w:trPr>
          <w:jc w:val="center"/>
        </w:trPr>
        <w:tc>
          <w:tcPr>
            <w:tcW w:w="250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5CAC49A0" w14:textId="77777777" w:rsidR="00BB1D38" w:rsidRDefault="00000000">
            <w:proofErr w:type="spellStart"/>
            <w:r>
              <w:rPr>
                <w:color w:val="333333"/>
                <w:sz w:val="20"/>
                <w:szCs w:val="20"/>
              </w:rPr>
              <w:t>overlapping_contracts_check</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58917536" w14:textId="77777777" w:rsidR="00BB1D38" w:rsidRDefault="00000000">
            <w:r>
              <w:rPr>
                <w:color w:val="333333"/>
                <w:sz w:val="20"/>
                <w:szCs w:val="20"/>
              </w:rPr>
              <w:t xml:space="preserve">No two active contracts for same </w:t>
            </w:r>
            <w:proofErr w:type="spellStart"/>
            <w:r>
              <w:rPr>
                <w:color w:val="333333"/>
                <w:sz w:val="20"/>
                <w:szCs w:val="20"/>
              </w:rPr>
              <w:t>account_id</w:t>
            </w:r>
            <w:proofErr w:type="spellEnd"/>
            <w:r>
              <w:rPr>
                <w:color w:val="333333"/>
                <w:sz w:val="20"/>
                <w:szCs w:val="20"/>
              </w:rPr>
              <w:t xml:space="preserve"> overlap on date range</w:t>
            </w:r>
          </w:p>
        </w:tc>
        <w:tc>
          <w:tcPr>
            <w:tcW w:w="336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5F4A7CA5" w14:textId="77777777" w:rsidR="00BB1D38" w:rsidRDefault="00000000">
            <w:r>
              <w:rPr>
                <w:color w:val="333333"/>
                <w:sz w:val="20"/>
                <w:szCs w:val="20"/>
              </w:rPr>
              <w:t>Flag account; use most recent contract as source of truth</w:t>
            </w:r>
          </w:p>
        </w:tc>
      </w:tr>
      <w:tr w:rsidR="00BB1D38" w14:paraId="382F62AC" w14:textId="77777777" w:rsidTr="006B7C3E">
        <w:tblPrEx>
          <w:tblCellMar>
            <w:top w:w="0" w:type="dxa"/>
            <w:bottom w:w="0" w:type="dxa"/>
          </w:tblCellMar>
        </w:tblPrEx>
        <w:trPr>
          <w:jc w:val="center"/>
        </w:trPr>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7C0CDE" w14:textId="77777777" w:rsidR="00BB1D38" w:rsidRDefault="00000000">
            <w:proofErr w:type="spellStart"/>
            <w:r>
              <w:rPr>
                <w:color w:val="333333"/>
                <w:sz w:val="20"/>
                <w:szCs w:val="20"/>
              </w:rPr>
              <w:t>negative_consumption_check</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067B75" w14:textId="77777777" w:rsidR="00BB1D38" w:rsidRDefault="00000000">
            <w:r>
              <w:rPr>
                <w:color w:val="333333"/>
                <w:sz w:val="20"/>
                <w:szCs w:val="20"/>
              </w:rPr>
              <w:t xml:space="preserve">All </w:t>
            </w:r>
            <w:proofErr w:type="spellStart"/>
            <w:r>
              <w:rPr>
                <w:color w:val="333333"/>
                <w:sz w:val="20"/>
                <w:szCs w:val="20"/>
              </w:rPr>
              <w:t>compute_credits_consumed</w:t>
            </w:r>
            <w:proofErr w:type="spellEnd"/>
            <w:r>
              <w:rPr>
                <w:color w:val="333333"/>
                <w:sz w:val="20"/>
                <w:szCs w:val="20"/>
              </w:rPr>
              <w:t xml:space="preserve"> &gt;= 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BB3D66" w14:textId="77777777" w:rsidR="00BB1D38" w:rsidRDefault="00000000">
            <w:r>
              <w:rPr>
                <w:color w:val="333333"/>
                <w:sz w:val="20"/>
                <w:szCs w:val="20"/>
              </w:rPr>
              <w:t>Reject rows; alert data engineering</w:t>
            </w:r>
          </w:p>
        </w:tc>
      </w:tr>
      <w:tr w:rsidR="00BB1D38" w14:paraId="4C9A27D4" w14:textId="77777777" w:rsidTr="006B7C3E">
        <w:tblPrEx>
          <w:tblCellMar>
            <w:top w:w="0" w:type="dxa"/>
            <w:bottom w:w="0" w:type="dxa"/>
          </w:tblCellMar>
        </w:tblPrEx>
        <w:trPr>
          <w:jc w:val="center"/>
        </w:trPr>
        <w:tc>
          <w:tcPr>
            <w:tcW w:w="250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0CE93A8D" w14:textId="77777777" w:rsidR="00BB1D38" w:rsidRDefault="00000000">
            <w:proofErr w:type="spellStart"/>
            <w:r>
              <w:rPr>
                <w:color w:val="333333"/>
                <w:sz w:val="20"/>
                <w:szCs w:val="20"/>
              </w:rPr>
              <w:t>future_usage_check</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6A77F36F" w14:textId="77777777" w:rsidR="00BB1D38" w:rsidRDefault="00000000">
            <w:r>
              <w:rPr>
                <w:color w:val="333333"/>
                <w:sz w:val="20"/>
                <w:szCs w:val="20"/>
              </w:rPr>
              <w:t xml:space="preserve">No usage log date &gt; </w:t>
            </w:r>
            <w:proofErr w:type="spellStart"/>
            <w:r>
              <w:rPr>
                <w:color w:val="333333"/>
                <w:sz w:val="20"/>
                <w:szCs w:val="20"/>
              </w:rPr>
              <w:t>current_date</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16C2DCB7" w14:textId="77777777" w:rsidR="00BB1D38" w:rsidRDefault="00000000">
            <w:r>
              <w:rPr>
                <w:color w:val="333333"/>
                <w:sz w:val="20"/>
                <w:szCs w:val="20"/>
              </w:rPr>
              <w:t>Reject rows</w:t>
            </w:r>
          </w:p>
        </w:tc>
      </w:tr>
      <w:tr w:rsidR="00BB1D38" w14:paraId="37C099FC" w14:textId="77777777" w:rsidTr="006B7C3E">
        <w:tblPrEx>
          <w:tblCellMar>
            <w:top w:w="0" w:type="dxa"/>
            <w:bottom w:w="0" w:type="dxa"/>
          </w:tblCellMar>
        </w:tblPrEx>
        <w:trPr>
          <w:jc w:val="center"/>
        </w:trPr>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F6D791" w14:textId="77777777" w:rsidR="00BB1D38" w:rsidRDefault="00000000">
            <w:proofErr w:type="spellStart"/>
            <w:r>
              <w:rPr>
                <w:color w:val="333333"/>
                <w:sz w:val="20"/>
                <w:szCs w:val="20"/>
              </w:rPr>
              <w:t>contract_date_usage_check</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8B091" w14:textId="77777777" w:rsidR="00BB1D38" w:rsidRDefault="00000000">
            <w:r>
              <w:rPr>
                <w:color w:val="333333"/>
                <w:sz w:val="20"/>
                <w:szCs w:val="20"/>
              </w:rPr>
              <w:t>Usage date falls within account's active contract date range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5A6AD0" w14:textId="77777777" w:rsidR="00BB1D38" w:rsidRDefault="00000000">
            <w:r>
              <w:rPr>
                <w:color w:val="333333"/>
                <w:sz w:val="20"/>
                <w:szCs w:val="20"/>
              </w:rPr>
              <w:t>Flag as rogue usage; exclude from AHI</w:t>
            </w:r>
          </w:p>
        </w:tc>
      </w:tr>
      <w:tr w:rsidR="00BB1D38" w14:paraId="4F30CE2B" w14:textId="77777777" w:rsidTr="006B7C3E">
        <w:tblPrEx>
          <w:tblCellMar>
            <w:top w:w="0" w:type="dxa"/>
            <w:bottom w:w="0" w:type="dxa"/>
          </w:tblCellMar>
        </w:tblPrEx>
        <w:trPr>
          <w:jc w:val="center"/>
        </w:trPr>
        <w:tc>
          <w:tcPr>
            <w:tcW w:w="250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72E02C04" w14:textId="77777777" w:rsidR="00BB1D38" w:rsidRDefault="00000000">
            <w:proofErr w:type="spellStart"/>
            <w:r>
              <w:rPr>
                <w:color w:val="333333"/>
                <w:sz w:val="20"/>
                <w:szCs w:val="20"/>
              </w:rPr>
              <w:t>null_account_id_check</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1D057CA2" w14:textId="77777777" w:rsidR="00BB1D38" w:rsidRDefault="00000000">
            <w:r>
              <w:rPr>
                <w:color w:val="333333"/>
                <w:sz w:val="20"/>
                <w:szCs w:val="20"/>
              </w:rPr>
              <w:t xml:space="preserve">No NULL </w:t>
            </w:r>
            <w:proofErr w:type="spellStart"/>
            <w:r>
              <w:rPr>
                <w:color w:val="333333"/>
                <w:sz w:val="20"/>
                <w:szCs w:val="20"/>
              </w:rPr>
              <w:t>account_ids</w:t>
            </w:r>
            <w:proofErr w:type="spellEnd"/>
            <w:r>
              <w:rPr>
                <w:color w:val="333333"/>
                <w:sz w:val="20"/>
                <w:szCs w:val="20"/>
              </w:rPr>
              <w:t xml:space="preserve"> in any table</w:t>
            </w:r>
          </w:p>
        </w:tc>
        <w:tc>
          <w:tcPr>
            <w:tcW w:w="336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768B0AF8" w14:textId="77777777" w:rsidR="00BB1D38" w:rsidRDefault="00000000">
            <w:r>
              <w:rPr>
                <w:color w:val="333333"/>
                <w:sz w:val="20"/>
                <w:szCs w:val="20"/>
              </w:rPr>
              <w:t>Reject rows</w:t>
            </w:r>
          </w:p>
        </w:tc>
      </w:tr>
    </w:tbl>
    <w:p w14:paraId="378D67D0" w14:textId="77777777" w:rsidR="00BB1D38" w:rsidRDefault="00BB1D38">
      <w:pPr>
        <w:pBdr>
          <w:bottom w:val="single" w:sz="4" w:space="1" w:color="DDDDDD"/>
        </w:pBdr>
        <w:spacing w:before="120" w:after="120"/>
      </w:pPr>
    </w:p>
    <w:p w14:paraId="46D46E27" w14:textId="77777777" w:rsidR="00BB1D38" w:rsidRDefault="00000000">
      <w:pPr>
        <w:pStyle w:val="Heading1"/>
      </w:pPr>
      <w:r>
        <w:rPr>
          <w:color w:val="1B3F6B"/>
        </w:rPr>
        <w:t>5. Metric Definition</w:t>
      </w:r>
    </w:p>
    <w:p w14:paraId="5E92B4F8" w14:textId="77777777" w:rsidR="00BB1D38" w:rsidRDefault="00000000">
      <w:pPr>
        <w:pStyle w:val="Heading2"/>
      </w:pPr>
      <w:r>
        <w:rPr>
          <w:color w:val="1B3F6B"/>
        </w:rPr>
        <w:t>5.1 Name</w:t>
      </w:r>
    </w:p>
    <w:p w14:paraId="3D357007" w14:textId="77777777" w:rsidR="00BB1D38" w:rsidRDefault="00000000">
      <w:pPr>
        <w:spacing w:before="60" w:after="100"/>
      </w:pPr>
      <w:r>
        <w:rPr>
          <w:color w:val="333333"/>
        </w:rPr>
        <w:t>Account Health Index (AHI)</w:t>
      </w:r>
    </w:p>
    <w:p w14:paraId="46177F87" w14:textId="77777777" w:rsidR="00BB1D38" w:rsidRDefault="00000000">
      <w:pPr>
        <w:pStyle w:val="Heading2"/>
      </w:pPr>
      <w:r>
        <w:rPr>
          <w:color w:val="1B3F6B"/>
        </w:rPr>
        <w:t>5.2 Formula</w:t>
      </w:r>
    </w:p>
    <w:p w14:paraId="0E8446B9" w14:textId="77777777" w:rsidR="00BB1D38" w:rsidRDefault="00000000">
      <w:pPr>
        <w:spacing w:before="60" w:after="100"/>
      </w:pPr>
      <w:r>
        <w:rPr>
          <w:color w:val="333333"/>
        </w:rPr>
        <w:t xml:space="preserve">AHI is a composite score from 0 to 100, calculated monthly per </w:t>
      </w:r>
      <w:proofErr w:type="spellStart"/>
      <w:r>
        <w:rPr>
          <w:color w:val="333333"/>
        </w:rPr>
        <w:t>account_id</w:t>
      </w:r>
      <w:proofErr w:type="spellEnd"/>
      <w:r>
        <w:rPr>
          <w:color w:val="333333"/>
        </w:rPr>
        <w:t xml:space="preserve"> and rolled up to </w:t>
      </w:r>
      <w:proofErr w:type="spellStart"/>
      <w:r>
        <w:rPr>
          <w:color w:val="333333"/>
        </w:rPr>
        <w:t>csm_id</w:t>
      </w:r>
      <w:proofErr w:type="spellEnd"/>
      <w:r>
        <w:rPr>
          <w:color w:val="333333"/>
        </w:rPr>
        <w:t xml:space="preserve"> as an ARR-weighted average.</w:t>
      </w:r>
    </w:p>
    <w:p w14:paraId="0399D12C" w14:textId="77777777" w:rsidR="00BB1D38" w:rsidRDefault="00BB1D38">
      <w:pPr>
        <w:spacing w:before="120" w:after="60"/>
      </w:pPr>
    </w:p>
    <w:p w14:paraId="3EFA2DAC" w14:textId="77777777" w:rsidR="00BB1D38" w:rsidRDefault="00000000">
      <w:pPr>
        <w:spacing w:before="60" w:after="60"/>
        <w:ind w:left="720"/>
      </w:pPr>
      <w:r>
        <w:rPr>
          <w:rFonts w:ascii="Courier New" w:eastAsia="Courier New" w:hAnsi="Courier New" w:cs="Courier New"/>
          <w:color w:val="1B3F6B"/>
          <w:sz w:val="20"/>
          <w:szCs w:val="20"/>
        </w:rPr>
        <w:t xml:space="preserve">AHI = (Consumption </w:t>
      </w:r>
      <w:proofErr w:type="gramStart"/>
      <w:r>
        <w:rPr>
          <w:rFonts w:ascii="Courier New" w:eastAsia="Courier New" w:hAnsi="Courier New" w:cs="Courier New"/>
          <w:color w:val="1B3F6B"/>
          <w:sz w:val="20"/>
          <w:szCs w:val="20"/>
        </w:rPr>
        <w:t>Health  ×</w:t>
      </w:r>
      <w:proofErr w:type="gramEnd"/>
      <w:r>
        <w:rPr>
          <w:rFonts w:ascii="Courier New" w:eastAsia="Courier New" w:hAnsi="Courier New" w:cs="Courier New"/>
          <w:color w:val="1B3F6B"/>
          <w:sz w:val="20"/>
          <w:szCs w:val="20"/>
        </w:rPr>
        <w:t xml:space="preserve"> 0.25)</w:t>
      </w:r>
    </w:p>
    <w:p w14:paraId="1EB6EB2A" w14:textId="77777777" w:rsidR="00BB1D38" w:rsidRDefault="00000000">
      <w:pPr>
        <w:spacing w:before="60" w:after="60"/>
        <w:ind w:left="720"/>
      </w:pPr>
      <w:r>
        <w:rPr>
          <w:rFonts w:ascii="Courier New" w:eastAsia="Courier New" w:hAnsi="Courier New" w:cs="Courier New"/>
          <w:color w:val="1B3F6B"/>
          <w:sz w:val="20"/>
          <w:szCs w:val="20"/>
        </w:rPr>
        <w:t xml:space="preserve">    + (Deployment Depth    × 0.25)</w:t>
      </w:r>
    </w:p>
    <w:p w14:paraId="6A686F44" w14:textId="77777777" w:rsidR="00BB1D38" w:rsidRDefault="00000000">
      <w:pPr>
        <w:spacing w:before="60" w:after="60"/>
        <w:ind w:left="720"/>
      </w:pPr>
      <w:r>
        <w:rPr>
          <w:rFonts w:ascii="Courier New" w:eastAsia="Courier New" w:hAnsi="Courier New" w:cs="Courier New"/>
          <w:color w:val="1B3F6B"/>
          <w:sz w:val="20"/>
          <w:szCs w:val="20"/>
        </w:rPr>
        <w:t xml:space="preserve">    + (Platform </w:t>
      </w:r>
      <w:proofErr w:type="gramStart"/>
      <w:r>
        <w:rPr>
          <w:rFonts w:ascii="Courier New" w:eastAsia="Courier New" w:hAnsi="Courier New" w:cs="Courier New"/>
          <w:color w:val="1B3F6B"/>
          <w:sz w:val="20"/>
          <w:szCs w:val="20"/>
        </w:rPr>
        <w:t>Stability  ×</w:t>
      </w:r>
      <w:proofErr w:type="gramEnd"/>
      <w:r>
        <w:rPr>
          <w:rFonts w:ascii="Courier New" w:eastAsia="Courier New" w:hAnsi="Courier New" w:cs="Courier New"/>
          <w:color w:val="1B3F6B"/>
          <w:sz w:val="20"/>
          <w:szCs w:val="20"/>
        </w:rPr>
        <w:t xml:space="preserve"> 0.20)</w:t>
      </w:r>
    </w:p>
    <w:p w14:paraId="438168B5" w14:textId="77777777" w:rsidR="00BB1D38" w:rsidRDefault="00000000">
      <w:pPr>
        <w:spacing w:before="60" w:after="60"/>
        <w:ind w:left="720"/>
      </w:pPr>
      <w:r>
        <w:rPr>
          <w:rFonts w:ascii="Courier New" w:eastAsia="Courier New" w:hAnsi="Courier New" w:cs="Courier New"/>
          <w:color w:val="1B3F6B"/>
          <w:sz w:val="20"/>
          <w:szCs w:val="20"/>
        </w:rPr>
        <w:t xml:space="preserve">    + (Contract </w:t>
      </w:r>
      <w:proofErr w:type="gramStart"/>
      <w:r>
        <w:rPr>
          <w:rFonts w:ascii="Courier New" w:eastAsia="Courier New" w:hAnsi="Courier New" w:cs="Courier New"/>
          <w:color w:val="1B3F6B"/>
          <w:sz w:val="20"/>
          <w:szCs w:val="20"/>
        </w:rPr>
        <w:t>Expansion  ×</w:t>
      </w:r>
      <w:proofErr w:type="gramEnd"/>
      <w:r>
        <w:rPr>
          <w:rFonts w:ascii="Courier New" w:eastAsia="Courier New" w:hAnsi="Courier New" w:cs="Courier New"/>
          <w:color w:val="1B3F6B"/>
          <w:sz w:val="20"/>
          <w:szCs w:val="20"/>
        </w:rPr>
        <w:t xml:space="preserve"> 0.15)</w:t>
      </w:r>
    </w:p>
    <w:p w14:paraId="569ABBE6" w14:textId="77777777" w:rsidR="00BB1D38" w:rsidRDefault="00000000">
      <w:pPr>
        <w:spacing w:before="60" w:after="60"/>
        <w:ind w:left="720"/>
      </w:pPr>
      <w:r>
        <w:rPr>
          <w:rFonts w:ascii="Courier New" w:eastAsia="Courier New" w:hAnsi="Courier New" w:cs="Courier New"/>
          <w:color w:val="1B3F6B"/>
          <w:sz w:val="20"/>
          <w:szCs w:val="20"/>
        </w:rPr>
        <w:t xml:space="preserve">    + (Engagement Trend    × 0.15)</w:t>
      </w:r>
    </w:p>
    <w:p w14:paraId="09273FB9" w14:textId="77777777" w:rsidR="00BB1D38" w:rsidRDefault="00BB1D38">
      <w:pPr>
        <w:spacing w:before="60" w:after="120"/>
      </w:pPr>
    </w:p>
    <w:p w14:paraId="41C45587" w14:textId="77777777" w:rsidR="00BB1D38" w:rsidRDefault="00000000">
      <w:pPr>
        <w:pStyle w:val="Heading2"/>
      </w:pPr>
      <w:r>
        <w:rPr>
          <w:color w:val="1B3F6B"/>
        </w:rPr>
        <w:lastRenderedPageBreak/>
        <w:t>5.3 Weight Rationale</w:t>
      </w:r>
    </w:p>
    <w:p w14:paraId="2411F429" w14:textId="77777777" w:rsidR="00BB1D38" w:rsidRDefault="00000000">
      <w:pPr>
        <w:spacing w:before="60" w:after="100"/>
      </w:pPr>
      <w:r>
        <w:rPr>
          <w:color w:val="333333"/>
        </w:rPr>
        <w:t>The GCS key business question explicitly identifies four measurement priorities. Each maps directly to AHI dimensions and informs the weighting:</w:t>
      </w:r>
    </w:p>
    <w:p w14:paraId="5FD093BF" w14:textId="77777777" w:rsidR="00BB1D38" w:rsidRDefault="00BB1D38">
      <w:pPr>
        <w:spacing w:before="80" w:after="80"/>
      </w:pPr>
    </w:p>
    <w:tbl>
      <w:tblPr>
        <w:tblW w:w="10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5109"/>
        <w:gridCol w:w="1980"/>
        <w:gridCol w:w="1800"/>
      </w:tblGrid>
      <w:tr w:rsidR="00BB1D38" w14:paraId="10E867C4" w14:textId="77777777" w:rsidTr="00D54599">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B3F6B"/>
            <w:tcMar>
              <w:top w:w="80" w:type="dxa"/>
              <w:left w:w="120" w:type="dxa"/>
              <w:bottom w:w="80" w:type="dxa"/>
              <w:right w:w="120" w:type="dxa"/>
            </w:tcMar>
          </w:tcPr>
          <w:p w14:paraId="5FC0F1D5" w14:textId="77777777" w:rsidR="00BB1D38" w:rsidRDefault="00000000">
            <w:r>
              <w:rPr>
                <w:b/>
                <w:bCs/>
                <w:color w:val="FFFFFF"/>
                <w:sz w:val="20"/>
                <w:szCs w:val="20"/>
              </w:rPr>
              <w:t>Their Question</w:t>
            </w:r>
          </w:p>
        </w:tc>
        <w:tc>
          <w:tcPr>
            <w:tcW w:w="5109" w:type="dxa"/>
            <w:tcBorders>
              <w:top w:val="single" w:sz="1" w:space="0" w:color="CCCCCC"/>
              <w:left w:val="single" w:sz="1" w:space="0" w:color="CCCCCC"/>
              <w:bottom w:val="single" w:sz="1" w:space="0" w:color="CCCCCC"/>
              <w:right w:val="single" w:sz="1" w:space="0" w:color="CCCCCC"/>
            </w:tcBorders>
            <w:shd w:val="clear" w:color="auto" w:fill="1B3F6B"/>
            <w:tcMar>
              <w:top w:w="80" w:type="dxa"/>
              <w:left w:w="120" w:type="dxa"/>
              <w:bottom w:w="80" w:type="dxa"/>
              <w:right w:w="120" w:type="dxa"/>
            </w:tcMar>
          </w:tcPr>
          <w:p w14:paraId="080A645B" w14:textId="77777777" w:rsidR="00BB1D38" w:rsidRDefault="00000000">
            <w:r>
              <w:rPr>
                <w:b/>
                <w:bCs/>
                <w:color w:val="FFFFFF"/>
                <w:sz w:val="20"/>
                <w:szCs w:val="20"/>
              </w:rPr>
              <w:t>What It's Really Asking</w:t>
            </w:r>
          </w:p>
        </w:tc>
        <w:tc>
          <w:tcPr>
            <w:tcW w:w="1980" w:type="dxa"/>
            <w:tcBorders>
              <w:top w:val="single" w:sz="1" w:space="0" w:color="CCCCCC"/>
              <w:left w:val="single" w:sz="1" w:space="0" w:color="CCCCCC"/>
              <w:bottom w:val="single" w:sz="1" w:space="0" w:color="CCCCCC"/>
              <w:right w:val="single" w:sz="1" w:space="0" w:color="CCCCCC"/>
            </w:tcBorders>
            <w:shd w:val="clear" w:color="auto" w:fill="1B3F6B"/>
            <w:tcMar>
              <w:top w:w="80" w:type="dxa"/>
              <w:left w:w="120" w:type="dxa"/>
              <w:bottom w:w="80" w:type="dxa"/>
              <w:right w:w="120" w:type="dxa"/>
            </w:tcMar>
          </w:tcPr>
          <w:p w14:paraId="11B8A0B9" w14:textId="77777777" w:rsidR="00BB1D38" w:rsidRDefault="00000000">
            <w:r>
              <w:rPr>
                <w:b/>
                <w:bCs/>
                <w:color w:val="FFFFFF"/>
                <w:sz w:val="20"/>
                <w:szCs w:val="20"/>
              </w:rPr>
              <w:t>AHI Dimension(s)</w:t>
            </w:r>
          </w:p>
        </w:tc>
        <w:tc>
          <w:tcPr>
            <w:tcW w:w="1800" w:type="dxa"/>
            <w:tcBorders>
              <w:top w:val="single" w:sz="1" w:space="0" w:color="CCCCCC"/>
              <w:left w:val="single" w:sz="1" w:space="0" w:color="CCCCCC"/>
              <w:bottom w:val="single" w:sz="1" w:space="0" w:color="CCCCCC"/>
              <w:right w:val="single" w:sz="1" w:space="0" w:color="CCCCCC"/>
            </w:tcBorders>
            <w:shd w:val="clear" w:color="auto" w:fill="1B3F6B"/>
            <w:tcMar>
              <w:top w:w="80" w:type="dxa"/>
              <w:left w:w="120" w:type="dxa"/>
              <w:bottom w:w="80" w:type="dxa"/>
              <w:right w:w="120" w:type="dxa"/>
            </w:tcMar>
          </w:tcPr>
          <w:p w14:paraId="72FA8C61" w14:textId="77777777" w:rsidR="00BB1D38" w:rsidRDefault="00000000">
            <w:r>
              <w:rPr>
                <w:b/>
                <w:bCs/>
                <w:color w:val="FFFFFF"/>
                <w:sz w:val="20"/>
                <w:szCs w:val="20"/>
              </w:rPr>
              <w:t>Weight</w:t>
            </w:r>
          </w:p>
        </w:tc>
      </w:tr>
      <w:tr w:rsidR="00BB1D38" w14:paraId="1733D497" w14:textId="77777777" w:rsidTr="00D54599">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E18DB7" w14:textId="77777777" w:rsidR="00BB1D38" w:rsidRDefault="00000000">
            <w:r>
              <w:rPr>
                <w:color w:val="333333"/>
                <w:sz w:val="20"/>
                <w:szCs w:val="20"/>
              </w:rPr>
              <w:t>What's purchased vs. consumed?</w:t>
            </w:r>
          </w:p>
        </w:tc>
        <w:tc>
          <w:tcPr>
            <w:tcW w:w="51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067234" w14:textId="2E02997E" w:rsidR="00BB1D38" w:rsidRDefault="00000000">
            <w:r>
              <w:rPr>
                <w:color w:val="333333"/>
                <w:sz w:val="20"/>
                <w:szCs w:val="20"/>
              </w:rPr>
              <w:t>Two things must be true simultaneously: customer deployed what they bought AND are consuming it. Neither alone is sufficient — a customer can deploy without consuming, or consume one of five purchased products. This is the core tension of the consumption model transition.</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583519" w14:textId="77777777" w:rsidR="00BB1D38" w:rsidRDefault="00000000">
            <w:r>
              <w:rPr>
                <w:color w:val="333333"/>
                <w:sz w:val="20"/>
                <w:szCs w:val="20"/>
              </w:rPr>
              <w:t>Consumption Health + Deployment Depth</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F9AB77" w14:textId="77777777" w:rsidR="00BB1D38" w:rsidRDefault="00000000">
            <w:r>
              <w:rPr>
                <w:color w:val="333333"/>
                <w:sz w:val="20"/>
                <w:szCs w:val="20"/>
              </w:rPr>
              <w:t>0.25 + 0.25 = 50%</w:t>
            </w:r>
          </w:p>
        </w:tc>
      </w:tr>
      <w:tr w:rsidR="00BB1D38" w14:paraId="20A3B088" w14:textId="77777777" w:rsidTr="00D54599">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3A6F6EF6" w14:textId="77777777" w:rsidR="00BB1D38" w:rsidRDefault="00000000">
            <w:r>
              <w:rPr>
                <w:color w:val="333333"/>
                <w:sz w:val="20"/>
                <w:szCs w:val="20"/>
              </w:rPr>
              <w:t>Technical health (support tickets)?</w:t>
            </w:r>
          </w:p>
        </w:tc>
        <w:tc>
          <w:tcPr>
            <w:tcW w:w="5109"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60009F7E" w14:textId="77777777" w:rsidR="00BB1D38" w:rsidRDefault="00000000">
            <w:r>
              <w:rPr>
                <w:color w:val="333333"/>
                <w:sz w:val="20"/>
                <w:szCs w:val="20"/>
              </w:rPr>
              <w:t>Platform health is a ceiling on account health, not a driver of it. An account with zero tickets is not necessarily thriving, but an account with open P1s is definitively not healthy. High weight would allow a clean support record to mask a shelfware problem.</w:t>
            </w:r>
          </w:p>
        </w:tc>
        <w:tc>
          <w:tcPr>
            <w:tcW w:w="198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12F39398" w14:textId="77777777" w:rsidR="00BB1D38" w:rsidRDefault="00000000">
            <w:r>
              <w:rPr>
                <w:color w:val="333333"/>
                <w:sz w:val="20"/>
                <w:szCs w:val="20"/>
              </w:rPr>
              <w:t>Platform Stability</w:t>
            </w:r>
          </w:p>
        </w:tc>
        <w:tc>
          <w:tcPr>
            <w:tcW w:w="180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2571FA7F" w14:textId="77777777" w:rsidR="00BB1D38" w:rsidRDefault="00000000">
            <w:r>
              <w:rPr>
                <w:color w:val="333333"/>
                <w:sz w:val="20"/>
                <w:szCs w:val="20"/>
              </w:rPr>
              <w:t>0.20 = 20%</w:t>
            </w:r>
          </w:p>
        </w:tc>
      </w:tr>
      <w:tr w:rsidR="00BB1D38" w14:paraId="18A125C2" w14:textId="77777777" w:rsidTr="00D54599">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B81571" w14:textId="77777777" w:rsidR="00BB1D38" w:rsidRDefault="00000000">
            <w:r>
              <w:rPr>
                <w:color w:val="333333"/>
                <w:sz w:val="20"/>
                <w:szCs w:val="20"/>
              </w:rPr>
              <w:t>Overall product platform usage?</w:t>
            </w:r>
          </w:p>
        </w:tc>
        <w:tc>
          <w:tcPr>
            <w:tcW w:w="51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1B6732" w14:textId="34C74F7D" w:rsidR="00BB1D38" w:rsidRDefault="00000000">
            <w:r>
              <w:rPr>
                <w:color w:val="333333"/>
                <w:sz w:val="20"/>
                <w:szCs w:val="20"/>
              </w:rPr>
              <w:t xml:space="preserve">Usage trajectory (are they consuming </w:t>
            </w:r>
            <w:proofErr w:type="gramStart"/>
            <w:r>
              <w:rPr>
                <w:color w:val="333333"/>
                <w:sz w:val="20"/>
                <w:szCs w:val="20"/>
              </w:rPr>
              <w:t>more or less over</w:t>
            </w:r>
            <w:proofErr w:type="gramEnd"/>
            <w:r>
              <w:rPr>
                <w:color w:val="333333"/>
                <w:sz w:val="20"/>
                <w:szCs w:val="20"/>
              </w:rPr>
              <w:t xml:space="preserve"> time?) and contract growth (are they buying more?) together answer whether customer relationship is expanding or contracting. These are forward-looking signals, not point-in-time snapshots.</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52A628" w14:textId="77777777" w:rsidR="00BB1D38" w:rsidRDefault="00000000">
            <w:r>
              <w:rPr>
                <w:color w:val="333333"/>
                <w:sz w:val="20"/>
                <w:szCs w:val="20"/>
              </w:rPr>
              <w:t>Engagement Trend + Contract Expansion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BD20D3" w14:textId="77777777" w:rsidR="00BB1D38" w:rsidRDefault="00000000">
            <w:r>
              <w:rPr>
                <w:color w:val="333333"/>
                <w:sz w:val="20"/>
                <w:szCs w:val="20"/>
              </w:rPr>
              <w:t>0.15 + 0.15 = 30%</w:t>
            </w:r>
          </w:p>
        </w:tc>
      </w:tr>
      <w:tr w:rsidR="00BB1D38" w14:paraId="2AD46C18" w14:textId="77777777" w:rsidTr="00D54599">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7932348D" w14:textId="77777777" w:rsidR="00BB1D38" w:rsidRDefault="00000000">
            <w:r>
              <w:rPr>
                <w:color w:val="333333"/>
                <w:sz w:val="20"/>
                <w:szCs w:val="20"/>
              </w:rPr>
              <w:t>Balance initial contract bookings?</w:t>
            </w:r>
          </w:p>
        </w:tc>
        <w:tc>
          <w:tcPr>
            <w:tcW w:w="5109"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16170474" w14:textId="3A717A7D" w:rsidR="00BB1D38" w:rsidRDefault="00000000">
            <w:r>
              <w:rPr>
                <w:color w:val="333333"/>
                <w:sz w:val="20"/>
                <w:szCs w:val="20"/>
              </w:rPr>
              <w:t>The brief requires preserving the bookings growth signal from existing TCV model. Zero weight would remove CSM incentive to expand accounts. Too much weight rebuilds TCV with extra steps. 15% is the minimum meaningful signal — a 50% ARR expansion moves AHI by ~5 points. Noticeable, not gameable.</w:t>
            </w:r>
          </w:p>
        </w:tc>
        <w:tc>
          <w:tcPr>
            <w:tcW w:w="198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0C1299F4" w14:textId="77777777" w:rsidR="00BB1D38" w:rsidRDefault="00000000">
            <w:r>
              <w:rPr>
                <w:color w:val="333333"/>
                <w:sz w:val="20"/>
                <w:szCs w:val="20"/>
              </w:rPr>
              <w:t>Contract Expansion</w:t>
            </w:r>
          </w:p>
        </w:tc>
        <w:tc>
          <w:tcPr>
            <w:tcW w:w="180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40A8E7E1" w14:textId="77777777" w:rsidR="00BB1D38" w:rsidRDefault="00000000">
            <w:r>
              <w:rPr>
                <w:color w:val="333333"/>
                <w:sz w:val="20"/>
                <w:szCs w:val="20"/>
              </w:rPr>
              <w:t>0.15 = 15%</w:t>
            </w:r>
          </w:p>
        </w:tc>
      </w:tr>
    </w:tbl>
    <w:p w14:paraId="3243A7E4" w14:textId="77777777" w:rsidR="00BB1D38" w:rsidRDefault="00BB1D38">
      <w:pPr>
        <w:spacing w:before="120" w:after="80"/>
      </w:pPr>
    </w:p>
    <w:p w14:paraId="688CA121" w14:textId="77777777" w:rsidR="00BB1D38" w:rsidRDefault="00000000">
      <w:pPr>
        <w:spacing w:before="60" w:after="100"/>
      </w:pPr>
      <w:r>
        <w:rPr>
          <w:color w:val="333333"/>
        </w:rPr>
        <w:t>One-sentence rationale for each dimension in executive discussion:</w:t>
      </w:r>
    </w:p>
    <w:p w14:paraId="760E5DE1" w14:textId="77777777" w:rsidR="00BB1D38" w:rsidRDefault="00000000">
      <w:pPr>
        <w:pStyle w:val="ListParagraph"/>
        <w:numPr>
          <w:ilvl w:val="0"/>
          <w:numId w:val="2"/>
        </w:numPr>
        <w:spacing w:before="40" w:after="40"/>
      </w:pPr>
      <w:r>
        <w:rPr>
          <w:color w:val="333333"/>
        </w:rPr>
        <w:t>Consumption Health (0.25) — Are they using what they paid for?</w:t>
      </w:r>
    </w:p>
    <w:p w14:paraId="20347A59" w14:textId="77777777" w:rsidR="00BB1D38" w:rsidRDefault="00000000">
      <w:pPr>
        <w:pStyle w:val="ListParagraph"/>
        <w:numPr>
          <w:ilvl w:val="0"/>
          <w:numId w:val="2"/>
        </w:numPr>
        <w:spacing w:before="40" w:after="40"/>
      </w:pPr>
      <w:r>
        <w:rPr>
          <w:color w:val="333333"/>
        </w:rPr>
        <w:t>Deployment Depth (0.25) — Have they even turned it on?</w:t>
      </w:r>
    </w:p>
    <w:p w14:paraId="18467AAE" w14:textId="77777777" w:rsidR="00BB1D38" w:rsidRDefault="00000000">
      <w:pPr>
        <w:pStyle w:val="ListParagraph"/>
        <w:numPr>
          <w:ilvl w:val="0"/>
          <w:numId w:val="2"/>
        </w:numPr>
        <w:spacing w:before="40" w:after="40"/>
      </w:pPr>
      <w:r>
        <w:rPr>
          <w:color w:val="333333"/>
        </w:rPr>
        <w:t>Platform Stability (0.20) — Is the technical experience clean?</w:t>
      </w:r>
    </w:p>
    <w:p w14:paraId="62DD3096" w14:textId="77777777" w:rsidR="00BB1D38" w:rsidRDefault="00000000">
      <w:pPr>
        <w:pStyle w:val="ListParagraph"/>
        <w:numPr>
          <w:ilvl w:val="0"/>
          <w:numId w:val="2"/>
        </w:numPr>
        <w:spacing w:before="40" w:after="40"/>
      </w:pPr>
      <w:r>
        <w:rPr>
          <w:color w:val="333333"/>
        </w:rPr>
        <w:t>Contract Expansion (0.15) — Is the relationship growing?</w:t>
      </w:r>
    </w:p>
    <w:p w14:paraId="5A9DE05A" w14:textId="77777777" w:rsidR="00BB1D38" w:rsidRDefault="00000000">
      <w:pPr>
        <w:pStyle w:val="ListParagraph"/>
        <w:numPr>
          <w:ilvl w:val="0"/>
          <w:numId w:val="2"/>
        </w:numPr>
        <w:spacing w:before="40" w:after="40"/>
      </w:pPr>
      <w:r>
        <w:rPr>
          <w:color w:val="333333"/>
        </w:rPr>
        <w:t>Engagement Trend (0.15) — Is usage trending up or down?</w:t>
      </w:r>
    </w:p>
    <w:p w14:paraId="75B4D22E" w14:textId="77777777" w:rsidR="00BB1D38" w:rsidRDefault="00BB1D38">
      <w:pPr>
        <w:spacing w:before="80" w:after="80"/>
      </w:pPr>
    </w:p>
    <w:p w14:paraId="34F027B9" w14:textId="77777777" w:rsidR="00BB1D38" w:rsidRDefault="00000000">
      <w:pPr>
        <w:spacing w:before="60" w:after="100"/>
      </w:pPr>
      <w:r>
        <w:rPr>
          <w:color w:val="333333"/>
        </w:rPr>
        <w:t>Together these five dimensions answer every component of the GCS key business question with no dimension double-counted and no part of the brief left unaddressed.</w:t>
      </w:r>
    </w:p>
    <w:p w14:paraId="7C30A52B" w14:textId="77777777" w:rsidR="00BB1D38" w:rsidRDefault="00000000">
      <w:pPr>
        <w:pStyle w:val="Heading2"/>
      </w:pPr>
      <w:r>
        <w:rPr>
          <w:color w:val="1B3F6B"/>
        </w:rPr>
        <w:t>5.4 Health Status Classification</w:t>
      </w:r>
    </w:p>
    <w:p w14:paraId="713D4EF7" w14:textId="77777777" w:rsidR="00BB1D38" w:rsidRDefault="00000000">
      <w:pPr>
        <w:spacing w:before="60" w:after="100"/>
      </w:pPr>
      <w:r>
        <w:rPr>
          <w:color w:val="333333"/>
        </w:rPr>
        <w:t>AHI answers two questions simultaneously: what is the health of this account right now, and what does good look like? The following classification table translates a raw AHI score into an actionable status label, a plain-language interpretation, and a prescribed CSM response.</w:t>
      </w:r>
    </w:p>
    <w:p w14:paraId="580B4C98" w14:textId="77777777" w:rsidR="00BB1D38" w:rsidRDefault="00000000">
      <w:pPr>
        <w:spacing w:before="60" w:after="100"/>
      </w:pPr>
      <w:r>
        <w:rPr>
          <w:color w:val="333333"/>
        </w:rPr>
        <w:t>Good = AHI ≥ 80. An account is considered healthy when it has deployed its purchased products, is consuming credits sustainably, maintains a clean support record, shows contract growth, and has stable or rising usage over the trailing 120 days.</w:t>
      </w:r>
    </w:p>
    <w:p w14:paraId="44864E97" w14:textId="77777777" w:rsidR="00BB1D38" w:rsidRDefault="00BB1D38">
      <w:pPr>
        <w:spacing w:before="100" w:after="80"/>
      </w:pPr>
    </w:p>
    <w:tbl>
      <w:tblPr>
        <w:tblW w:w="109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7"/>
        <w:gridCol w:w="1052"/>
        <w:gridCol w:w="4160"/>
        <w:gridCol w:w="1530"/>
        <w:gridCol w:w="3150"/>
      </w:tblGrid>
      <w:tr w:rsidR="00BB1D38" w14:paraId="1F9A230F" w14:textId="77777777" w:rsidTr="00D54599">
        <w:tblPrEx>
          <w:tblCellMar>
            <w:top w:w="0" w:type="dxa"/>
            <w:bottom w:w="0" w:type="dxa"/>
          </w:tblCellMar>
        </w:tblPrEx>
        <w:trPr>
          <w:tblHeader/>
        </w:trPr>
        <w:tc>
          <w:tcPr>
            <w:tcW w:w="1087" w:type="dxa"/>
            <w:tcBorders>
              <w:top w:val="single" w:sz="1" w:space="0" w:color="CCCCCC"/>
              <w:left w:val="single" w:sz="1" w:space="0" w:color="CCCCCC"/>
              <w:bottom w:val="single" w:sz="1" w:space="0" w:color="CCCCCC"/>
              <w:right w:val="single" w:sz="1" w:space="0" w:color="CCCCCC"/>
            </w:tcBorders>
            <w:shd w:val="clear" w:color="auto" w:fill="1B3F6B"/>
            <w:tcMar>
              <w:top w:w="80" w:type="dxa"/>
              <w:left w:w="120" w:type="dxa"/>
              <w:bottom w:w="80" w:type="dxa"/>
              <w:right w:w="120" w:type="dxa"/>
            </w:tcMar>
          </w:tcPr>
          <w:p w14:paraId="6F81DBDB" w14:textId="77777777" w:rsidR="00BB1D38" w:rsidRDefault="00000000">
            <w:r>
              <w:rPr>
                <w:b/>
                <w:bCs/>
                <w:color w:val="FFFFFF"/>
                <w:sz w:val="20"/>
                <w:szCs w:val="20"/>
              </w:rPr>
              <w:lastRenderedPageBreak/>
              <w:t>AHI Score</w:t>
            </w:r>
          </w:p>
        </w:tc>
        <w:tc>
          <w:tcPr>
            <w:tcW w:w="1052" w:type="dxa"/>
            <w:tcBorders>
              <w:top w:val="single" w:sz="1" w:space="0" w:color="CCCCCC"/>
              <w:left w:val="single" w:sz="1" w:space="0" w:color="CCCCCC"/>
              <w:bottom w:val="single" w:sz="1" w:space="0" w:color="CCCCCC"/>
              <w:right w:val="single" w:sz="1" w:space="0" w:color="CCCCCC"/>
            </w:tcBorders>
            <w:shd w:val="clear" w:color="auto" w:fill="1B3F6B"/>
            <w:tcMar>
              <w:top w:w="80" w:type="dxa"/>
              <w:left w:w="120" w:type="dxa"/>
              <w:bottom w:w="80" w:type="dxa"/>
              <w:right w:w="120" w:type="dxa"/>
            </w:tcMar>
          </w:tcPr>
          <w:p w14:paraId="63DC5B11" w14:textId="77777777" w:rsidR="00BB1D38" w:rsidRDefault="00000000">
            <w:r>
              <w:rPr>
                <w:b/>
                <w:bCs/>
                <w:color w:val="FFFFFF"/>
                <w:sz w:val="20"/>
                <w:szCs w:val="20"/>
              </w:rPr>
              <w:t>Status</w:t>
            </w:r>
          </w:p>
        </w:tc>
        <w:tc>
          <w:tcPr>
            <w:tcW w:w="4160" w:type="dxa"/>
            <w:tcBorders>
              <w:top w:val="single" w:sz="1" w:space="0" w:color="CCCCCC"/>
              <w:left w:val="single" w:sz="1" w:space="0" w:color="CCCCCC"/>
              <w:bottom w:val="single" w:sz="1" w:space="0" w:color="CCCCCC"/>
              <w:right w:val="single" w:sz="1" w:space="0" w:color="CCCCCC"/>
            </w:tcBorders>
            <w:shd w:val="clear" w:color="auto" w:fill="1B3F6B"/>
            <w:tcMar>
              <w:top w:w="80" w:type="dxa"/>
              <w:left w:w="120" w:type="dxa"/>
              <w:bottom w:w="80" w:type="dxa"/>
              <w:right w:w="120" w:type="dxa"/>
            </w:tcMar>
          </w:tcPr>
          <w:p w14:paraId="179E746B" w14:textId="77777777" w:rsidR="00BB1D38" w:rsidRDefault="00000000">
            <w:r>
              <w:rPr>
                <w:b/>
                <w:bCs/>
                <w:color w:val="FFFFFF"/>
                <w:sz w:val="20"/>
                <w:szCs w:val="20"/>
              </w:rPr>
              <w:t>What it means</w:t>
            </w:r>
          </w:p>
        </w:tc>
        <w:tc>
          <w:tcPr>
            <w:tcW w:w="1530" w:type="dxa"/>
            <w:tcBorders>
              <w:top w:val="single" w:sz="1" w:space="0" w:color="CCCCCC"/>
              <w:left w:val="single" w:sz="1" w:space="0" w:color="CCCCCC"/>
              <w:bottom w:val="single" w:sz="1" w:space="0" w:color="CCCCCC"/>
              <w:right w:val="single" w:sz="1" w:space="0" w:color="CCCCCC"/>
            </w:tcBorders>
            <w:shd w:val="clear" w:color="auto" w:fill="1B3F6B"/>
            <w:tcMar>
              <w:top w:w="80" w:type="dxa"/>
              <w:left w:w="120" w:type="dxa"/>
              <w:bottom w:w="80" w:type="dxa"/>
              <w:right w:w="120" w:type="dxa"/>
            </w:tcMar>
          </w:tcPr>
          <w:p w14:paraId="34E4ED29" w14:textId="77777777" w:rsidR="00BB1D38" w:rsidRDefault="00000000">
            <w:r>
              <w:rPr>
                <w:b/>
                <w:bCs/>
                <w:color w:val="FFFFFF"/>
                <w:sz w:val="20"/>
                <w:szCs w:val="20"/>
              </w:rPr>
              <w:t>Renewal Risk</w:t>
            </w:r>
          </w:p>
        </w:tc>
        <w:tc>
          <w:tcPr>
            <w:tcW w:w="3150" w:type="dxa"/>
            <w:tcBorders>
              <w:top w:val="single" w:sz="1" w:space="0" w:color="CCCCCC"/>
              <w:left w:val="single" w:sz="1" w:space="0" w:color="CCCCCC"/>
              <w:bottom w:val="single" w:sz="1" w:space="0" w:color="CCCCCC"/>
              <w:right w:val="single" w:sz="1" w:space="0" w:color="CCCCCC"/>
            </w:tcBorders>
            <w:shd w:val="clear" w:color="auto" w:fill="1B3F6B"/>
            <w:tcMar>
              <w:top w:w="80" w:type="dxa"/>
              <w:left w:w="120" w:type="dxa"/>
              <w:bottom w:w="80" w:type="dxa"/>
              <w:right w:w="120" w:type="dxa"/>
            </w:tcMar>
          </w:tcPr>
          <w:p w14:paraId="4D6B11E3" w14:textId="77777777" w:rsidR="00BB1D38" w:rsidRDefault="00000000">
            <w:r>
              <w:rPr>
                <w:b/>
                <w:bCs/>
                <w:color w:val="FFFFFF"/>
                <w:sz w:val="20"/>
                <w:szCs w:val="20"/>
              </w:rPr>
              <w:t>CSM Action</w:t>
            </w:r>
          </w:p>
        </w:tc>
      </w:tr>
      <w:tr w:rsidR="00BB1D38" w14:paraId="5B4573E6" w14:textId="77777777" w:rsidTr="00D54599">
        <w:tblPrEx>
          <w:tblCellMar>
            <w:top w:w="0" w:type="dxa"/>
            <w:bottom w:w="0" w:type="dxa"/>
          </w:tblCellMar>
        </w:tblPrEx>
        <w:tc>
          <w:tcPr>
            <w:tcW w:w="10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3FB802" w14:textId="77777777" w:rsidR="00BB1D38" w:rsidRDefault="00000000">
            <w:r>
              <w:rPr>
                <w:color w:val="333333"/>
                <w:sz w:val="20"/>
                <w:szCs w:val="20"/>
              </w:rPr>
              <w:t>80 – 100</w:t>
            </w:r>
          </w:p>
        </w:tc>
        <w:tc>
          <w:tcPr>
            <w:tcW w:w="10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832274" w14:textId="77777777" w:rsidR="00BB1D38" w:rsidRDefault="00000000">
            <w:r>
              <w:rPr>
                <w:color w:val="333333"/>
                <w:sz w:val="20"/>
                <w:szCs w:val="20"/>
              </w:rPr>
              <w:t>Healthy</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CDB466" w14:textId="77777777" w:rsidR="00BB1D38" w:rsidRDefault="00000000">
            <w:r>
              <w:rPr>
                <w:color w:val="333333"/>
                <w:sz w:val="20"/>
                <w:szCs w:val="20"/>
              </w:rPr>
              <w:t>Deployed, consuming, growing, and technically stable. All five dimensions performing at or near target.</w:t>
            </w:r>
          </w:p>
        </w:tc>
        <w:tc>
          <w:tcPr>
            <w:tcW w:w="15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8E9B58" w14:textId="77777777" w:rsidR="00BB1D38" w:rsidRDefault="00000000">
            <w:r>
              <w:rPr>
                <w:color w:val="333333"/>
                <w:sz w:val="20"/>
                <w:szCs w:val="20"/>
              </w:rPr>
              <w:t>Low</w:t>
            </w:r>
          </w:p>
        </w:tc>
        <w:tc>
          <w:tcPr>
            <w:tcW w:w="31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EA8D8E" w14:textId="77777777" w:rsidR="00BB1D38" w:rsidRDefault="00000000">
            <w:r>
              <w:rPr>
                <w:color w:val="333333"/>
                <w:sz w:val="20"/>
                <w:szCs w:val="20"/>
              </w:rPr>
              <w:t>Maintain engagement cadence. Identify upsell and expansion signals proactively.</w:t>
            </w:r>
          </w:p>
        </w:tc>
      </w:tr>
      <w:tr w:rsidR="00BB1D38" w14:paraId="3D41A168" w14:textId="77777777" w:rsidTr="00D54599">
        <w:tblPrEx>
          <w:tblCellMar>
            <w:top w:w="0" w:type="dxa"/>
            <w:bottom w:w="0" w:type="dxa"/>
          </w:tblCellMar>
        </w:tblPrEx>
        <w:tc>
          <w:tcPr>
            <w:tcW w:w="1087"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127C2D4D" w14:textId="77777777" w:rsidR="00BB1D38" w:rsidRDefault="00000000">
            <w:r>
              <w:rPr>
                <w:color w:val="333333"/>
                <w:sz w:val="20"/>
                <w:szCs w:val="20"/>
              </w:rPr>
              <w:t>65 – 79</w:t>
            </w:r>
          </w:p>
        </w:tc>
        <w:tc>
          <w:tcPr>
            <w:tcW w:w="1052"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40E2A848" w14:textId="77777777" w:rsidR="00BB1D38" w:rsidRDefault="00000000">
            <w:r>
              <w:rPr>
                <w:color w:val="333333"/>
                <w:sz w:val="20"/>
                <w:szCs w:val="20"/>
              </w:rPr>
              <w:t>Monitor</w:t>
            </w:r>
          </w:p>
        </w:tc>
        <w:tc>
          <w:tcPr>
            <w:tcW w:w="416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525EACAB" w14:textId="77777777" w:rsidR="00BB1D38" w:rsidRDefault="00000000">
            <w:r>
              <w:rPr>
                <w:color w:val="333333"/>
                <w:sz w:val="20"/>
                <w:szCs w:val="20"/>
              </w:rPr>
              <w:t xml:space="preserve">One or two dimensions </w:t>
            </w:r>
            <w:proofErr w:type="gramStart"/>
            <w:r>
              <w:rPr>
                <w:color w:val="333333"/>
                <w:sz w:val="20"/>
                <w:szCs w:val="20"/>
              </w:rPr>
              <w:t>lagging behind</w:t>
            </w:r>
            <w:proofErr w:type="gramEnd"/>
            <w:r>
              <w:rPr>
                <w:color w:val="333333"/>
                <w:sz w:val="20"/>
                <w:szCs w:val="20"/>
              </w:rPr>
              <w:t xml:space="preserve"> target. Account is functional but showing early warning signs.</w:t>
            </w:r>
          </w:p>
        </w:tc>
        <w:tc>
          <w:tcPr>
            <w:tcW w:w="153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15130626" w14:textId="77777777" w:rsidR="00BB1D38" w:rsidRDefault="00000000">
            <w:r>
              <w:rPr>
                <w:color w:val="333333"/>
                <w:sz w:val="20"/>
                <w:szCs w:val="20"/>
              </w:rPr>
              <w:t>Moderate</w:t>
            </w:r>
          </w:p>
        </w:tc>
        <w:tc>
          <w:tcPr>
            <w:tcW w:w="315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15DF941C" w14:textId="77777777" w:rsidR="00BB1D38" w:rsidRDefault="00000000">
            <w:r>
              <w:rPr>
                <w:color w:val="333333"/>
                <w:sz w:val="20"/>
                <w:szCs w:val="20"/>
              </w:rPr>
              <w:t>Diagnose which dimension is dragging. Schedule 30-day targeted check-in with customer.</w:t>
            </w:r>
          </w:p>
        </w:tc>
      </w:tr>
      <w:tr w:rsidR="00BB1D38" w14:paraId="0966E878" w14:textId="77777777" w:rsidTr="00D54599">
        <w:tblPrEx>
          <w:tblCellMar>
            <w:top w:w="0" w:type="dxa"/>
            <w:bottom w:w="0" w:type="dxa"/>
          </w:tblCellMar>
        </w:tblPrEx>
        <w:tc>
          <w:tcPr>
            <w:tcW w:w="10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9E534" w14:textId="77777777" w:rsidR="00BB1D38" w:rsidRDefault="00000000">
            <w:r>
              <w:rPr>
                <w:color w:val="333333"/>
                <w:sz w:val="20"/>
                <w:szCs w:val="20"/>
              </w:rPr>
              <w:t>50 – 64</w:t>
            </w:r>
          </w:p>
        </w:tc>
        <w:tc>
          <w:tcPr>
            <w:tcW w:w="10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3ACE3C" w14:textId="77777777" w:rsidR="00BB1D38" w:rsidRDefault="00000000">
            <w:r>
              <w:rPr>
                <w:color w:val="333333"/>
                <w:sz w:val="20"/>
                <w:szCs w:val="20"/>
              </w:rPr>
              <w:t>At Risk</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06C58B" w14:textId="77777777" w:rsidR="00BB1D38" w:rsidRDefault="00000000">
            <w:r>
              <w:rPr>
                <w:color w:val="333333"/>
                <w:sz w:val="20"/>
                <w:szCs w:val="20"/>
              </w:rPr>
              <w:t>Multiple dimensions underperforming. Churn signal is present. Customer may be disengaging or underutilizing.</w:t>
            </w:r>
          </w:p>
        </w:tc>
        <w:tc>
          <w:tcPr>
            <w:tcW w:w="15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D50EA2" w14:textId="77777777" w:rsidR="00BB1D38" w:rsidRDefault="00000000">
            <w:r>
              <w:rPr>
                <w:color w:val="333333"/>
                <w:sz w:val="20"/>
                <w:szCs w:val="20"/>
              </w:rPr>
              <w:t>High</w:t>
            </w:r>
          </w:p>
        </w:tc>
        <w:tc>
          <w:tcPr>
            <w:tcW w:w="31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9F2BFA" w14:textId="77777777" w:rsidR="00BB1D38" w:rsidRDefault="00000000">
            <w:r>
              <w:rPr>
                <w:color w:val="333333"/>
                <w:sz w:val="20"/>
                <w:szCs w:val="20"/>
              </w:rPr>
              <w:t>Escalate to CSM manager. Build a 60-day recovery plan with specific deployment or consumption targets.</w:t>
            </w:r>
          </w:p>
        </w:tc>
      </w:tr>
      <w:tr w:rsidR="00BB1D38" w14:paraId="409EB0EC" w14:textId="77777777" w:rsidTr="00D54599">
        <w:tblPrEx>
          <w:tblCellMar>
            <w:top w:w="0" w:type="dxa"/>
            <w:bottom w:w="0" w:type="dxa"/>
          </w:tblCellMar>
        </w:tblPrEx>
        <w:tc>
          <w:tcPr>
            <w:tcW w:w="1087"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4BF1047B" w14:textId="77777777" w:rsidR="00BB1D38" w:rsidRDefault="00000000">
            <w:r>
              <w:rPr>
                <w:color w:val="333333"/>
                <w:sz w:val="20"/>
                <w:szCs w:val="20"/>
              </w:rPr>
              <w:t>35 – 49</w:t>
            </w:r>
          </w:p>
        </w:tc>
        <w:tc>
          <w:tcPr>
            <w:tcW w:w="1052"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7845C80F" w14:textId="77777777" w:rsidR="00BB1D38" w:rsidRDefault="00000000">
            <w:r>
              <w:rPr>
                <w:color w:val="333333"/>
                <w:sz w:val="20"/>
                <w:szCs w:val="20"/>
              </w:rPr>
              <w:t>Critical</w:t>
            </w:r>
          </w:p>
        </w:tc>
        <w:tc>
          <w:tcPr>
            <w:tcW w:w="416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2818DE70" w14:textId="77777777" w:rsidR="00BB1D38" w:rsidRDefault="00000000">
            <w:r>
              <w:rPr>
                <w:color w:val="333333"/>
                <w:sz w:val="20"/>
                <w:szCs w:val="20"/>
              </w:rPr>
              <w:t>Severe gaps across deployment, consumption, or stability. Account shows signs of active disengagement.</w:t>
            </w:r>
          </w:p>
        </w:tc>
        <w:tc>
          <w:tcPr>
            <w:tcW w:w="153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5D1A333F" w14:textId="77777777" w:rsidR="00BB1D38" w:rsidRDefault="00000000">
            <w:r>
              <w:rPr>
                <w:color w:val="333333"/>
                <w:sz w:val="20"/>
                <w:szCs w:val="20"/>
              </w:rPr>
              <w:t>Very High</w:t>
            </w:r>
          </w:p>
        </w:tc>
        <w:tc>
          <w:tcPr>
            <w:tcW w:w="315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512CD971" w14:textId="77777777" w:rsidR="00BB1D38" w:rsidRDefault="00000000">
            <w:r>
              <w:rPr>
                <w:color w:val="333333"/>
                <w:sz w:val="20"/>
                <w:szCs w:val="20"/>
              </w:rPr>
              <w:t>Engage executive sponsor. Initiate 2-week intervention cadence. Flag for at-risk review in QBR.</w:t>
            </w:r>
          </w:p>
        </w:tc>
      </w:tr>
      <w:tr w:rsidR="00BB1D38" w14:paraId="31A45ABF" w14:textId="77777777" w:rsidTr="00D54599">
        <w:tblPrEx>
          <w:tblCellMar>
            <w:top w:w="0" w:type="dxa"/>
            <w:bottom w:w="0" w:type="dxa"/>
          </w:tblCellMar>
        </w:tblPrEx>
        <w:tc>
          <w:tcPr>
            <w:tcW w:w="10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624A7" w14:textId="77777777" w:rsidR="00BB1D38" w:rsidRDefault="00000000">
            <w:r>
              <w:rPr>
                <w:color w:val="333333"/>
                <w:sz w:val="20"/>
                <w:szCs w:val="20"/>
              </w:rPr>
              <w:t>Below 35</w:t>
            </w:r>
          </w:p>
        </w:tc>
        <w:tc>
          <w:tcPr>
            <w:tcW w:w="10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E8E91E" w14:textId="77777777" w:rsidR="00BB1D38" w:rsidRDefault="00000000">
            <w:r>
              <w:rPr>
                <w:color w:val="333333"/>
                <w:sz w:val="20"/>
                <w:szCs w:val="20"/>
              </w:rPr>
              <w:t>Churning</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44048F" w14:textId="77777777" w:rsidR="00BB1D38" w:rsidRDefault="00000000">
            <w:r>
              <w:rPr>
                <w:color w:val="333333"/>
                <w:sz w:val="20"/>
                <w:szCs w:val="20"/>
              </w:rPr>
              <w:t>Near-zero health across most dimensions. Likely shelfware, spike-and-drop, or product abandonment.</w:t>
            </w:r>
          </w:p>
        </w:tc>
        <w:tc>
          <w:tcPr>
            <w:tcW w:w="15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6FA190" w14:textId="77777777" w:rsidR="00BB1D38" w:rsidRDefault="00000000">
            <w:r>
              <w:rPr>
                <w:color w:val="333333"/>
                <w:sz w:val="20"/>
                <w:szCs w:val="20"/>
              </w:rPr>
              <w:t>Imminent</w:t>
            </w:r>
          </w:p>
        </w:tc>
        <w:tc>
          <w:tcPr>
            <w:tcW w:w="31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95F352" w14:textId="77777777" w:rsidR="00BB1D38" w:rsidRDefault="00000000">
            <w:r>
              <w:rPr>
                <w:color w:val="333333"/>
                <w:sz w:val="20"/>
                <w:szCs w:val="20"/>
              </w:rPr>
              <w:t>Immediate escalation to VP CS. Potential contract restructure or save conversation required.</w:t>
            </w:r>
          </w:p>
        </w:tc>
      </w:tr>
    </w:tbl>
    <w:p w14:paraId="093A0F95" w14:textId="77777777" w:rsidR="00BB1D38" w:rsidRDefault="00BB1D38">
      <w:pPr>
        <w:spacing w:before="120" w:after="80"/>
      </w:pPr>
    </w:p>
    <w:p w14:paraId="1F588612" w14:textId="77777777" w:rsidR="00D54599" w:rsidRDefault="00000000">
      <w:pPr>
        <w:spacing w:before="60" w:after="100"/>
        <w:rPr>
          <w:color w:val="333333"/>
        </w:rPr>
      </w:pPr>
      <w:r>
        <w:rPr>
          <w:color w:val="333333"/>
        </w:rPr>
        <w:t xml:space="preserve">Status labels are surfaced in the AHI dashboard as color-coded indicators: </w:t>
      </w:r>
    </w:p>
    <w:p w14:paraId="434FFA00" w14:textId="77777777" w:rsidR="00D54599" w:rsidRPr="00D54599" w:rsidRDefault="00000000" w:rsidP="00D54599">
      <w:pPr>
        <w:pStyle w:val="ListParagraph"/>
        <w:numPr>
          <w:ilvl w:val="0"/>
          <w:numId w:val="6"/>
        </w:numPr>
        <w:spacing w:before="60" w:after="100"/>
        <w:rPr>
          <w:color w:val="333333"/>
        </w:rPr>
      </w:pPr>
      <w:r w:rsidRPr="00D54599">
        <w:rPr>
          <w:color w:val="333333"/>
        </w:rPr>
        <w:t>Healthy (green)</w:t>
      </w:r>
    </w:p>
    <w:p w14:paraId="40B423E3" w14:textId="77777777" w:rsidR="00D54599" w:rsidRPr="00D54599" w:rsidRDefault="00000000" w:rsidP="00D54599">
      <w:pPr>
        <w:pStyle w:val="ListParagraph"/>
        <w:numPr>
          <w:ilvl w:val="0"/>
          <w:numId w:val="6"/>
        </w:numPr>
        <w:spacing w:before="60" w:after="100"/>
        <w:rPr>
          <w:color w:val="333333"/>
        </w:rPr>
      </w:pPr>
      <w:r w:rsidRPr="00D54599">
        <w:rPr>
          <w:color w:val="333333"/>
        </w:rPr>
        <w:t>Monitor (yellow)</w:t>
      </w:r>
    </w:p>
    <w:p w14:paraId="121821B3" w14:textId="77777777" w:rsidR="00D54599" w:rsidRDefault="00000000" w:rsidP="00D54599">
      <w:pPr>
        <w:pStyle w:val="ListParagraph"/>
        <w:numPr>
          <w:ilvl w:val="0"/>
          <w:numId w:val="6"/>
        </w:numPr>
        <w:spacing w:before="60" w:after="100"/>
        <w:rPr>
          <w:color w:val="333333"/>
        </w:rPr>
      </w:pPr>
      <w:r w:rsidRPr="00D54599">
        <w:rPr>
          <w:color w:val="333333"/>
        </w:rPr>
        <w:t>At Risk (amber)</w:t>
      </w:r>
    </w:p>
    <w:p w14:paraId="1C51DF0C" w14:textId="0E55F156" w:rsidR="00D54599" w:rsidRPr="00D54599" w:rsidRDefault="00000000" w:rsidP="00D54599">
      <w:pPr>
        <w:pStyle w:val="ListParagraph"/>
        <w:numPr>
          <w:ilvl w:val="0"/>
          <w:numId w:val="6"/>
        </w:numPr>
        <w:spacing w:before="60" w:after="100"/>
        <w:rPr>
          <w:color w:val="333333"/>
        </w:rPr>
      </w:pPr>
      <w:r w:rsidRPr="00D54599">
        <w:rPr>
          <w:color w:val="333333"/>
        </w:rPr>
        <w:t>Critical (red)</w:t>
      </w:r>
    </w:p>
    <w:p w14:paraId="289FF61A" w14:textId="66BBB0C1" w:rsidR="00D54599" w:rsidRPr="00D54599" w:rsidRDefault="00000000" w:rsidP="00D54599">
      <w:pPr>
        <w:pStyle w:val="ListParagraph"/>
        <w:numPr>
          <w:ilvl w:val="0"/>
          <w:numId w:val="6"/>
        </w:numPr>
        <w:spacing w:before="60" w:after="100"/>
        <w:rPr>
          <w:color w:val="333333"/>
        </w:rPr>
      </w:pPr>
      <w:r w:rsidRPr="00D54599">
        <w:rPr>
          <w:color w:val="333333"/>
        </w:rPr>
        <w:t>Churning (dark red)</w:t>
      </w:r>
    </w:p>
    <w:p w14:paraId="70E6376B" w14:textId="77777777" w:rsidR="00D54599" w:rsidRDefault="00D54599">
      <w:pPr>
        <w:spacing w:before="60" w:after="100"/>
        <w:rPr>
          <w:color w:val="333333"/>
        </w:rPr>
      </w:pPr>
    </w:p>
    <w:p w14:paraId="13747177" w14:textId="1BB103A9" w:rsidR="00BB1D38" w:rsidRDefault="00000000">
      <w:pPr>
        <w:spacing w:before="60" w:after="100"/>
        <w:rPr>
          <w:color w:val="333333"/>
        </w:rPr>
      </w:pPr>
      <w:r>
        <w:rPr>
          <w:color w:val="333333"/>
        </w:rPr>
        <w:t>CSMs see their full book of business ranked by status, with accounts in Critical and Churning states pinned to the top of the view.</w:t>
      </w:r>
    </w:p>
    <w:p w14:paraId="7A02454B" w14:textId="77777777" w:rsidR="00D54599" w:rsidRDefault="00D54599">
      <w:pPr>
        <w:spacing w:before="60" w:after="100"/>
      </w:pPr>
    </w:p>
    <w:p w14:paraId="7531ADC1" w14:textId="77777777" w:rsidR="00BB1D38" w:rsidRDefault="00000000">
      <w:pPr>
        <w:spacing w:before="60" w:after="100"/>
      </w:pPr>
      <w:r>
        <w:rPr>
          <w:color w:val="333333"/>
        </w:rPr>
        <w:t>Predictive validity target: after the 90-day shadow period, AHI status should correlate with actual renewal outcomes at ≥70% accuracy. If Monitor-status accounts renew at the same rate as Healthy accounts, the 65-point threshold should be recalibrated upward.</w:t>
      </w:r>
    </w:p>
    <w:p w14:paraId="0DE3C8EA" w14:textId="77777777" w:rsidR="00BB1D38" w:rsidRDefault="00BB1D38">
      <w:pPr>
        <w:spacing w:before="120" w:after="80"/>
      </w:pPr>
    </w:p>
    <w:p w14:paraId="769F7FF6" w14:textId="77777777" w:rsidR="00BB1D38" w:rsidRDefault="00000000">
      <w:pPr>
        <w:spacing w:before="200" w:after="60"/>
      </w:pPr>
      <w:r>
        <w:rPr>
          <w:b/>
          <w:bCs/>
          <w:color w:val="333333"/>
          <w:sz w:val="24"/>
          <w:szCs w:val="24"/>
        </w:rPr>
        <w:t>Why 80 is the Healthy threshold — grounded in PAN’s own data</w:t>
      </w:r>
    </w:p>
    <w:p w14:paraId="081FD1CF" w14:textId="442938B8" w:rsidR="00BB1D38" w:rsidRDefault="00000000" w:rsidP="00D54599">
      <w:pPr>
        <w:spacing w:before="60" w:after="100"/>
      </w:pPr>
      <w:r>
        <w:rPr>
          <w:color w:val="333333"/>
        </w:rPr>
        <w:t>The 80-point Healthy threshold is not an arbitrary round number. It is calibrated to match the behavioral profile of PAN’s highest-retention customer segment, as reported in public earnings disclosures.</w:t>
      </w:r>
    </w:p>
    <w:tbl>
      <w:tblPr>
        <w:tblW w:w="109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29"/>
        <w:gridCol w:w="2340"/>
        <w:gridCol w:w="5310"/>
      </w:tblGrid>
      <w:tr w:rsidR="00BB1D38" w14:paraId="77088883" w14:textId="77777777" w:rsidTr="00D54599">
        <w:tblPrEx>
          <w:tblCellMar>
            <w:top w:w="0" w:type="dxa"/>
            <w:bottom w:w="0" w:type="dxa"/>
          </w:tblCellMar>
        </w:tblPrEx>
        <w:trPr>
          <w:tblHeader/>
        </w:trPr>
        <w:tc>
          <w:tcPr>
            <w:tcW w:w="3329" w:type="dxa"/>
            <w:tcBorders>
              <w:top w:val="single" w:sz="1" w:space="0" w:color="CCCCCC"/>
              <w:left w:val="single" w:sz="1" w:space="0" w:color="CCCCCC"/>
              <w:bottom w:val="single" w:sz="1" w:space="0" w:color="CCCCCC"/>
              <w:right w:val="single" w:sz="1" w:space="0" w:color="CCCCCC"/>
            </w:tcBorders>
            <w:shd w:val="clear" w:color="auto" w:fill="1B3F6B"/>
            <w:tcMar>
              <w:top w:w="80" w:type="dxa"/>
              <w:left w:w="120" w:type="dxa"/>
              <w:bottom w:w="80" w:type="dxa"/>
              <w:right w:w="120" w:type="dxa"/>
            </w:tcMar>
          </w:tcPr>
          <w:p w14:paraId="47C0AEBE" w14:textId="77777777" w:rsidR="00BB1D38" w:rsidRDefault="00000000">
            <w:r>
              <w:rPr>
                <w:b/>
                <w:bCs/>
                <w:color w:val="FFFFFF"/>
                <w:sz w:val="20"/>
                <w:szCs w:val="20"/>
              </w:rPr>
              <w:t>PAN Public Data Point</w:t>
            </w:r>
          </w:p>
        </w:tc>
        <w:tc>
          <w:tcPr>
            <w:tcW w:w="2340" w:type="dxa"/>
            <w:tcBorders>
              <w:top w:val="single" w:sz="1" w:space="0" w:color="CCCCCC"/>
              <w:left w:val="single" w:sz="1" w:space="0" w:color="CCCCCC"/>
              <w:bottom w:val="single" w:sz="1" w:space="0" w:color="CCCCCC"/>
              <w:right w:val="single" w:sz="1" w:space="0" w:color="CCCCCC"/>
            </w:tcBorders>
            <w:shd w:val="clear" w:color="auto" w:fill="1B3F6B"/>
            <w:tcMar>
              <w:top w:w="80" w:type="dxa"/>
              <w:left w:w="120" w:type="dxa"/>
              <w:bottom w:w="80" w:type="dxa"/>
              <w:right w:w="120" w:type="dxa"/>
            </w:tcMar>
          </w:tcPr>
          <w:p w14:paraId="45FC7FDF" w14:textId="77777777" w:rsidR="00BB1D38" w:rsidRDefault="00000000">
            <w:r>
              <w:rPr>
                <w:b/>
                <w:bCs/>
                <w:color w:val="FFFFFF"/>
                <w:sz w:val="20"/>
                <w:szCs w:val="20"/>
              </w:rPr>
              <w:t>Source</w:t>
            </w:r>
          </w:p>
        </w:tc>
        <w:tc>
          <w:tcPr>
            <w:tcW w:w="5310" w:type="dxa"/>
            <w:tcBorders>
              <w:top w:val="single" w:sz="1" w:space="0" w:color="CCCCCC"/>
              <w:left w:val="single" w:sz="1" w:space="0" w:color="CCCCCC"/>
              <w:bottom w:val="single" w:sz="1" w:space="0" w:color="CCCCCC"/>
              <w:right w:val="single" w:sz="1" w:space="0" w:color="CCCCCC"/>
            </w:tcBorders>
            <w:shd w:val="clear" w:color="auto" w:fill="1B3F6B"/>
            <w:tcMar>
              <w:top w:w="80" w:type="dxa"/>
              <w:left w:w="120" w:type="dxa"/>
              <w:bottom w:w="80" w:type="dxa"/>
              <w:right w:w="120" w:type="dxa"/>
            </w:tcMar>
          </w:tcPr>
          <w:p w14:paraId="02C2677B" w14:textId="77777777" w:rsidR="00BB1D38" w:rsidRDefault="00000000">
            <w:r>
              <w:rPr>
                <w:b/>
                <w:bCs/>
                <w:color w:val="FFFFFF"/>
                <w:sz w:val="20"/>
                <w:szCs w:val="20"/>
              </w:rPr>
              <w:t>Implication for AHI Threshold</w:t>
            </w:r>
          </w:p>
        </w:tc>
      </w:tr>
      <w:tr w:rsidR="00BB1D38" w14:paraId="05F175D7" w14:textId="77777777" w:rsidTr="00D54599">
        <w:tblPrEx>
          <w:tblCellMar>
            <w:top w:w="0" w:type="dxa"/>
            <w:bottom w:w="0" w:type="dxa"/>
          </w:tblCellMar>
        </w:tblPrEx>
        <w:tc>
          <w:tcPr>
            <w:tcW w:w="33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69F797" w14:textId="77777777" w:rsidR="00BB1D38" w:rsidRDefault="00000000">
            <w:r>
              <w:rPr>
                <w:color w:val="333333"/>
                <w:sz w:val="20"/>
                <w:szCs w:val="20"/>
              </w:rPr>
              <w:t>Platform customers retain at 120% NRR with low single-digit churn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4C18C7" w14:textId="77777777" w:rsidR="00BB1D38" w:rsidRDefault="00000000">
            <w:r>
              <w:rPr>
                <w:color w:val="333333"/>
                <w:sz w:val="20"/>
                <w:szCs w:val="20"/>
              </w:rPr>
              <w:t>Q4 FY2025 &amp; Q2 FY2026 Earnings Calls</w:t>
            </w:r>
          </w:p>
        </w:tc>
        <w:tc>
          <w:tcPr>
            <w:tcW w:w="53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F3141" w14:textId="77777777" w:rsidR="00BB1D38" w:rsidRDefault="00000000">
            <w:r>
              <w:rPr>
                <w:color w:val="333333"/>
                <w:sz w:val="20"/>
                <w:szCs w:val="20"/>
              </w:rPr>
              <w:t>The behavioral profile of a platform customer is the gold standard for account health. AHI ≥ 80 is calibrated to identify accounts exhibiting that profile before renewal.</w:t>
            </w:r>
          </w:p>
        </w:tc>
      </w:tr>
      <w:tr w:rsidR="00BB1D38" w14:paraId="44152B02" w14:textId="77777777" w:rsidTr="00D54599">
        <w:tblPrEx>
          <w:tblCellMar>
            <w:top w:w="0" w:type="dxa"/>
            <w:bottom w:w="0" w:type="dxa"/>
          </w:tblCellMar>
        </w:tblPrEx>
        <w:tc>
          <w:tcPr>
            <w:tcW w:w="3329"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1B4269D0" w14:textId="77777777" w:rsidR="00BB1D38" w:rsidRDefault="00000000">
            <w:r>
              <w:rPr>
                <w:color w:val="333333"/>
                <w:sz w:val="20"/>
                <w:szCs w:val="20"/>
              </w:rPr>
              <w:t>Enterprise customer retention reached 95.4% in FY2023</w:t>
            </w:r>
          </w:p>
        </w:tc>
        <w:tc>
          <w:tcPr>
            <w:tcW w:w="234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5DE20696" w14:textId="77777777" w:rsidR="00BB1D38" w:rsidRDefault="00000000">
            <w:r>
              <w:rPr>
                <w:color w:val="333333"/>
                <w:sz w:val="20"/>
                <w:szCs w:val="20"/>
              </w:rPr>
              <w:t>PAN FY2023 Annual Report</w:t>
            </w:r>
          </w:p>
        </w:tc>
        <w:tc>
          <w:tcPr>
            <w:tcW w:w="531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432380E8" w14:textId="77777777" w:rsidR="00BB1D38" w:rsidRDefault="00000000">
            <w:r>
              <w:rPr>
                <w:color w:val="333333"/>
                <w:sz w:val="20"/>
                <w:szCs w:val="20"/>
              </w:rPr>
              <w:t>High retention correlates with multi-product deployment and sustained consumption — exactly what Deployment Depth and Consumption Health measure.</w:t>
            </w:r>
          </w:p>
        </w:tc>
      </w:tr>
      <w:tr w:rsidR="00BB1D38" w14:paraId="6423F258" w14:textId="77777777" w:rsidTr="00D54599">
        <w:tblPrEx>
          <w:tblCellMar>
            <w:top w:w="0" w:type="dxa"/>
            <w:bottom w:w="0" w:type="dxa"/>
          </w:tblCellMar>
        </w:tblPrEx>
        <w:tc>
          <w:tcPr>
            <w:tcW w:w="33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1FC6B0" w14:textId="77777777" w:rsidR="00BB1D38" w:rsidRDefault="00000000">
            <w:proofErr w:type="spellStart"/>
            <w:r>
              <w:rPr>
                <w:color w:val="333333"/>
                <w:sz w:val="20"/>
                <w:szCs w:val="20"/>
              </w:rPr>
              <w:lastRenderedPageBreak/>
              <w:t>Platformized</w:t>
            </w:r>
            <w:proofErr w:type="spellEnd"/>
            <w:r>
              <w:rPr>
                <w:color w:val="333333"/>
                <w:sz w:val="20"/>
                <w:szCs w:val="20"/>
              </w:rPr>
              <w:t xml:space="preserve"> customers using all three platforms show structurally lower churn due to multiplying switching costs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163B69" w14:textId="77777777" w:rsidR="00BB1D38" w:rsidRDefault="00000000">
            <w:r>
              <w:rPr>
                <w:color w:val="333333"/>
                <w:sz w:val="20"/>
                <w:szCs w:val="20"/>
              </w:rPr>
              <w:t>PAN Platformization Strategy disclosures</w:t>
            </w:r>
          </w:p>
        </w:tc>
        <w:tc>
          <w:tcPr>
            <w:tcW w:w="53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F1ED28" w14:textId="77777777" w:rsidR="00BB1D38" w:rsidRDefault="00000000">
            <w:r>
              <w:rPr>
                <w:color w:val="333333"/>
                <w:sz w:val="20"/>
                <w:szCs w:val="20"/>
              </w:rPr>
              <w:t>Multi-product deployment is a leading indicator of retention, not a lagging one. Deployment Depth at 0.25 weight reflects this directly.</w:t>
            </w:r>
          </w:p>
        </w:tc>
      </w:tr>
      <w:tr w:rsidR="00BB1D38" w14:paraId="7154860D" w14:textId="77777777" w:rsidTr="00D54599">
        <w:tblPrEx>
          <w:tblCellMar>
            <w:top w:w="0" w:type="dxa"/>
            <w:bottom w:w="0" w:type="dxa"/>
          </w:tblCellMar>
        </w:tblPrEx>
        <w:tc>
          <w:tcPr>
            <w:tcW w:w="3329"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5214F980" w14:textId="77777777" w:rsidR="00BB1D38" w:rsidRDefault="00000000">
            <w:r>
              <w:rPr>
                <w:color w:val="333333"/>
                <w:sz w:val="20"/>
                <w:szCs w:val="20"/>
              </w:rPr>
              <w:t xml:space="preserve">1,550+ </w:t>
            </w:r>
            <w:proofErr w:type="spellStart"/>
            <w:r>
              <w:rPr>
                <w:color w:val="333333"/>
                <w:sz w:val="20"/>
                <w:szCs w:val="20"/>
              </w:rPr>
              <w:t>platformized</w:t>
            </w:r>
            <w:proofErr w:type="spellEnd"/>
            <w:r>
              <w:rPr>
                <w:color w:val="333333"/>
                <w:sz w:val="20"/>
                <w:szCs w:val="20"/>
              </w:rPr>
              <w:t xml:space="preserve"> customers growing 35% YoY; target 4,000 by FY2030</w:t>
            </w:r>
          </w:p>
        </w:tc>
        <w:tc>
          <w:tcPr>
            <w:tcW w:w="234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09B4940C" w14:textId="77777777" w:rsidR="00BB1D38" w:rsidRDefault="00000000">
            <w:r>
              <w:rPr>
                <w:color w:val="333333"/>
                <w:sz w:val="20"/>
                <w:szCs w:val="20"/>
              </w:rPr>
              <w:t>Q2 FY2026 Earnings Call</w:t>
            </w:r>
          </w:p>
        </w:tc>
        <w:tc>
          <w:tcPr>
            <w:tcW w:w="531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6FA03D17" w14:textId="77777777" w:rsidR="00BB1D38" w:rsidRDefault="00000000">
            <w:r>
              <w:rPr>
                <w:color w:val="333333"/>
                <w:sz w:val="20"/>
                <w:szCs w:val="20"/>
              </w:rPr>
              <w:t xml:space="preserve">Platformization is PAN’s explicit growth strategy. AHI operationalizes that strategy at the account level — a Healthy account is a </w:t>
            </w:r>
            <w:proofErr w:type="spellStart"/>
            <w:r>
              <w:rPr>
                <w:color w:val="333333"/>
                <w:sz w:val="20"/>
                <w:szCs w:val="20"/>
              </w:rPr>
              <w:t>platformized</w:t>
            </w:r>
            <w:proofErr w:type="spellEnd"/>
            <w:r>
              <w:rPr>
                <w:color w:val="333333"/>
                <w:sz w:val="20"/>
                <w:szCs w:val="20"/>
              </w:rPr>
              <w:t xml:space="preserve"> account.</w:t>
            </w:r>
          </w:p>
        </w:tc>
      </w:tr>
    </w:tbl>
    <w:p w14:paraId="52A793BD" w14:textId="77777777" w:rsidR="00BB1D38" w:rsidRDefault="00BB1D38">
      <w:pPr>
        <w:spacing w:before="120" w:after="80"/>
      </w:pPr>
    </w:p>
    <w:p w14:paraId="01DB8C9C" w14:textId="77777777" w:rsidR="00BB1D38" w:rsidRDefault="00000000">
      <w:pPr>
        <w:spacing w:before="60" w:after="100"/>
      </w:pPr>
      <w:r>
        <w:rPr>
          <w:color w:val="333333"/>
        </w:rPr>
        <w:t>The logic connecting PAN’s data to the 80-point threshold:</w:t>
      </w:r>
    </w:p>
    <w:p w14:paraId="5EADF311" w14:textId="77777777" w:rsidR="00BB1D38" w:rsidRDefault="00000000">
      <w:pPr>
        <w:pStyle w:val="ListParagraph"/>
        <w:numPr>
          <w:ilvl w:val="0"/>
          <w:numId w:val="2"/>
        </w:numPr>
        <w:spacing w:before="40" w:after="40"/>
      </w:pPr>
      <w:r>
        <w:rPr>
          <w:color w:val="333333"/>
        </w:rPr>
        <w:t>A platform customer — PAN’s highest-retention segment — has deployed multiple products, is consuming them sustainably, has a clean support record, is growing the contract, and shows stable or rising usage.</w:t>
      </w:r>
    </w:p>
    <w:p w14:paraId="5252CE6F" w14:textId="77777777" w:rsidR="00BB1D38" w:rsidRDefault="00000000">
      <w:pPr>
        <w:pStyle w:val="ListParagraph"/>
        <w:numPr>
          <w:ilvl w:val="0"/>
          <w:numId w:val="2"/>
        </w:numPr>
        <w:spacing w:before="40" w:after="40"/>
      </w:pPr>
      <w:r>
        <w:rPr>
          <w:color w:val="333333"/>
        </w:rPr>
        <w:t>An account scoring exactly 80 on AHI has achieved that behavioral profile without being perfect in any single dimension. It is achievable excellence, not theoretical perfection.</w:t>
      </w:r>
    </w:p>
    <w:p w14:paraId="4DC66173" w14:textId="77777777" w:rsidR="00BB1D38" w:rsidRDefault="00000000">
      <w:pPr>
        <w:pStyle w:val="ListParagraph"/>
        <w:numPr>
          <w:ilvl w:val="0"/>
          <w:numId w:val="2"/>
        </w:numPr>
        <w:spacing w:before="40" w:after="40"/>
      </w:pPr>
      <w:r>
        <w:rPr>
          <w:color w:val="333333"/>
        </w:rPr>
        <w:t>An account scoring below 80 is missing one or more of the platform customer behaviors that PAN’s own data correlates with 120% NRR retention.</w:t>
      </w:r>
    </w:p>
    <w:p w14:paraId="4E954C8C" w14:textId="77777777" w:rsidR="00BB1D38" w:rsidRDefault="00BB1D38">
      <w:pPr>
        <w:spacing w:before="80" w:after="80"/>
      </w:pPr>
    </w:p>
    <w:p w14:paraId="50A6738C" w14:textId="77777777" w:rsidR="00BB1D38" w:rsidRDefault="00000000">
      <w:pPr>
        <w:spacing w:before="60" w:after="100"/>
      </w:pPr>
      <w:r>
        <w:rPr>
          <w:color w:val="333333"/>
        </w:rPr>
        <w:t>Pitch framing for executive presentation: “We set 80 as Healthy because that is the AHI signature of a customer behaving like a platform customer — and PAN’s own earnings data shows platform customers retain at 120% NRR with near-zero churn. AHI gives CS leadership a leading indicator of which accounts are on that trajectory before the renewal conversation begins.”</w:t>
      </w:r>
    </w:p>
    <w:p w14:paraId="1CAB8FCA" w14:textId="77777777" w:rsidR="00BB1D38" w:rsidRDefault="00BB1D38">
      <w:pPr>
        <w:spacing w:before="80" w:after="80"/>
      </w:pPr>
    </w:p>
    <w:p w14:paraId="7CB7E842" w14:textId="77777777" w:rsidR="00BB1D38" w:rsidRDefault="00000000">
      <w:pPr>
        <w:spacing w:before="60" w:after="100"/>
      </w:pPr>
      <w:r>
        <w:rPr>
          <w:color w:val="333333"/>
        </w:rPr>
        <w:t>Note: The 80-point threshold will be validated and recalibrated during the 90-day shadow period by comparing AHI scores against actual historical renewal outcomes in PAN’s CRM. If the renewal breakpoint is empirically at 75 or 85, the threshold will be adjusted before compensation is tied to the metric.</w:t>
      </w:r>
    </w:p>
    <w:p w14:paraId="36562ECD" w14:textId="77777777" w:rsidR="00BB1D38" w:rsidRDefault="00000000">
      <w:pPr>
        <w:pStyle w:val="Heading2"/>
      </w:pPr>
      <w:r>
        <w:rPr>
          <w:color w:val="1B3F6B"/>
        </w:rPr>
        <w:t>5.5 Dimension Definitions</w:t>
      </w:r>
    </w:p>
    <w:p w14:paraId="234E4DDC" w14:textId="77777777" w:rsidR="00BB1D38" w:rsidRDefault="00000000">
      <w:pPr>
        <w:spacing w:before="200" w:after="60"/>
      </w:pPr>
      <w:r>
        <w:rPr>
          <w:b/>
          <w:bCs/>
          <w:color w:val="333333"/>
          <w:sz w:val="24"/>
          <w:szCs w:val="24"/>
        </w:rPr>
        <w:t>Dimension 1: Consumption Health (weight 0.25)</w:t>
      </w:r>
    </w:p>
    <w:p w14:paraId="0E0DAD2B" w14:textId="77777777" w:rsidR="00BB1D38" w:rsidRDefault="00000000">
      <w:pPr>
        <w:spacing w:before="60" w:after="100"/>
      </w:pPr>
      <w:r>
        <w:rPr>
          <w:color w:val="333333"/>
        </w:rPr>
        <w:t>Measures how efficiently the account is consuming the compute credits they committed to purchase.</w:t>
      </w:r>
    </w:p>
    <w:p w14:paraId="3DB8FF99" w14:textId="77777777" w:rsidR="00BB1D38" w:rsidRDefault="00000000">
      <w:pPr>
        <w:spacing w:before="60" w:after="60"/>
        <w:ind w:left="720"/>
      </w:pPr>
      <w:proofErr w:type="spellStart"/>
      <w:r>
        <w:rPr>
          <w:rFonts w:ascii="Courier New" w:eastAsia="Courier New" w:hAnsi="Courier New" w:cs="Courier New"/>
          <w:color w:val="1B3F6B"/>
          <w:sz w:val="20"/>
          <w:szCs w:val="20"/>
        </w:rPr>
        <w:t>raw_ratio</w:t>
      </w:r>
      <w:proofErr w:type="spellEnd"/>
      <w:r>
        <w:rPr>
          <w:rFonts w:ascii="Courier New" w:eastAsia="Courier New" w:hAnsi="Courier New" w:cs="Courier New"/>
          <w:color w:val="1B3F6B"/>
          <w:sz w:val="20"/>
          <w:szCs w:val="20"/>
        </w:rPr>
        <w:t xml:space="preserve"> = </w:t>
      </w:r>
      <w:proofErr w:type="spellStart"/>
      <w:r>
        <w:rPr>
          <w:rFonts w:ascii="Courier New" w:eastAsia="Courier New" w:hAnsi="Courier New" w:cs="Courier New"/>
          <w:color w:val="1B3F6B"/>
          <w:sz w:val="20"/>
          <w:szCs w:val="20"/>
        </w:rPr>
        <w:t>actual_credits_consumed</w:t>
      </w:r>
      <w:proofErr w:type="spellEnd"/>
      <w:r>
        <w:rPr>
          <w:rFonts w:ascii="Courier New" w:eastAsia="Courier New" w:hAnsi="Courier New" w:cs="Courier New"/>
          <w:color w:val="1B3F6B"/>
          <w:sz w:val="20"/>
          <w:szCs w:val="20"/>
        </w:rPr>
        <w:t xml:space="preserve"> / </w:t>
      </w:r>
      <w:proofErr w:type="spellStart"/>
      <w:r>
        <w:rPr>
          <w:rFonts w:ascii="Courier New" w:eastAsia="Courier New" w:hAnsi="Courier New" w:cs="Courier New"/>
          <w:color w:val="1B3F6B"/>
          <w:sz w:val="20"/>
          <w:szCs w:val="20"/>
        </w:rPr>
        <w:t>committed_monthly_credits</w:t>
      </w:r>
      <w:proofErr w:type="spellEnd"/>
    </w:p>
    <w:p w14:paraId="7D32542A" w14:textId="77777777" w:rsidR="00BB1D38" w:rsidRDefault="00000000">
      <w:pPr>
        <w:spacing w:before="60" w:after="60"/>
        <w:ind w:left="720"/>
      </w:pPr>
      <w:proofErr w:type="spellStart"/>
      <w:r>
        <w:rPr>
          <w:rFonts w:ascii="Courier New" w:eastAsia="Courier New" w:hAnsi="Courier New" w:cs="Courier New"/>
          <w:color w:val="1B3F6B"/>
          <w:sz w:val="20"/>
          <w:szCs w:val="20"/>
        </w:rPr>
        <w:t>capped_ratio</w:t>
      </w:r>
      <w:proofErr w:type="spellEnd"/>
      <w:r>
        <w:rPr>
          <w:rFonts w:ascii="Courier New" w:eastAsia="Courier New" w:hAnsi="Courier New" w:cs="Courier New"/>
          <w:color w:val="1B3F6B"/>
          <w:sz w:val="20"/>
          <w:szCs w:val="20"/>
        </w:rPr>
        <w:t xml:space="preserve"> = </w:t>
      </w:r>
      <w:proofErr w:type="gramStart"/>
      <w:r>
        <w:rPr>
          <w:rFonts w:ascii="Courier New" w:eastAsia="Courier New" w:hAnsi="Courier New" w:cs="Courier New"/>
          <w:color w:val="1B3F6B"/>
          <w:sz w:val="20"/>
          <w:szCs w:val="20"/>
        </w:rPr>
        <w:t>LEAST(</w:t>
      </w:r>
      <w:proofErr w:type="spellStart"/>
      <w:proofErr w:type="gramEnd"/>
      <w:r>
        <w:rPr>
          <w:rFonts w:ascii="Courier New" w:eastAsia="Courier New" w:hAnsi="Courier New" w:cs="Courier New"/>
          <w:color w:val="1B3F6B"/>
          <w:sz w:val="20"/>
          <w:szCs w:val="20"/>
        </w:rPr>
        <w:t>raw_ratio</w:t>
      </w:r>
      <w:proofErr w:type="spellEnd"/>
      <w:r>
        <w:rPr>
          <w:rFonts w:ascii="Courier New" w:eastAsia="Courier New" w:hAnsi="Courier New" w:cs="Courier New"/>
          <w:color w:val="1B3F6B"/>
          <w:sz w:val="20"/>
          <w:szCs w:val="20"/>
        </w:rPr>
        <w:t>, 1.10)</w:t>
      </w:r>
    </w:p>
    <w:p w14:paraId="0ED3C952" w14:textId="77777777" w:rsidR="00BB1D38" w:rsidRDefault="00000000">
      <w:pPr>
        <w:spacing w:before="60" w:after="60"/>
        <w:ind w:left="720"/>
      </w:pPr>
      <w:proofErr w:type="spellStart"/>
      <w:r>
        <w:rPr>
          <w:rFonts w:ascii="Courier New" w:eastAsia="Courier New" w:hAnsi="Courier New" w:cs="Courier New"/>
          <w:color w:val="1B3F6B"/>
          <w:sz w:val="20"/>
          <w:szCs w:val="20"/>
        </w:rPr>
        <w:t>consumption_score</w:t>
      </w:r>
      <w:proofErr w:type="spellEnd"/>
      <w:r>
        <w:rPr>
          <w:rFonts w:ascii="Courier New" w:eastAsia="Courier New" w:hAnsi="Courier New" w:cs="Courier New"/>
          <w:color w:val="1B3F6B"/>
          <w:sz w:val="20"/>
          <w:szCs w:val="20"/>
        </w:rPr>
        <w:t xml:space="preserve"> = (</w:t>
      </w:r>
      <w:proofErr w:type="spellStart"/>
      <w:r>
        <w:rPr>
          <w:rFonts w:ascii="Courier New" w:eastAsia="Courier New" w:hAnsi="Courier New" w:cs="Courier New"/>
          <w:color w:val="1B3F6B"/>
          <w:sz w:val="20"/>
          <w:szCs w:val="20"/>
        </w:rPr>
        <w:t>capped_ratio</w:t>
      </w:r>
      <w:proofErr w:type="spellEnd"/>
      <w:r>
        <w:rPr>
          <w:rFonts w:ascii="Courier New" w:eastAsia="Courier New" w:hAnsi="Courier New" w:cs="Courier New"/>
          <w:color w:val="1B3F6B"/>
          <w:sz w:val="20"/>
          <w:szCs w:val="20"/>
        </w:rPr>
        <w:t xml:space="preserve"> / 1.10) × 100</w:t>
      </w:r>
    </w:p>
    <w:p w14:paraId="6DDEFE37" w14:textId="77777777" w:rsidR="00BB1D38" w:rsidRDefault="00BB1D38">
      <w:pPr>
        <w:spacing w:before="60" w:after="60"/>
        <w:ind w:left="720"/>
      </w:pPr>
    </w:p>
    <w:p w14:paraId="1ECB835C" w14:textId="77777777" w:rsidR="00BB1D38" w:rsidRDefault="00000000">
      <w:pPr>
        <w:spacing w:before="60" w:after="60"/>
        <w:ind w:left="720"/>
      </w:pPr>
      <w:r>
        <w:rPr>
          <w:rFonts w:ascii="Courier New" w:eastAsia="Courier New" w:hAnsi="Courier New" w:cs="Courier New"/>
          <w:color w:val="1B3F6B"/>
          <w:sz w:val="20"/>
          <w:szCs w:val="20"/>
        </w:rPr>
        <w:t xml:space="preserve">-- Overage penalty applied when </w:t>
      </w:r>
      <w:proofErr w:type="spellStart"/>
      <w:r>
        <w:rPr>
          <w:rFonts w:ascii="Courier New" w:eastAsia="Courier New" w:hAnsi="Courier New" w:cs="Courier New"/>
          <w:color w:val="1B3F6B"/>
          <w:sz w:val="20"/>
          <w:szCs w:val="20"/>
        </w:rPr>
        <w:t>raw_ratio</w:t>
      </w:r>
      <w:proofErr w:type="spellEnd"/>
      <w:r>
        <w:rPr>
          <w:rFonts w:ascii="Courier New" w:eastAsia="Courier New" w:hAnsi="Courier New" w:cs="Courier New"/>
          <w:color w:val="1B3F6B"/>
          <w:sz w:val="20"/>
          <w:szCs w:val="20"/>
        </w:rPr>
        <w:t xml:space="preserve"> &gt; 1.20:</w:t>
      </w:r>
    </w:p>
    <w:p w14:paraId="007B322C" w14:textId="77777777" w:rsidR="00BB1D38" w:rsidRDefault="00000000">
      <w:pPr>
        <w:spacing w:before="60" w:after="60"/>
        <w:ind w:left="720"/>
      </w:pPr>
      <w:proofErr w:type="spellStart"/>
      <w:r>
        <w:rPr>
          <w:rFonts w:ascii="Courier New" w:eastAsia="Courier New" w:hAnsi="Courier New" w:cs="Courier New"/>
          <w:color w:val="1B3F6B"/>
          <w:sz w:val="20"/>
          <w:szCs w:val="20"/>
        </w:rPr>
        <w:t>final_score</w:t>
      </w:r>
      <w:proofErr w:type="spellEnd"/>
      <w:r>
        <w:rPr>
          <w:rFonts w:ascii="Courier New" w:eastAsia="Courier New" w:hAnsi="Courier New" w:cs="Courier New"/>
          <w:color w:val="1B3F6B"/>
          <w:sz w:val="20"/>
          <w:szCs w:val="20"/>
        </w:rPr>
        <w:t xml:space="preserve"> = IF </w:t>
      </w:r>
      <w:proofErr w:type="spellStart"/>
      <w:r>
        <w:rPr>
          <w:rFonts w:ascii="Courier New" w:eastAsia="Courier New" w:hAnsi="Courier New" w:cs="Courier New"/>
          <w:color w:val="1B3F6B"/>
          <w:sz w:val="20"/>
          <w:szCs w:val="20"/>
        </w:rPr>
        <w:t>raw_ratio</w:t>
      </w:r>
      <w:proofErr w:type="spellEnd"/>
      <w:r>
        <w:rPr>
          <w:rFonts w:ascii="Courier New" w:eastAsia="Courier New" w:hAnsi="Courier New" w:cs="Courier New"/>
          <w:color w:val="1B3F6B"/>
          <w:sz w:val="20"/>
          <w:szCs w:val="20"/>
        </w:rPr>
        <w:t xml:space="preserve"> &gt; 1.20</w:t>
      </w:r>
    </w:p>
    <w:p w14:paraId="11407BFB" w14:textId="77777777" w:rsidR="00BB1D38" w:rsidRDefault="00000000">
      <w:pPr>
        <w:spacing w:before="60" w:after="60"/>
        <w:ind w:left="720"/>
      </w:pPr>
      <w:r>
        <w:rPr>
          <w:rFonts w:ascii="Courier New" w:eastAsia="Courier New" w:hAnsi="Courier New" w:cs="Courier New"/>
          <w:color w:val="1B3F6B"/>
          <w:sz w:val="20"/>
          <w:szCs w:val="20"/>
        </w:rPr>
        <w:t xml:space="preserve">             THEN </w:t>
      </w:r>
      <w:proofErr w:type="spellStart"/>
      <w:r>
        <w:rPr>
          <w:rFonts w:ascii="Courier New" w:eastAsia="Courier New" w:hAnsi="Courier New" w:cs="Courier New"/>
          <w:color w:val="1B3F6B"/>
          <w:sz w:val="20"/>
          <w:szCs w:val="20"/>
        </w:rPr>
        <w:t>consumption_score</w:t>
      </w:r>
      <w:proofErr w:type="spellEnd"/>
      <w:r>
        <w:rPr>
          <w:rFonts w:ascii="Courier New" w:eastAsia="Courier New" w:hAnsi="Courier New" w:cs="Courier New"/>
          <w:color w:val="1B3F6B"/>
          <w:sz w:val="20"/>
          <w:szCs w:val="20"/>
        </w:rPr>
        <w:t xml:space="preserve"> × 0.85</w:t>
      </w:r>
    </w:p>
    <w:p w14:paraId="71E11649" w14:textId="77777777" w:rsidR="00BB1D38" w:rsidRDefault="00000000">
      <w:pPr>
        <w:spacing w:before="60" w:after="60"/>
        <w:ind w:left="720"/>
      </w:pPr>
      <w:r>
        <w:rPr>
          <w:rFonts w:ascii="Courier New" w:eastAsia="Courier New" w:hAnsi="Courier New" w:cs="Courier New"/>
          <w:color w:val="1B3F6B"/>
          <w:sz w:val="20"/>
          <w:szCs w:val="20"/>
        </w:rPr>
        <w:t xml:space="preserve">             ELSE </w:t>
      </w:r>
      <w:proofErr w:type="spellStart"/>
      <w:r>
        <w:rPr>
          <w:rFonts w:ascii="Courier New" w:eastAsia="Courier New" w:hAnsi="Courier New" w:cs="Courier New"/>
          <w:color w:val="1B3F6B"/>
          <w:sz w:val="20"/>
          <w:szCs w:val="20"/>
        </w:rPr>
        <w:t>consumption_score</w:t>
      </w:r>
      <w:proofErr w:type="spellEnd"/>
    </w:p>
    <w:p w14:paraId="6F45B052" w14:textId="77777777" w:rsidR="00D54599" w:rsidRDefault="00D54599">
      <w:pPr>
        <w:spacing w:before="60" w:after="100"/>
        <w:rPr>
          <w:color w:val="333333"/>
        </w:rPr>
      </w:pPr>
    </w:p>
    <w:p w14:paraId="53D1632D" w14:textId="77777777" w:rsidR="00D54599" w:rsidRDefault="00000000">
      <w:pPr>
        <w:spacing w:before="60" w:after="100"/>
        <w:rPr>
          <w:color w:val="333333"/>
        </w:rPr>
      </w:pPr>
      <w:r>
        <w:rPr>
          <w:color w:val="333333"/>
        </w:rPr>
        <w:t xml:space="preserve">Design rationale: Perfect consumption (100% of committed credits) scores 100. Shelfware (near-zero consumption) scores near zero. </w:t>
      </w:r>
    </w:p>
    <w:p w14:paraId="1DC9C465" w14:textId="77777777" w:rsidR="00D54599" w:rsidRDefault="00000000">
      <w:pPr>
        <w:spacing w:before="60" w:after="100"/>
        <w:rPr>
          <w:color w:val="333333"/>
        </w:rPr>
      </w:pPr>
      <w:r>
        <w:rPr>
          <w:color w:val="333333"/>
        </w:rPr>
        <w:t xml:space="preserve">Overages above 120% of committed credits receive a 15% score penalty — signaling that the contract was undersized and the CSM should have proactively right-sized the account. </w:t>
      </w:r>
    </w:p>
    <w:p w14:paraId="6320EC82" w14:textId="22D69974" w:rsidR="00BB1D38" w:rsidRDefault="00000000">
      <w:pPr>
        <w:spacing w:before="60" w:after="100"/>
        <w:rPr>
          <w:color w:val="333333"/>
        </w:rPr>
      </w:pPr>
      <w:r>
        <w:rPr>
          <w:color w:val="333333"/>
        </w:rPr>
        <w:t>Overages between 100–120% are capped at 100 without penalty, as minor overages are expected in consumption models.</w:t>
      </w:r>
    </w:p>
    <w:p w14:paraId="2CA27351" w14:textId="77777777" w:rsidR="00D54599" w:rsidRDefault="00D54599">
      <w:pPr>
        <w:spacing w:before="60" w:after="100"/>
        <w:rPr>
          <w:color w:val="333333"/>
        </w:rPr>
      </w:pPr>
    </w:p>
    <w:p w14:paraId="707F929F" w14:textId="77777777" w:rsidR="00D54599" w:rsidRDefault="00D54599">
      <w:pPr>
        <w:spacing w:before="60" w:after="100"/>
      </w:pPr>
    </w:p>
    <w:p w14:paraId="011E34BC" w14:textId="77777777" w:rsidR="00BB1D38" w:rsidRDefault="00000000">
      <w:pPr>
        <w:spacing w:before="200" w:after="60"/>
      </w:pPr>
      <w:r>
        <w:rPr>
          <w:b/>
          <w:bCs/>
          <w:color w:val="333333"/>
          <w:sz w:val="24"/>
          <w:szCs w:val="24"/>
        </w:rPr>
        <w:lastRenderedPageBreak/>
        <w:t>Dimension 2: Deployment Depth (weight 0.25)</w:t>
      </w:r>
    </w:p>
    <w:p w14:paraId="7ED9CD49" w14:textId="77777777" w:rsidR="00BB1D38" w:rsidRDefault="00000000">
      <w:pPr>
        <w:spacing w:before="60" w:after="100"/>
      </w:pPr>
      <w:r>
        <w:rPr>
          <w:color w:val="333333"/>
        </w:rPr>
        <w:t>Measures the proportion of purchased products that have been actively deployed and show usage activity.</w:t>
      </w:r>
    </w:p>
    <w:p w14:paraId="04A5642F" w14:textId="77777777" w:rsidR="00BB1D38" w:rsidRDefault="00000000">
      <w:pPr>
        <w:spacing w:before="60" w:after="60"/>
        <w:ind w:left="720"/>
      </w:pPr>
      <w:proofErr w:type="spellStart"/>
      <w:r>
        <w:rPr>
          <w:rFonts w:ascii="Courier New" w:eastAsia="Courier New" w:hAnsi="Courier New" w:cs="Courier New"/>
          <w:color w:val="1B3F6B"/>
          <w:sz w:val="20"/>
          <w:szCs w:val="20"/>
        </w:rPr>
        <w:t>deployment_score</w:t>
      </w:r>
      <w:proofErr w:type="spellEnd"/>
      <w:r>
        <w:rPr>
          <w:rFonts w:ascii="Courier New" w:eastAsia="Courier New" w:hAnsi="Courier New" w:cs="Courier New"/>
          <w:color w:val="1B3F6B"/>
          <w:sz w:val="20"/>
          <w:szCs w:val="20"/>
        </w:rPr>
        <w:t xml:space="preserve"> = (</w:t>
      </w:r>
      <w:proofErr w:type="spellStart"/>
      <w:r>
        <w:rPr>
          <w:rFonts w:ascii="Courier New" w:eastAsia="Courier New" w:hAnsi="Courier New" w:cs="Courier New"/>
          <w:color w:val="1B3F6B"/>
          <w:sz w:val="20"/>
          <w:szCs w:val="20"/>
        </w:rPr>
        <w:t>products_with_active_usage</w:t>
      </w:r>
      <w:proofErr w:type="spellEnd"/>
      <w:r>
        <w:rPr>
          <w:rFonts w:ascii="Courier New" w:eastAsia="Courier New" w:hAnsi="Courier New" w:cs="Courier New"/>
          <w:color w:val="1B3F6B"/>
          <w:sz w:val="20"/>
          <w:szCs w:val="20"/>
        </w:rPr>
        <w:t xml:space="preserve"> / </w:t>
      </w:r>
      <w:proofErr w:type="spellStart"/>
      <w:r>
        <w:rPr>
          <w:rFonts w:ascii="Courier New" w:eastAsia="Courier New" w:hAnsi="Courier New" w:cs="Courier New"/>
          <w:color w:val="1B3F6B"/>
          <w:sz w:val="20"/>
          <w:szCs w:val="20"/>
        </w:rPr>
        <w:t>products_purchased</w:t>
      </w:r>
      <w:proofErr w:type="spellEnd"/>
      <w:r>
        <w:rPr>
          <w:rFonts w:ascii="Courier New" w:eastAsia="Courier New" w:hAnsi="Courier New" w:cs="Courier New"/>
          <w:color w:val="1B3F6B"/>
          <w:sz w:val="20"/>
          <w:szCs w:val="20"/>
        </w:rPr>
        <w:t>) × 100</w:t>
      </w:r>
    </w:p>
    <w:p w14:paraId="5F2026C1" w14:textId="77777777" w:rsidR="00D54599" w:rsidRDefault="00D54599">
      <w:pPr>
        <w:spacing w:before="60" w:after="100"/>
        <w:rPr>
          <w:color w:val="333333"/>
        </w:rPr>
      </w:pPr>
    </w:p>
    <w:p w14:paraId="7329E656" w14:textId="77777777" w:rsidR="00D54599" w:rsidRDefault="00000000">
      <w:pPr>
        <w:spacing w:before="60" w:after="100"/>
        <w:rPr>
          <w:color w:val="333333"/>
        </w:rPr>
      </w:pPr>
      <w:r>
        <w:rPr>
          <w:color w:val="333333"/>
        </w:rPr>
        <w:t xml:space="preserve">A product is considered actively deployed if it has at least one </w:t>
      </w:r>
      <w:proofErr w:type="spellStart"/>
      <w:r>
        <w:rPr>
          <w:color w:val="333333"/>
        </w:rPr>
        <w:t>compute_credits_consumed</w:t>
      </w:r>
      <w:proofErr w:type="spellEnd"/>
      <w:r>
        <w:rPr>
          <w:color w:val="333333"/>
        </w:rPr>
        <w:t xml:space="preserve"> entry in </w:t>
      </w:r>
      <w:proofErr w:type="spellStart"/>
      <w:r>
        <w:rPr>
          <w:color w:val="333333"/>
        </w:rPr>
        <w:t>Daily_Usage_Logs</w:t>
      </w:r>
      <w:proofErr w:type="spellEnd"/>
      <w:r>
        <w:rPr>
          <w:color w:val="333333"/>
        </w:rPr>
        <w:t xml:space="preserve"> in the trailing 30 days. </w:t>
      </w:r>
    </w:p>
    <w:p w14:paraId="580104E9" w14:textId="29765F04" w:rsidR="00BB1D38" w:rsidRDefault="00000000">
      <w:pPr>
        <w:spacing w:before="60" w:after="100"/>
      </w:pPr>
      <w:r>
        <w:rPr>
          <w:color w:val="333333"/>
        </w:rPr>
        <w:t>Design rationale: Equal weight to Consumption Health because consumption without deployment is structurally meaningless — a customer cannot consume credits on products they have not deployed. This dimension directly catches shelfware accounts.</w:t>
      </w:r>
    </w:p>
    <w:p w14:paraId="3A26546F" w14:textId="77777777" w:rsidR="00BB1D38" w:rsidRDefault="00000000">
      <w:pPr>
        <w:spacing w:before="200" w:after="60"/>
      </w:pPr>
      <w:r>
        <w:rPr>
          <w:b/>
          <w:bCs/>
          <w:color w:val="333333"/>
          <w:sz w:val="24"/>
          <w:szCs w:val="24"/>
        </w:rPr>
        <w:t>Dimension 3: Platform Stability (weight 0.20)</w:t>
      </w:r>
    </w:p>
    <w:p w14:paraId="6B81EE7A" w14:textId="77777777" w:rsidR="00BB1D38" w:rsidRDefault="00000000">
      <w:pPr>
        <w:spacing w:before="60" w:after="100"/>
      </w:pPr>
      <w:r>
        <w:rPr>
          <w:color w:val="333333"/>
        </w:rPr>
        <w:t>Measures the cleanliness of the customer's technical experience through open support ticket load.</w:t>
      </w:r>
    </w:p>
    <w:p w14:paraId="72A6BB73" w14:textId="77777777" w:rsidR="00BB1D38" w:rsidRDefault="00000000">
      <w:pPr>
        <w:spacing w:before="60" w:after="60"/>
        <w:ind w:left="720"/>
      </w:pPr>
      <w:proofErr w:type="spellStart"/>
      <w:r>
        <w:rPr>
          <w:rFonts w:ascii="Courier New" w:eastAsia="Courier New" w:hAnsi="Courier New" w:cs="Courier New"/>
          <w:color w:val="1B3F6B"/>
          <w:sz w:val="20"/>
          <w:szCs w:val="20"/>
        </w:rPr>
        <w:t>weighted_tickets</w:t>
      </w:r>
      <w:proofErr w:type="spellEnd"/>
      <w:r>
        <w:rPr>
          <w:rFonts w:ascii="Courier New" w:eastAsia="Courier New" w:hAnsi="Courier New" w:cs="Courier New"/>
          <w:color w:val="1B3F6B"/>
          <w:sz w:val="20"/>
          <w:szCs w:val="20"/>
        </w:rPr>
        <w:t xml:space="preserve"> = (P1_open × 3) + (P2_open × 2) + (P3_open × 1)</w:t>
      </w:r>
    </w:p>
    <w:p w14:paraId="017211A8" w14:textId="77777777" w:rsidR="00BB1D38" w:rsidRDefault="00000000">
      <w:pPr>
        <w:spacing w:before="60" w:after="60"/>
        <w:ind w:left="720"/>
      </w:pPr>
      <w:r>
        <w:rPr>
          <w:rFonts w:ascii="Courier New" w:eastAsia="Courier New" w:hAnsi="Courier New" w:cs="Courier New"/>
          <w:color w:val="1B3F6B"/>
          <w:sz w:val="20"/>
          <w:szCs w:val="20"/>
        </w:rPr>
        <w:t xml:space="preserve">baseline = segment average </w:t>
      </w:r>
      <w:proofErr w:type="spellStart"/>
      <w:r>
        <w:rPr>
          <w:rFonts w:ascii="Courier New" w:eastAsia="Courier New" w:hAnsi="Courier New" w:cs="Courier New"/>
          <w:color w:val="1B3F6B"/>
          <w:sz w:val="20"/>
          <w:szCs w:val="20"/>
        </w:rPr>
        <w:t>weighted_tickets</w:t>
      </w:r>
      <w:proofErr w:type="spellEnd"/>
      <w:r>
        <w:rPr>
          <w:rFonts w:ascii="Courier New" w:eastAsia="Courier New" w:hAnsi="Courier New" w:cs="Courier New"/>
          <w:color w:val="1B3F6B"/>
          <w:sz w:val="20"/>
          <w:szCs w:val="20"/>
        </w:rPr>
        <w:t xml:space="preserve"> for the same industry</w:t>
      </w:r>
    </w:p>
    <w:p w14:paraId="101C1CA5" w14:textId="77777777" w:rsidR="00BB1D38" w:rsidRDefault="00000000">
      <w:pPr>
        <w:spacing w:before="60" w:after="60"/>
        <w:ind w:left="720"/>
      </w:pPr>
      <w:proofErr w:type="spellStart"/>
      <w:r>
        <w:rPr>
          <w:rFonts w:ascii="Courier New" w:eastAsia="Courier New" w:hAnsi="Courier New" w:cs="Courier New"/>
          <w:color w:val="1B3F6B"/>
          <w:sz w:val="20"/>
          <w:szCs w:val="20"/>
        </w:rPr>
        <w:t>stability_score</w:t>
      </w:r>
      <w:proofErr w:type="spellEnd"/>
      <w:r>
        <w:rPr>
          <w:rFonts w:ascii="Courier New" w:eastAsia="Courier New" w:hAnsi="Courier New" w:cs="Courier New"/>
          <w:color w:val="1B3F6B"/>
          <w:sz w:val="20"/>
          <w:szCs w:val="20"/>
        </w:rPr>
        <w:t xml:space="preserve"> = </w:t>
      </w:r>
      <w:proofErr w:type="gramStart"/>
      <w:r>
        <w:rPr>
          <w:rFonts w:ascii="Courier New" w:eastAsia="Courier New" w:hAnsi="Courier New" w:cs="Courier New"/>
          <w:color w:val="1B3F6B"/>
          <w:sz w:val="20"/>
          <w:szCs w:val="20"/>
        </w:rPr>
        <w:t>MAX(</w:t>
      </w:r>
      <w:proofErr w:type="gramEnd"/>
      <w:r>
        <w:rPr>
          <w:rFonts w:ascii="Courier New" w:eastAsia="Courier New" w:hAnsi="Courier New" w:cs="Courier New"/>
          <w:color w:val="1B3F6B"/>
          <w:sz w:val="20"/>
          <w:szCs w:val="20"/>
        </w:rPr>
        <w:t>0, 100 - ((</w:t>
      </w:r>
      <w:proofErr w:type="spellStart"/>
      <w:r>
        <w:rPr>
          <w:rFonts w:ascii="Courier New" w:eastAsia="Courier New" w:hAnsi="Courier New" w:cs="Courier New"/>
          <w:color w:val="1B3F6B"/>
          <w:sz w:val="20"/>
          <w:szCs w:val="20"/>
        </w:rPr>
        <w:t>weighted_tickets</w:t>
      </w:r>
      <w:proofErr w:type="spellEnd"/>
      <w:r>
        <w:rPr>
          <w:rFonts w:ascii="Courier New" w:eastAsia="Courier New" w:hAnsi="Courier New" w:cs="Courier New"/>
          <w:color w:val="1B3F6B"/>
          <w:sz w:val="20"/>
          <w:szCs w:val="20"/>
        </w:rPr>
        <w:t xml:space="preserve"> / baseline) × 100))</w:t>
      </w:r>
    </w:p>
    <w:p w14:paraId="4A05DAD6" w14:textId="77777777" w:rsidR="00D54599" w:rsidRDefault="00D54599">
      <w:pPr>
        <w:spacing w:before="60" w:after="100"/>
        <w:rPr>
          <w:color w:val="333333"/>
        </w:rPr>
      </w:pPr>
    </w:p>
    <w:p w14:paraId="3D2B3FEE" w14:textId="77777777" w:rsidR="00D54599" w:rsidRDefault="00000000">
      <w:pPr>
        <w:spacing w:before="60" w:after="100"/>
        <w:rPr>
          <w:color w:val="333333"/>
        </w:rPr>
      </w:pPr>
      <w:r>
        <w:rPr>
          <w:color w:val="333333"/>
        </w:rPr>
        <w:t xml:space="preserve">Accounts with zero open tickets score 100. </w:t>
      </w:r>
    </w:p>
    <w:p w14:paraId="2183ABC7" w14:textId="5DA92632" w:rsidR="00BB1D38" w:rsidRDefault="00000000">
      <w:pPr>
        <w:spacing w:before="60" w:after="100"/>
      </w:pPr>
      <w:r>
        <w:rPr>
          <w:color w:val="333333"/>
        </w:rPr>
        <w:t>A P1 ticket has 3× the weight of a P3 to reflect business impact severity.</w:t>
      </w:r>
    </w:p>
    <w:p w14:paraId="5361BB5C" w14:textId="77777777" w:rsidR="00BB1D38" w:rsidRDefault="00000000">
      <w:pPr>
        <w:spacing w:before="200" w:after="60"/>
      </w:pPr>
      <w:r>
        <w:rPr>
          <w:b/>
          <w:bCs/>
          <w:color w:val="333333"/>
          <w:sz w:val="24"/>
          <w:szCs w:val="24"/>
        </w:rPr>
        <w:t>Dimension 4: Contract Expansion (weight 0.15)</w:t>
      </w:r>
    </w:p>
    <w:p w14:paraId="675D943F" w14:textId="77777777" w:rsidR="00BB1D38" w:rsidRDefault="00000000">
      <w:pPr>
        <w:spacing w:before="60" w:after="100"/>
      </w:pPr>
      <w:r>
        <w:rPr>
          <w:color w:val="333333"/>
        </w:rPr>
        <w:t>Measures whether the account's ARR has grown since the initial contract signing, preserving the bookings growth signal from the existing TCV model.</w:t>
      </w:r>
    </w:p>
    <w:p w14:paraId="0C0D12A0" w14:textId="77777777" w:rsidR="00BB1D38" w:rsidRDefault="00000000">
      <w:pPr>
        <w:spacing w:before="60" w:after="60"/>
        <w:ind w:left="720"/>
      </w:pPr>
      <w:proofErr w:type="spellStart"/>
      <w:r>
        <w:rPr>
          <w:rFonts w:ascii="Courier New" w:eastAsia="Courier New" w:hAnsi="Courier New" w:cs="Courier New"/>
          <w:color w:val="1B3F6B"/>
          <w:sz w:val="20"/>
          <w:szCs w:val="20"/>
        </w:rPr>
        <w:t>expansion_ratio</w:t>
      </w:r>
      <w:proofErr w:type="spellEnd"/>
      <w:r>
        <w:rPr>
          <w:rFonts w:ascii="Courier New" w:eastAsia="Courier New" w:hAnsi="Courier New" w:cs="Courier New"/>
          <w:color w:val="1B3F6B"/>
          <w:sz w:val="20"/>
          <w:szCs w:val="20"/>
        </w:rPr>
        <w:t xml:space="preserve"> = </w:t>
      </w:r>
      <w:proofErr w:type="spellStart"/>
      <w:r>
        <w:rPr>
          <w:rFonts w:ascii="Courier New" w:eastAsia="Courier New" w:hAnsi="Courier New" w:cs="Courier New"/>
          <w:color w:val="1B3F6B"/>
          <w:sz w:val="20"/>
          <w:szCs w:val="20"/>
        </w:rPr>
        <w:t>current_arr</w:t>
      </w:r>
      <w:proofErr w:type="spellEnd"/>
      <w:r>
        <w:rPr>
          <w:rFonts w:ascii="Courier New" w:eastAsia="Courier New" w:hAnsi="Courier New" w:cs="Courier New"/>
          <w:color w:val="1B3F6B"/>
          <w:sz w:val="20"/>
          <w:szCs w:val="20"/>
        </w:rPr>
        <w:t xml:space="preserve"> / </w:t>
      </w:r>
      <w:proofErr w:type="spellStart"/>
      <w:r>
        <w:rPr>
          <w:rFonts w:ascii="Courier New" w:eastAsia="Courier New" w:hAnsi="Courier New" w:cs="Courier New"/>
          <w:color w:val="1B3F6B"/>
          <w:sz w:val="20"/>
          <w:szCs w:val="20"/>
        </w:rPr>
        <w:t>original_arr</w:t>
      </w:r>
      <w:proofErr w:type="spellEnd"/>
    </w:p>
    <w:p w14:paraId="6C904084" w14:textId="77777777" w:rsidR="00BB1D38" w:rsidRDefault="00000000">
      <w:pPr>
        <w:spacing w:before="60" w:after="60"/>
        <w:ind w:left="720"/>
      </w:pPr>
      <w:proofErr w:type="spellStart"/>
      <w:r>
        <w:rPr>
          <w:rFonts w:ascii="Courier New" w:eastAsia="Courier New" w:hAnsi="Courier New" w:cs="Courier New"/>
          <w:color w:val="1B3F6B"/>
          <w:sz w:val="20"/>
          <w:szCs w:val="20"/>
        </w:rPr>
        <w:t>expansion_score</w:t>
      </w:r>
      <w:proofErr w:type="spellEnd"/>
      <w:r>
        <w:rPr>
          <w:rFonts w:ascii="Courier New" w:eastAsia="Courier New" w:hAnsi="Courier New" w:cs="Courier New"/>
          <w:color w:val="1B3F6B"/>
          <w:sz w:val="20"/>
          <w:szCs w:val="20"/>
        </w:rPr>
        <w:t xml:space="preserve"> = </w:t>
      </w:r>
      <w:proofErr w:type="gramStart"/>
      <w:r>
        <w:rPr>
          <w:rFonts w:ascii="Courier New" w:eastAsia="Courier New" w:hAnsi="Courier New" w:cs="Courier New"/>
          <w:color w:val="1B3F6B"/>
          <w:sz w:val="20"/>
          <w:szCs w:val="20"/>
        </w:rPr>
        <w:t>MIN(</w:t>
      </w:r>
      <w:proofErr w:type="spellStart"/>
      <w:proofErr w:type="gramEnd"/>
      <w:r>
        <w:rPr>
          <w:rFonts w:ascii="Courier New" w:eastAsia="Courier New" w:hAnsi="Courier New" w:cs="Courier New"/>
          <w:color w:val="1B3F6B"/>
          <w:sz w:val="20"/>
          <w:szCs w:val="20"/>
        </w:rPr>
        <w:t>expansion_ratio</w:t>
      </w:r>
      <w:proofErr w:type="spellEnd"/>
      <w:r>
        <w:rPr>
          <w:rFonts w:ascii="Courier New" w:eastAsia="Courier New" w:hAnsi="Courier New" w:cs="Courier New"/>
          <w:color w:val="1B3F6B"/>
          <w:sz w:val="20"/>
          <w:szCs w:val="20"/>
        </w:rPr>
        <w:t>, 1.50) / 1.50 × 100</w:t>
      </w:r>
    </w:p>
    <w:p w14:paraId="22AE3ED5" w14:textId="77777777" w:rsidR="00D54599" w:rsidRDefault="00D54599">
      <w:pPr>
        <w:spacing w:before="60" w:after="100"/>
        <w:rPr>
          <w:color w:val="333333"/>
        </w:rPr>
      </w:pPr>
    </w:p>
    <w:p w14:paraId="3ADBD230" w14:textId="77777777" w:rsidR="00D54599" w:rsidRDefault="00000000">
      <w:pPr>
        <w:spacing w:before="60" w:after="100"/>
        <w:rPr>
          <w:color w:val="333333"/>
        </w:rPr>
      </w:pPr>
      <w:r>
        <w:rPr>
          <w:color w:val="333333"/>
        </w:rPr>
        <w:t>An account whose ARR is unchanged since signing scores 67 (</w:t>
      </w:r>
      <w:proofErr w:type="spellStart"/>
      <w:r>
        <w:rPr>
          <w:color w:val="333333"/>
        </w:rPr>
        <w:t>current_arr</w:t>
      </w:r>
      <w:proofErr w:type="spellEnd"/>
      <w:r>
        <w:rPr>
          <w:color w:val="333333"/>
        </w:rPr>
        <w:t xml:space="preserve"> / </w:t>
      </w:r>
      <w:proofErr w:type="spellStart"/>
      <w:r>
        <w:rPr>
          <w:color w:val="333333"/>
        </w:rPr>
        <w:t>original_arr</w:t>
      </w:r>
      <w:proofErr w:type="spellEnd"/>
      <w:r>
        <w:rPr>
          <w:color w:val="333333"/>
        </w:rPr>
        <w:t xml:space="preserve"> = 1.0, divided by the 1.5 cap). </w:t>
      </w:r>
    </w:p>
    <w:p w14:paraId="187B43CA" w14:textId="77777777" w:rsidR="00D54599" w:rsidRDefault="00000000">
      <w:pPr>
        <w:spacing w:before="60" w:after="100"/>
        <w:rPr>
          <w:color w:val="333333"/>
        </w:rPr>
      </w:pPr>
      <w:r>
        <w:rPr>
          <w:color w:val="333333"/>
        </w:rPr>
        <w:t xml:space="preserve">An account that has expanded to 150%+ of original ARR scores 100. </w:t>
      </w:r>
    </w:p>
    <w:p w14:paraId="1126191B" w14:textId="77777777" w:rsidR="00D54599" w:rsidRDefault="00000000">
      <w:pPr>
        <w:spacing w:before="60" w:after="100"/>
        <w:rPr>
          <w:color w:val="333333"/>
        </w:rPr>
      </w:pPr>
      <w:r>
        <w:rPr>
          <w:color w:val="333333"/>
        </w:rPr>
        <w:t xml:space="preserve">An account whose ARR has contracted scores proportionally below 67. </w:t>
      </w:r>
    </w:p>
    <w:p w14:paraId="7507F139" w14:textId="4BE451E2" w:rsidR="00BB1D38" w:rsidRDefault="00000000">
      <w:pPr>
        <w:spacing w:before="60" w:after="100"/>
      </w:pPr>
      <w:r>
        <w:rPr>
          <w:color w:val="333333"/>
        </w:rPr>
        <w:t>Design rationale: Capping at 1.5× prevents a single large expansion from dominating the dimension score. Contraction (churn partial) is penalized automatically as the ratio falls below 1.0.</w:t>
      </w:r>
    </w:p>
    <w:p w14:paraId="4CBE1FDA" w14:textId="77777777" w:rsidR="00BB1D38" w:rsidRDefault="00000000">
      <w:pPr>
        <w:spacing w:before="60" w:after="100"/>
      </w:pPr>
      <w:r>
        <w:rPr>
          <w:color w:val="333333"/>
        </w:rPr>
        <w:t xml:space="preserve">Mid-year expansion handling: when a second contract is signed, </w:t>
      </w:r>
      <w:proofErr w:type="spellStart"/>
      <w:r>
        <w:rPr>
          <w:color w:val="333333"/>
        </w:rPr>
        <w:t>original_arr</w:t>
      </w:r>
      <w:proofErr w:type="spellEnd"/>
      <w:r>
        <w:rPr>
          <w:color w:val="333333"/>
        </w:rPr>
        <w:t xml:space="preserve"> uses the first contract's </w:t>
      </w:r>
      <w:proofErr w:type="spellStart"/>
      <w:r>
        <w:rPr>
          <w:color w:val="333333"/>
        </w:rPr>
        <w:t>annual_commit_dollars</w:t>
      </w:r>
      <w:proofErr w:type="spellEnd"/>
      <w:r>
        <w:rPr>
          <w:color w:val="333333"/>
        </w:rPr>
        <w:t xml:space="preserve">. </w:t>
      </w:r>
      <w:proofErr w:type="spellStart"/>
      <w:r>
        <w:rPr>
          <w:color w:val="333333"/>
        </w:rPr>
        <w:t>current_arr</w:t>
      </w:r>
      <w:proofErr w:type="spellEnd"/>
      <w:r>
        <w:rPr>
          <w:color w:val="333333"/>
        </w:rPr>
        <w:t xml:space="preserve"> uses the sum of all active contracts at the calculation date.</w:t>
      </w:r>
    </w:p>
    <w:p w14:paraId="34D8C9AF" w14:textId="77777777" w:rsidR="00BB1D38" w:rsidRDefault="00000000">
      <w:pPr>
        <w:spacing w:before="200" w:after="60"/>
      </w:pPr>
      <w:r>
        <w:rPr>
          <w:b/>
          <w:bCs/>
          <w:color w:val="333333"/>
          <w:sz w:val="24"/>
          <w:szCs w:val="24"/>
        </w:rPr>
        <w:t>Dimension 5: Engagement Trend (weight 0.15)</w:t>
      </w:r>
    </w:p>
    <w:p w14:paraId="7BBE1018" w14:textId="77777777" w:rsidR="00BB1D38" w:rsidRDefault="00000000">
      <w:pPr>
        <w:spacing w:before="60" w:after="100"/>
      </w:pPr>
      <w:r>
        <w:rPr>
          <w:color w:val="333333"/>
        </w:rPr>
        <w:t>Measures the direction of consumption over a trailing 120-day window using linear regression on daily compute credits consumed.</w:t>
      </w:r>
    </w:p>
    <w:p w14:paraId="457C5A89" w14:textId="77777777" w:rsidR="00BB1D38" w:rsidRDefault="00000000">
      <w:pPr>
        <w:spacing w:before="60" w:after="60"/>
        <w:ind w:left="720"/>
      </w:pPr>
      <w:r>
        <w:rPr>
          <w:rFonts w:ascii="Courier New" w:eastAsia="Courier New" w:hAnsi="Courier New" w:cs="Courier New"/>
          <w:color w:val="1B3F6B"/>
          <w:sz w:val="20"/>
          <w:szCs w:val="20"/>
        </w:rPr>
        <w:t xml:space="preserve">slope = </w:t>
      </w:r>
      <w:proofErr w:type="spellStart"/>
      <w:r>
        <w:rPr>
          <w:rFonts w:ascii="Courier New" w:eastAsia="Courier New" w:hAnsi="Courier New" w:cs="Courier New"/>
          <w:color w:val="1B3F6B"/>
          <w:sz w:val="20"/>
          <w:szCs w:val="20"/>
        </w:rPr>
        <w:t>linear_regression_</w:t>
      </w:r>
      <w:proofErr w:type="gramStart"/>
      <w:r>
        <w:rPr>
          <w:rFonts w:ascii="Courier New" w:eastAsia="Courier New" w:hAnsi="Courier New" w:cs="Courier New"/>
          <w:color w:val="1B3F6B"/>
          <w:sz w:val="20"/>
          <w:szCs w:val="20"/>
        </w:rPr>
        <w:t>slope</w:t>
      </w:r>
      <w:proofErr w:type="spellEnd"/>
      <w:r>
        <w:rPr>
          <w:rFonts w:ascii="Courier New" w:eastAsia="Courier New" w:hAnsi="Courier New" w:cs="Courier New"/>
          <w:color w:val="1B3F6B"/>
          <w:sz w:val="20"/>
          <w:szCs w:val="20"/>
        </w:rPr>
        <w:t>(</w:t>
      </w:r>
      <w:proofErr w:type="spellStart"/>
      <w:proofErr w:type="gramEnd"/>
      <w:r>
        <w:rPr>
          <w:rFonts w:ascii="Courier New" w:eastAsia="Courier New" w:hAnsi="Courier New" w:cs="Courier New"/>
          <w:color w:val="1B3F6B"/>
          <w:sz w:val="20"/>
          <w:szCs w:val="20"/>
        </w:rPr>
        <w:t>daily_credits</w:t>
      </w:r>
      <w:proofErr w:type="spellEnd"/>
      <w:r>
        <w:rPr>
          <w:rFonts w:ascii="Courier New" w:eastAsia="Courier New" w:hAnsi="Courier New" w:cs="Courier New"/>
          <w:color w:val="1B3F6B"/>
          <w:sz w:val="20"/>
          <w:szCs w:val="20"/>
        </w:rPr>
        <w:t>, trailing_120_days)</w:t>
      </w:r>
    </w:p>
    <w:p w14:paraId="4EAA1050" w14:textId="77777777" w:rsidR="00BB1D38" w:rsidRDefault="00000000">
      <w:pPr>
        <w:spacing w:before="60" w:after="60"/>
        <w:ind w:left="720"/>
      </w:pPr>
      <w:proofErr w:type="spellStart"/>
      <w:r>
        <w:rPr>
          <w:rFonts w:ascii="Courier New" w:eastAsia="Courier New" w:hAnsi="Courier New" w:cs="Courier New"/>
          <w:color w:val="1B3F6B"/>
          <w:sz w:val="20"/>
          <w:szCs w:val="20"/>
        </w:rPr>
        <w:t>trend_score</w:t>
      </w:r>
      <w:proofErr w:type="spellEnd"/>
      <w:r>
        <w:rPr>
          <w:rFonts w:ascii="Courier New" w:eastAsia="Courier New" w:hAnsi="Courier New" w:cs="Courier New"/>
          <w:color w:val="1B3F6B"/>
          <w:sz w:val="20"/>
          <w:szCs w:val="20"/>
        </w:rPr>
        <w:t xml:space="preserve"> = CASE</w:t>
      </w:r>
    </w:p>
    <w:p w14:paraId="6D409F08" w14:textId="77777777" w:rsidR="00BB1D38" w:rsidRDefault="00000000">
      <w:pPr>
        <w:spacing w:before="60" w:after="60"/>
        <w:ind w:left="720"/>
      </w:pPr>
      <w:r>
        <w:rPr>
          <w:rFonts w:ascii="Courier New" w:eastAsia="Courier New" w:hAnsi="Courier New" w:cs="Courier New"/>
          <w:color w:val="1B3F6B"/>
          <w:sz w:val="20"/>
          <w:szCs w:val="20"/>
        </w:rPr>
        <w:t xml:space="preserve">  WHEN slope &gt; +5%/</w:t>
      </w:r>
      <w:proofErr w:type="gramStart"/>
      <w:r>
        <w:rPr>
          <w:rFonts w:ascii="Courier New" w:eastAsia="Courier New" w:hAnsi="Courier New" w:cs="Courier New"/>
          <w:color w:val="1B3F6B"/>
          <w:sz w:val="20"/>
          <w:szCs w:val="20"/>
        </w:rPr>
        <w:t>month  THEN</w:t>
      </w:r>
      <w:proofErr w:type="gramEnd"/>
      <w:r>
        <w:rPr>
          <w:rFonts w:ascii="Courier New" w:eastAsia="Courier New" w:hAnsi="Courier New" w:cs="Courier New"/>
          <w:color w:val="1B3F6B"/>
          <w:sz w:val="20"/>
          <w:szCs w:val="20"/>
        </w:rPr>
        <w:t xml:space="preserve"> 100   -- Strong growth</w:t>
      </w:r>
    </w:p>
    <w:p w14:paraId="6321EB2B" w14:textId="77777777" w:rsidR="00BB1D38" w:rsidRDefault="00000000">
      <w:pPr>
        <w:spacing w:before="60" w:after="60"/>
        <w:ind w:left="720"/>
      </w:pPr>
      <w:r>
        <w:rPr>
          <w:rFonts w:ascii="Courier New" w:eastAsia="Courier New" w:hAnsi="Courier New" w:cs="Courier New"/>
          <w:color w:val="1B3F6B"/>
          <w:sz w:val="20"/>
          <w:szCs w:val="20"/>
        </w:rPr>
        <w:t xml:space="preserve">  WHEN slope &gt; 0           THEN 75    -- Flat/slight growth</w:t>
      </w:r>
    </w:p>
    <w:p w14:paraId="2747B4CD" w14:textId="77777777" w:rsidR="00BB1D38" w:rsidRDefault="00000000">
      <w:pPr>
        <w:spacing w:before="60" w:after="60"/>
        <w:ind w:left="720"/>
      </w:pPr>
      <w:r>
        <w:rPr>
          <w:rFonts w:ascii="Courier New" w:eastAsia="Courier New" w:hAnsi="Courier New" w:cs="Courier New"/>
          <w:color w:val="1B3F6B"/>
          <w:sz w:val="20"/>
          <w:szCs w:val="20"/>
        </w:rPr>
        <w:t xml:space="preserve">  WHEN slope &gt; -5%/month   THEN 50    -- Slight decline</w:t>
      </w:r>
    </w:p>
    <w:p w14:paraId="04EFF0B2" w14:textId="77777777" w:rsidR="00BB1D38" w:rsidRDefault="00000000">
      <w:pPr>
        <w:spacing w:before="60" w:after="60"/>
        <w:ind w:left="720"/>
      </w:pPr>
      <w:r>
        <w:rPr>
          <w:rFonts w:ascii="Courier New" w:eastAsia="Courier New" w:hAnsi="Courier New" w:cs="Courier New"/>
          <w:color w:val="1B3F6B"/>
          <w:sz w:val="20"/>
          <w:szCs w:val="20"/>
        </w:rPr>
        <w:t xml:space="preserve">  WHEN slope &gt; -15%/</w:t>
      </w:r>
      <w:proofErr w:type="gramStart"/>
      <w:r>
        <w:rPr>
          <w:rFonts w:ascii="Courier New" w:eastAsia="Courier New" w:hAnsi="Courier New" w:cs="Courier New"/>
          <w:color w:val="1B3F6B"/>
          <w:sz w:val="20"/>
          <w:szCs w:val="20"/>
        </w:rPr>
        <w:t>month  THEN</w:t>
      </w:r>
      <w:proofErr w:type="gramEnd"/>
      <w:r>
        <w:rPr>
          <w:rFonts w:ascii="Courier New" w:eastAsia="Courier New" w:hAnsi="Courier New" w:cs="Courier New"/>
          <w:color w:val="1B3F6B"/>
          <w:sz w:val="20"/>
          <w:szCs w:val="20"/>
        </w:rPr>
        <w:t xml:space="preserve"> 25    -- Moderate decline</w:t>
      </w:r>
    </w:p>
    <w:p w14:paraId="03F19670" w14:textId="77777777" w:rsidR="00BB1D38" w:rsidRDefault="00000000">
      <w:pPr>
        <w:spacing w:before="60" w:after="60"/>
        <w:ind w:left="720"/>
      </w:pPr>
      <w:r>
        <w:rPr>
          <w:rFonts w:ascii="Courier New" w:eastAsia="Courier New" w:hAnsi="Courier New" w:cs="Courier New"/>
          <w:color w:val="1B3F6B"/>
          <w:sz w:val="20"/>
          <w:szCs w:val="20"/>
        </w:rPr>
        <w:t xml:space="preserve">  ELSE                           0    -- Steep decline</w:t>
      </w:r>
    </w:p>
    <w:p w14:paraId="2B672060" w14:textId="77777777" w:rsidR="00D54599" w:rsidRDefault="00D54599">
      <w:pPr>
        <w:spacing w:before="60" w:after="100"/>
        <w:rPr>
          <w:color w:val="333333"/>
        </w:rPr>
      </w:pPr>
    </w:p>
    <w:p w14:paraId="6624FBE2" w14:textId="7D9DD7A7" w:rsidR="00BB1D38" w:rsidRDefault="00000000">
      <w:pPr>
        <w:spacing w:before="60" w:after="100"/>
      </w:pPr>
      <w:r>
        <w:rPr>
          <w:color w:val="333333"/>
        </w:rPr>
        <w:t>Window rationale: 120 days was selected over shorter windows (60, 90 days) to reduce noise in enterprise B2B consumption patterns, which are inherently bursty around deployment milestones, quarter-end, and contract renewals.</w:t>
      </w:r>
    </w:p>
    <w:p w14:paraId="33E00BF5" w14:textId="77777777" w:rsidR="00BB1D38" w:rsidRDefault="00BB1D38">
      <w:pPr>
        <w:pBdr>
          <w:bottom w:val="single" w:sz="4" w:space="1" w:color="DDDDDD"/>
        </w:pBdr>
        <w:spacing w:before="120" w:after="120"/>
      </w:pPr>
    </w:p>
    <w:p w14:paraId="35377D56" w14:textId="77777777" w:rsidR="00BB1D38" w:rsidRDefault="00000000">
      <w:pPr>
        <w:pStyle w:val="Heading1"/>
      </w:pPr>
      <w:r>
        <w:rPr>
          <w:color w:val="1B3F6B"/>
        </w:rPr>
        <w:t>6. Edge Case Handling</w:t>
      </w:r>
    </w:p>
    <w:p w14:paraId="47DECA79" w14:textId="4CC442CA" w:rsidR="00BB1D38" w:rsidRDefault="00000000" w:rsidP="00D54599">
      <w:pPr>
        <w:spacing w:before="60" w:after="100"/>
      </w:pPr>
      <w:r>
        <w:rPr>
          <w:color w:val="333333"/>
        </w:rPr>
        <w:t>The following five edge cases are explicitly seeded into the synthetic dataset. Each is handled at the metric calculation layer, not filtered out.</w:t>
      </w:r>
    </w:p>
    <w:tbl>
      <w:tblPr>
        <w:tblW w:w="109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019"/>
        <w:gridCol w:w="2880"/>
        <w:gridCol w:w="2880"/>
      </w:tblGrid>
      <w:tr w:rsidR="00BB1D38" w14:paraId="74C2CA1D" w14:textId="77777777" w:rsidTr="00D54599">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B3F6B"/>
            <w:tcMar>
              <w:top w:w="80" w:type="dxa"/>
              <w:left w:w="120" w:type="dxa"/>
              <w:bottom w:w="80" w:type="dxa"/>
              <w:right w:w="120" w:type="dxa"/>
            </w:tcMar>
          </w:tcPr>
          <w:p w14:paraId="490A68BC" w14:textId="77777777" w:rsidR="00BB1D38" w:rsidRDefault="00000000">
            <w:r>
              <w:rPr>
                <w:b/>
                <w:bCs/>
                <w:color w:val="FFFFFF"/>
                <w:sz w:val="20"/>
                <w:szCs w:val="20"/>
              </w:rPr>
              <w:t>Edge Case</w:t>
            </w:r>
          </w:p>
        </w:tc>
        <w:tc>
          <w:tcPr>
            <w:tcW w:w="3019" w:type="dxa"/>
            <w:tcBorders>
              <w:top w:val="single" w:sz="1" w:space="0" w:color="CCCCCC"/>
              <w:left w:val="single" w:sz="1" w:space="0" w:color="CCCCCC"/>
              <w:bottom w:val="single" w:sz="1" w:space="0" w:color="CCCCCC"/>
              <w:right w:val="single" w:sz="1" w:space="0" w:color="CCCCCC"/>
            </w:tcBorders>
            <w:shd w:val="clear" w:color="auto" w:fill="1B3F6B"/>
            <w:tcMar>
              <w:top w:w="80" w:type="dxa"/>
              <w:left w:w="120" w:type="dxa"/>
              <w:bottom w:w="80" w:type="dxa"/>
              <w:right w:w="120" w:type="dxa"/>
            </w:tcMar>
          </w:tcPr>
          <w:p w14:paraId="2F60D9E7" w14:textId="77777777" w:rsidR="00BB1D38" w:rsidRDefault="00000000">
            <w:r>
              <w:rPr>
                <w:b/>
                <w:bCs/>
                <w:color w:val="FFFFFF"/>
                <w:sz w:val="20"/>
                <w:szCs w:val="20"/>
              </w:rPr>
              <w:t>Detection Logic</w:t>
            </w:r>
          </w:p>
        </w:tc>
        <w:tc>
          <w:tcPr>
            <w:tcW w:w="2880" w:type="dxa"/>
            <w:tcBorders>
              <w:top w:val="single" w:sz="1" w:space="0" w:color="CCCCCC"/>
              <w:left w:val="single" w:sz="1" w:space="0" w:color="CCCCCC"/>
              <w:bottom w:val="single" w:sz="1" w:space="0" w:color="CCCCCC"/>
              <w:right w:val="single" w:sz="1" w:space="0" w:color="CCCCCC"/>
            </w:tcBorders>
            <w:shd w:val="clear" w:color="auto" w:fill="1B3F6B"/>
            <w:tcMar>
              <w:top w:w="80" w:type="dxa"/>
              <w:left w:w="120" w:type="dxa"/>
              <w:bottom w:w="80" w:type="dxa"/>
              <w:right w:w="120" w:type="dxa"/>
            </w:tcMar>
          </w:tcPr>
          <w:p w14:paraId="31943215" w14:textId="77777777" w:rsidR="00BB1D38" w:rsidRDefault="00000000">
            <w:r>
              <w:rPr>
                <w:b/>
                <w:bCs/>
                <w:color w:val="FFFFFF"/>
                <w:sz w:val="20"/>
                <w:szCs w:val="20"/>
              </w:rPr>
              <w:t>AHI Impact</w:t>
            </w:r>
          </w:p>
        </w:tc>
        <w:tc>
          <w:tcPr>
            <w:tcW w:w="2880" w:type="dxa"/>
            <w:tcBorders>
              <w:top w:val="single" w:sz="1" w:space="0" w:color="CCCCCC"/>
              <w:left w:val="single" w:sz="1" w:space="0" w:color="CCCCCC"/>
              <w:bottom w:val="single" w:sz="1" w:space="0" w:color="CCCCCC"/>
              <w:right w:val="single" w:sz="1" w:space="0" w:color="CCCCCC"/>
            </w:tcBorders>
            <w:shd w:val="clear" w:color="auto" w:fill="1B3F6B"/>
            <w:tcMar>
              <w:top w:w="80" w:type="dxa"/>
              <w:left w:w="120" w:type="dxa"/>
              <w:bottom w:w="80" w:type="dxa"/>
              <w:right w:w="120" w:type="dxa"/>
            </w:tcMar>
          </w:tcPr>
          <w:p w14:paraId="1D522E31" w14:textId="77777777" w:rsidR="00BB1D38" w:rsidRDefault="00000000">
            <w:r>
              <w:rPr>
                <w:b/>
                <w:bCs/>
                <w:color w:val="FFFFFF"/>
                <w:sz w:val="20"/>
                <w:szCs w:val="20"/>
              </w:rPr>
              <w:t>CSM Action Signal</w:t>
            </w:r>
          </w:p>
        </w:tc>
      </w:tr>
      <w:tr w:rsidR="00BB1D38" w14:paraId="2E444896" w14:textId="77777777" w:rsidTr="00D5459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D0C334" w14:textId="77777777" w:rsidR="00BB1D38" w:rsidRDefault="00000000">
            <w:r>
              <w:rPr>
                <w:color w:val="333333"/>
                <w:sz w:val="20"/>
                <w:szCs w:val="20"/>
              </w:rPr>
              <w:t>Spike &amp; Drop (~5% of accounts)</w:t>
            </w:r>
          </w:p>
        </w:tc>
        <w:tc>
          <w:tcPr>
            <w:tcW w:w="30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DD87B8" w14:textId="77777777" w:rsidR="00BB1D38" w:rsidRDefault="00000000">
            <w:r>
              <w:rPr>
                <w:color w:val="333333"/>
                <w:sz w:val="20"/>
                <w:szCs w:val="20"/>
              </w:rPr>
              <w:t>Engagement Trend: negative 120-day slope visible by month 2 after spike</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AC71FC" w14:textId="77777777" w:rsidR="00BB1D38" w:rsidRDefault="00000000">
            <w:r>
              <w:rPr>
                <w:color w:val="333333"/>
                <w:sz w:val="20"/>
                <w:szCs w:val="20"/>
              </w:rPr>
              <w:t xml:space="preserve">Trend score → 0–25. </w:t>
            </w:r>
            <w:proofErr w:type="gramStart"/>
            <w:r>
              <w:rPr>
                <w:color w:val="333333"/>
                <w:sz w:val="20"/>
                <w:szCs w:val="20"/>
              </w:rPr>
              <w:t>Overall</w:t>
            </w:r>
            <w:proofErr w:type="gramEnd"/>
            <w:r>
              <w:rPr>
                <w:color w:val="333333"/>
                <w:sz w:val="20"/>
                <w:szCs w:val="20"/>
              </w:rPr>
              <w:t xml:space="preserve"> AHI drops 15–20 pts</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9DD013" w14:textId="77777777" w:rsidR="00BB1D38" w:rsidRDefault="00000000">
            <w:r>
              <w:rPr>
                <w:color w:val="333333"/>
                <w:sz w:val="20"/>
                <w:szCs w:val="20"/>
              </w:rPr>
              <w:t>Escalate to CSM for re-engagement plan</w:t>
            </w:r>
          </w:p>
        </w:tc>
      </w:tr>
      <w:tr w:rsidR="00BB1D38" w14:paraId="7DDDA9AD" w14:textId="77777777" w:rsidTr="00D5459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0CA17A9C" w14:textId="77777777" w:rsidR="00BB1D38" w:rsidRDefault="00000000">
            <w:r>
              <w:rPr>
                <w:color w:val="333333"/>
                <w:sz w:val="20"/>
                <w:szCs w:val="20"/>
              </w:rPr>
              <w:t>Shelfware (~10% of accounts)</w:t>
            </w:r>
          </w:p>
        </w:tc>
        <w:tc>
          <w:tcPr>
            <w:tcW w:w="3019"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29E97D87" w14:textId="77777777" w:rsidR="00BB1D38" w:rsidRDefault="00000000">
            <w:r>
              <w:rPr>
                <w:color w:val="333333"/>
                <w:sz w:val="20"/>
                <w:szCs w:val="20"/>
              </w:rPr>
              <w:t>Deployment Depth = 0, Consumption Health ≈ 0</w:t>
            </w:r>
          </w:p>
        </w:tc>
        <w:tc>
          <w:tcPr>
            <w:tcW w:w="288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7D816920" w14:textId="77777777" w:rsidR="00BB1D38" w:rsidRDefault="00000000">
            <w:r>
              <w:rPr>
                <w:color w:val="333333"/>
                <w:sz w:val="20"/>
                <w:szCs w:val="20"/>
              </w:rPr>
              <w:t>AHI floors at 0–20 (Stability + Trend only)</w:t>
            </w:r>
          </w:p>
        </w:tc>
        <w:tc>
          <w:tcPr>
            <w:tcW w:w="288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68AADC98" w14:textId="77777777" w:rsidR="00BB1D38" w:rsidRDefault="00000000">
            <w:r>
              <w:rPr>
                <w:color w:val="333333"/>
                <w:sz w:val="20"/>
                <w:szCs w:val="20"/>
              </w:rPr>
              <w:t>Flag for deployment health review</w:t>
            </w:r>
          </w:p>
        </w:tc>
      </w:tr>
      <w:tr w:rsidR="00BB1D38" w14:paraId="4ED86627" w14:textId="77777777" w:rsidTr="00D5459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C358B8" w14:textId="77777777" w:rsidR="00BB1D38" w:rsidRDefault="00000000">
            <w:r>
              <w:rPr>
                <w:color w:val="333333"/>
                <w:sz w:val="20"/>
                <w:szCs w:val="20"/>
              </w:rPr>
              <w:t>Consistent Overages (~15% of accounts)</w:t>
            </w:r>
          </w:p>
        </w:tc>
        <w:tc>
          <w:tcPr>
            <w:tcW w:w="30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2F62E2" w14:textId="77777777" w:rsidR="00BB1D38" w:rsidRDefault="00000000">
            <w:proofErr w:type="spellStart"/>
            <w:r>
              <w:rPr>
                <w:color w:val="333333"/>
                <w:sz w:val="20"/>
                <w:szCs w:val="20"/>
              </w:rPr>
              <w:t>raw_ratio</w:t>
            </w:r>
            <w:proofErr w:type="spellEnd"/>
            <w:r>
              <w:rPr>
                <w:color w:val="333333"/>
                <w:sz w:val="20"/>
                <w:szCs w:val="20"/>
              </w:rPr>
              <w:t xml:space="preserve"> &gt; 1.20 triggers 0.85 penalty multiplier on Consumption score</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F1625A" w14:textId="77777777" w:rsidR="00BB1D38" w:rsidRDefault="00000000">
            <w:r>
              <w:rPr>
                <w:color w:val="333333"/>
                <w:sz w:val="20"/>
                <w:szCs w:val="20"/>
              </w:rPr>
              <w:t>Consumption score reduced ~15%. Flagged in output table</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6DFE6" w14:textId="77777777" w:rsidR="00BB1D38" w:rsidRDefault="00000000">
            <w:r>
              <w:rPr>
                <w:color w:val="333333"/>
                <w:sz w:val="20"/>
                <w:szCs w:val="20"/>
              </w:rPr>
              <w:t>CSM to initiate upsell/right-size conversation</w:t>
            </w:r>
          </w:p>
        </w:tc>
      </w:tr>
      <w:tr w:rsidR="00BB1D38" w14:paraId="41F11335" w14:textId="77777777" w:rsidTr="00D5459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5ED3B9B6" w14:textId="77777777" w:rsidR="00BB1D38" w:rsidRDefault="00000000">
            <w:r>
              <w:rPr>
                <w:color w:val="333333"/>
                <w:sz w:val="20"/>
                <w:szCs w:val="20"/>
              </w:rPr>
              <w:t>Mid-Year Expansions</w:t>
            </w:r>
          </w:p>
        </w:tc>
        <w:tc>
          <w:tcPr>
            <w:tcW w:w="3019"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7B886942" w14:textId="77777777" w:rsidR="00BB1D38" w:rsidRDefault="00000000">
            <w:r>
              <w:rPr>
                <w:color w:val="333333"/>
                <w:sz w:val="20"/>
                <w:szCs w:val="20"/>
              </w:rPr>
              <w:t xml:space="preserve">New contract resets </w:t>
            </w:r>
            <w:proofErr w:type="spellStart"/>
            <w:r>
              <w:rPr>
                <w:color w:val="333333"/>
                <w:sz w:val="20"/>
                <w:szCs w:val="20"/>
              </w:rPr>
              <w:t>committed_credits</w:t>
            </w:r>
            <w:proofErr w:type="spellEnd"/>
            <w:r>
              <w:rPr>
                <w:color w:val="333333"/>
                <w:sz w:val="20"/>
                <w:szCs w:val="20"/>
              </w:rPr>
              <w:t xml:space="preserve"> denominator from expansion </w:t>
            </w:r>
            <w:proofErr w:type="spellStart"/>
            <w:r>
              <w:rPr>
                <w:color w:val="333333"/>
                <w:sz w:val="20"/>
                <w:szCs w:val="20"/>
              </w:rPr>
              <w:t>start_date</w:t>
            </w:r>
            <w:proofErr w:type="spellEnd"/>
          </w:p>
        </w:tc>
        <w:tc>
          <w:tcPr>
            <w:tcW w:w="288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3B3B09A1" w14:textId="77777777" w:rsidR="00BB1D38" w:rsidRDefault="00000000">
            <w:r>
              <w:rPr>
                <w:color w:val="333333"/>
                <w:sz w:val="20"/>
                <w:szCs w:val="20"/>
              </w:rPr>
              <w:t>Consumption ratio recalculated against new baseline</w:t>
            </w:r>
          </w:p>
        </w:tc>
        <w:tc>
          <w:tcPr>
            <w:tcW w:w="288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62ED3AAE" w14:textId="77777777" w:rsidR="00BB1D38" w:rsidRDefault="00000000">
            <w:r>
              <w:rPr>
                <w:color w:val="333333"/>
                <w:sz w:val="20"/>
                <w:szCs w:val="20"/>
              </w:rPr>
              <w:t>No action needed; expansion is a positive signal</w:t>
            </w:r>
          </w:p>
        </w:tc>
      </w:tr>
      <w:tr w:rsidR="00BB1D38" w14:paraId="2012CDBF" w14:textId="77777777" w:rsidTr="00D5459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7AA49B" w14:textId="77777777" w:rsidR="00BB1D38" w:rsidRDefault="00000000">
            <w:r>
              <w:rPr>
                <w:color w:val="333333"/>
                <w:sz w:val="20"/>
                <w:szCs w:val="20"/>
              </w:rPr>
              <w:t>Orphaned/Rogue Usage</w:t>
            </w:r>
          </w:p>
        </w:tc>
        <w:tc>
          <w:tcPr>
            <w:tcW w:w="30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09ABAB" w14:textId="77777777" w:rsidR="00BB1D38" w:rsidRDefault="00000000">
            <w:r>
              <w:rPr>
                <w:color w:val="333333"/>
                <w:sz w:val="20"/>
                <w:szCs w:val="20"/>
              </w:rPr>
              <w:t xml:space="preserve">DQ test catches </w:t>
            </w:r>
            <w:proofErr w:type="spellStart"/>
            <w:r>
              <w:rPr>
                <w:color w:val="333333"/>
                <w:sz w:val="20"/>
                <w:szCs w:val="20"/>
              </w:rPr>
              <w:t>account_ids</w:t>
            </w:r>
            <w:proofErr w:type="spellEnd"/>
            <w:r>
              <w:rPr>
                <w:color w:val="333333"/>
                <w:sz w:val="20"/>
                <w:szCs w:val="20"/>
              </w:rPr>
              <w:t xml:space="preserve"> with no match in Accounts table or usage outside contract dates</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0BA566" w14:textId="77777777" w:rsidR="00BB1D38" w:rsidRDefault="00000000">
            <w:r>
              <w:rPr>
                <w:color w:val="333333"/>
                <w:sz w:val="20"/>
                <w:szCs w:val="20"/>
              </w:rPr>
              <w:t>Excluded entirely from AHI calculation</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D511A6" w14:textId="77777777" w:rsidR="00BB1D38" w:rsidRDefault="00000000">
            <w:r>
              <w:rPr>
                <w:color w:val="333333"/>
                <w:sz w:val="20"/>
                <w:szCs w:val="20"/>
              </w:rPr>
              <w:t>Route to data engineering for source system audit</w:t>
            </w:r>
          </w:p>
        </w:tc>
      </w:tr>
    </w:tbl>
    <w:p w14:paraId="1FAF20FE" w14:textId="77777777" w:rsidR="00BB1D38" w:rsidRDefault="00BB1D38">
      <w:pPr>
        <w:pBdr>
          <w:bottom w:val="single" w:sz="4" w:space="1" w:color="DDDDDD"/>
        </w:pBdr>
        <w:spacing w:before="120" w:after="120"/>
      </w:pPr>
    </w:p>
    <w:p w14:paraId="1C917296" w14:textId="77777777" w:rsidR="00BB1D38" w:rsidRDefault="00000000">
      <w:pPr>
        <w:pStyle w:val="Heading1"/>
      </w:pPr>
      <w:r>
        <w:rPr>
          <w:color w:val="1B3F6B"/>
        </w:rPr>
        <w:t>7. Rollup &amp; Aggregation Logic</w:t>
      </w:r>
    </w:p>
    <w:p w14:paraId="12E5B4D2" w14:textId="77777777" w:rsidR="00BB1D38" w:rsidRDefault="00000000">
      <w:pPr>
        <w:pStyle w:val="Heading2"/>
      </w:pPr>
      <w:r>
        <w:rPr>
          <w:color w:val="1B3F6B"/>
        </w:rPr>
        <w:t>7.1 Account level</w:t>
      </w:r>
    </w:p>
    <w:p w14:paraId="115684FA" w14:textId="77777777" w:rsidR="00BB1D38" w:rsidRDefault="00000000">
      <w:pPr>
        <w:spacing w:before="60" w:after="100"/>
      </w:pPr>
      <w:r>
        <w:rPr>
          <w:color w:val="333333"/>
        </w:rPr>
        <w:t xml:space="preserve">AHI is calculated monthly per </w:t>
      </w:r>
      <w:proofErr w:type="spellStart"/>
      <w:r>
        <w:rPr>
          <w:color w:val="333333"/>
        </w:rPr>
        <w:t>account_id</w:t>
      </w:r>
      <w:proofErr w:type="spellEnd"/>
      <w:r>
        <w:rPr>
          <w:color w:val="333333"/>
        </w:rPr>
        <w:t xml:space="preserve"> using the formula above. Output table: </w:t>
      </w:r>
      <w:proofErr w:type="spellStart"/>
      <w:r>
        <w:rPr>
          <w:color w:val="333333"/>
        </w:rPr>
        <w:t>account_ahi_monthly</w:t>
      </w:r>
      <w:proofErr w:type="spellEnd"/>
      <w:r>
        <w:rPr>
          <w:color w:val="333333"/>
        </w:rPr>
        <w:t xml:space="preserve"> (</w:t>
      </w:r>
      <w:proofErr w:type="spellStart"/>
      <w:r>
        <w:rPr>
          <w:color w:val="333333"/>
        </w:rPr>
        <w:t>account_id</w:t>
      </w:r>
      <w:proofErr w:type="spellEnd"/>
      <w:r>
        <w:rPr>
          <w:color w:val="333333"/>
        </w:rPr>
        <w:t xml:space="preserve">, month, </w:t>
      </w:r>
      <w:proofErr w:type="spellStart"/>
      <w:r>
        <w:rPr>
          <w:color w:val="333333"/>
        </w:rPr>
        <w:t>ahi_score</w:t>
      </w:r>
      <w:proofErr w:type="spellEnd"/>
      <w:r>
        <w:rPr>
          <w:color w:val="333333"/>
        </w:rPr>
        <w:t xml:space="preserve">, </w:t>
      </w:r>
      <w:proofErr w:type="spellStart"/>
      <w:r>
        <w:rPr>
          <w:color w:val="333333"/>
        </w:rPr>
        <w:t>consumption_score</w:t>
      </w:r>
      <w:proofErr w:type="spellEnd"/>
      <w:r>
        <w:rPr>
          <w:color w:val="333333"/>
        </w:rPr>
        <w:t xml:space="preserve">, </w:t>
      </w:r>
      <w:proofErr w:type="spellStart"/>
      <w:r>
        <w:rPr>
          <w:color w:val="333333"/>
        </w:rPr>
        <w:t>deployment_score</w:t>
      </w:r>
      <w:proofErr w:type="spellEnd"/>
      <w:r>
        <w:rPr>
          <w:color w:val="333333"/>
        </w:rPr>
        <w:t xml:space="preserve">, </w:t>
      </w:r>
      <w:proofErr w:type="spellStart"/>
      <w:r>
        <w:rPr>
          <w:color w:val="333333"/>
        </w:rPr>
        <w:t>stability_score</w:t>
      </w:r>
      <w:proofErr w:type="spellEnd"/>
      <w:r>
        <w:rPr>
          <w:color w:val="333333"/>
        </w:rPr>
        <w:t xml:space="preserve">, </w:t>
      </w:r>
      <w:proofErr w:type="spellStart"/>
      <w:r>
        <w:rPr>
          <w:color w:val="333333"/>
        </w:rPr>
        <w:t>trend_score</w:t>
      </w:r>
      <w:proofErr w:type="spellEnd"/>
      <w:r>
        <w:rPr>
          <w:color w:val="333333"/>
        </w:rPr>
        <w:t xml:space="preserve">, </w:t>
      </w:r>
      <w:proofErr w:type="spellStart"/>
      <w:r>
        <w:rPr>
          <w:color w:val="333333"/>
        </w:rPr>
        <w:t>overage_flag</w:t>
      </w:r>
      <w:proofErr w:type="spellEnd"/>
      <w:r>
        <w:rPr>
          <w:color w:val="333333"/>
        </w:rPr>
        <w:t xml:space="preserve">, </w:t>
      </w:r>
      <w:proofErr w:type="spellStart"/>
      <w:r>
        <w:rPr>
          <w:color w:val="333333"/>
        </w:rPr>
        <w:t>orphan_flag</w:t>
      </w:r>
      <w:proofErr w:type="spellEnd"/>
      <w:r>
        <w:rPr>
          <w:color w:val="333333"/>
        </w:rPr>
        <w:t>).</w:t>
      </w:r>
    </w:p>
    <w:p w14:paraId="3F383680" w14:textId="77777777" w:rsidR="00BB1D38" w:rsidRDefault="00000000">
      <w:pPr>
        <w:pStyle w:val="Heading2"/>
      </w:pPr>
      <w:r>
        <w:rPr>
          <w:color w:val="1B3F6B"/>
        </w:rPr>
        <w:t>7.2 CSM level</w:t>
      </w:r>
    </w:p>
    <w:p w14:paraId="6A8F9182" w14:textId="77777777" w:rsidR="00BB1D38" w:rsidRDefault="00000000">
      <w:pPr>
        <w:spacing w:before="60" w:after="100"/>
      </w:pPr>
      <w:r>
        <w:rPr>
          <w:color w:val="333333"/>
        </w:rPr>
        <w:t>CSM-level AHI is the ARR-weighted average of all active accounts in the CSM's book of business for the month.</w:t>
      </w:r>
    </w:p>
    <w:p w14:paraId="20CE0D3B" w14:textId="77777777" w:rsidR="00BB1D38" w:rsidRDefault="00000000">
      <w:pPr>
        <w:spacing w:before="60" w:after="60"/>
        <w:ind w:left="720"/>
      </w:pPr>
      <w:proofErr w:type="spellStart"/>
      <w:r>
        <w:rPr>
          <w:rFonts w:ascii="Courier New" w:eastAsia="Courier New" w:hAnsi="Courier New" w:cs="Courier New"/>
          <w:color w:val="1B3F6B"/>
          <w:sz w:val="20"/>
          <w:szCs w:val="20"/>
        </w:rPr>
        <w:t>csm_ahi</w:t>
      </w:r>
      <w:proofErr w:type="spellEnd"/>
      <w:r>
        <w:rPr>
          <w:rFonts w:ascii="Courier New" w:eastAsia="Courier New" w:hAnsi="Courier New" w:cs="Courier New"/>
          <w:color w:val="1B3F6B"/>
          <w:sz w:val="20"/>
          <w:szCs w:val="20"/>
        </w:rPr>
        <w:t xml:space="preserve"> = </w:t>
      </w:r>
      <w:proofErr w:type="gramStart"/>
      <w:r>
        <w:rPr>
          <w:rFonts w:ascii="Courier New" w:eastAsia="Courier New" w:hAnsi="Courier New" w:cs="Courier New"/>
          <w:color w:val="1B3F6B"/>
          <w:sz w:val="20"/>
          <w:szCs w:val="20"/>
        </w:rPr>
        <w:t>SUM(</w:t>
      </w:r>
      <w:proofErr w:type="spellStart"/>
      <w:proofErr w:type="gramEnd"/>
      <w:r>
        <w:rPr>
          <w:rFonts w:ascii="Courier New" w:eastAsia="Courier New" w:hAnsi="Courier New" w:cs="Courier New"/>
          <w:color w:val="1B3F6B"/>
          <w:sz w:val="20"/>
          <w:szCs w:val="20"/>
        </w:rPr>
        <w:t>account_ahi</w:t>
      </w:r>
      <w:proofErr w:type="spellEnd"/>
      <w:r>
        <w:rPr>
          <w:rFonts w:ascii="Courier New" w:eastAsia="Courier New" w:hAnsi="Courier New" w:cs="Courier New"/>
          <w:color w:val="1B3F6B"/>
          <w:sz w:val="20"/>
          <w:szCs w:val="20"/>
        </w:rPr>
        <w:t xml:space="preserve"> × </w:t>
      </w:r>
      <w:proofErr w:type="spellStart"/>
      <w:r>
        <w:rPr>
          <w:rFonts w:ascii="Courier New" w:eastAsia="Courier New" w:hAnsi="Courier New" w:cs="Courier New"/>
          <w:color w:val="1B3F6B"/>
          <w:sz w:val="20"/>
          <w:szCs w:val="20"/>
        </w:rPr>
        <w:t>account_arr</w:t>
      </w:r>
      <w:proofErr w:type="spellEnd"/>
      <w:r>
        <w:rPr>
          <w:rFonts w:ascii="Courier New" w:eastAsia="Courier New" w:hAnsi="Courier New" w:cs="Courier New"/>
          <w:color w:val="1B3F6B"/>
          <w:sz w:val="20"/>
          <w:szCs w:val="20"/>
        </w:rPr>
        <w:t xml:space="preserve">) / </w:t>
      </w:r>
      <w:proofErr w:type="gramStart"/>
      <w:r>
        <w:rPr>
          <w:rFonts w:ascii="Courier New" w:eastAsia="Courier New" w:hAnsi="Courier New" w:cs="Courier New"/>
          <w:color w:val="1B3F6B"/>
          <w:sz w:val="20"/>
          <w:szCs w:val="20"/>
        </w:rPr>
        <w:t>SUM(</w:t>
      </w:r>
      <w:proofErr w:type="spellStart"/>
      <w:proofErr w:type="gramEnd"/>
      <w:r>
        <w:rPr>
          <w:rFonts w:ascii="Courier New" w:eastAsia="Courier New" w:hAnsi="Courier New" w:cs="Courier New"/>
          <w:color w:val="1B3F6B"/>
          <w:sz w:val="20"/>
          <w:szCs w:val="20"/>
        </w:rPr>
        <w:t>account_arr</w:t>
      </w:r>
      <w:proofErr w:type="spellEnd"/>
      <w:r>
        <w:rPr>
          <w:rFonts w:ascii="Courier New" w:eastAsia="Courier New" w:hAnsi="Courier New" w:cs="Courier New"/>
          <w:color w:val="1B3F6B"/>
          <w:sz w:val="20"/>
          <w:szCs w:val="20"/>
        </w:rPr>
        <w:t>)</w:t>
      </w:r>
    </w:p>
    <w:p w14:paraId="1BDE6495" w14:textId="77777777" w:rsidR="00BB1D38" w:rsidRDefault="00000000">
      <w:pPr>
        <w:spacing w:before="60" w:after="100"/>
      </w:pPr>
      <w:r>
        <w:rPr>
          <w:color w:val="333333"/>
        </w:rPr>
        <w:t>Weighting by ARR ensures that a single large at-risk account has appropriate influence on the CSM's aggregate score, rather than being diluted by a large count of healthy small accounts.</w:t>
      </w:r>
    </w:p>
    <w:p w14:paraId="3DC55AEE" w14:textId="77777777" w:rsidR="00BB1D38" w:rsidRDefault="00000000">
      <w:pPr>
        <w:pStyle w:val="Heading2"/>
      </w:pPr>
      <w:r>
        <w:rPr>
          <w:color w:val="1B3F6B"/>
        </w:rPr>
        <w:t>7.3 Regional rollup</w:t>
      </w:r>
    </w:p>
    <w:p w14:paraId="573E3C25" w14:textId="77777777" w:rsidR="00BB1D38" w:rsidRDefault="00000000">
      <w:pPr>
        <w:spacing w:before="60" w:after="100"/>
      </w:pPr>
      <w:r>
        <w:rPr>
          <w:color w:val="333333"/>
        </w:rPr>
        <w:t>Region-level AHI is the ARR-weighted average of all CSM-level AHI scores within the region. Segment breakdowns (Enterprise / Mid-Market) are available as a filter dimension, not a separate calculation.</w:t>
      </w:r>
    </w:p>
    <w:p w14:paraId="09962F90" w14:textId="77777777" w:rsidR="00BB1D38" w:rsidRDefault="00BB1D38">
      <w:pPr>
        <w:pBdr>
          <w:bottom w:val="single" w:sz="4" w:space="1" w:color="DDDDDD"/>
        </w:pBdr>
        <w:spacing w:before="120" w:after="120"/>
      </w:pPr>
    </w:p>
    <w:p w14:paraId="61AB4BCD" w14:textId="77777777" w:rsidR="00BB1D38" w:rsidRDefault="00000000">
      <w:pPr>
        <w:pStyle w:val="Heading1"/>
      </w:pPr>
      <w:r>
        <w:rPr>
          <w:color w:val="1B3F6B"/>
        </w:rPr>
        <w:t>8. AI Components</w:t>
      </w:r>
    </w:p>
    <w:p w14:paraId="5DC75436" w14:textId="77777777" w:rsidR="00D54599" w:rsidRDefault="00000000">
      <w:pPr>
        <w:spacing w:before="60" w:after="100"/>
        <w:rPr>
          <w:color w:val="333333"/>
        </w:rPr>
      </w:pPr>
      <w:r>
        <w:rPr>
          <w:color w:val="333333"/>
        </w:rPr>
        <w:t xml:space="preserve">AHI v1 incorporates two AI components inside the solution, in addition to AI-assisted development tooling used to build the pipeline and dashboard. </w:t>
      </w:r>
    </w:p>
    <w:p w14:paraId="0387E2ED" w14:textId="7439859A" w:rsidR="00BB1D38" w:rsidRDefault="00000000">
      <w:pPr>
        <w:spacing w:before="60" w:after="100"/>
      </w:pPr>
      <w:r>
        <w:rPr>
          <w:color w:val="333333"/>
        </w:rPr>
        <w:lastRenderedPageBreak/>
        <w:t>These components are distinct: one operates on structured data (anomaly detection), the other on the metric output (narrative generation).</w:t>
      </w:r>
    </w:p>
    <w:p w14:paraId="0F193D59" w14:textId="77777777" w:rsidR="00BB1D38" w:rsidRDefault="00000000">
      <w:pPr>
        <w:pStyle w:val="Heading2"/>
      </w:pPr>
      <w:r>
        <w:rPr>
          <w:color w:val="1B3F6B"/>
        </w:rPr>
        <w:t>8.1 Anomaly Detection — Isolation Forest (Engagement Trend modifier)</w:t>
      </w:r>
    </w:p>
    <w:p w14:paraId="565328FE" w14:textId="1D518169" w:rsidR="00BB1D38" w:rsidRDefault="00000000">
      <w:pPr>
        <w:spacing w:before="60" w:after="100"/>
      </w:pPr>
      <w:r>
        <w:rPr>
          <w:color w:val="333333"/>
        </w:rPr>
        <w:t xml:space="preserve">An Isolation Forest model runs on each account's trailing 120-day daily usage log to detect statistically anomalous consumption patterns that linear regression slope alone cannot catch. </w:t>
      </w:r>
      <w:r w:rsidR="00D54599">
        <w:rPr>
          <w:color w:val="333333"/>
        </w:rPr>
        <w:t>Specifically,</w:t>
      </w:r>
      <w:r>
        <w:rPr>
          <w:color w:val="333333"/>
        </w:rPr>
        <w:t xml:space="preserve"> it targets spike-and-drop accounts — those that consumed heavily in early months then dropped to near zero — whose regression slope may appear only mildly negative despite representing a serious health risk.</w:t>
      </w:r>
    </w:p>
    <w:p w14:paraId="1F6A47B3" w14:textId="77777777" w:rsidR="00D54599" w:rsidRDefault="00D54599">
      <w:pPr>
        <w:spacing w:before="60" w:after="100"/>
        <w:rPr>
          <w:color w:val="333333"/>
        </w:rPr>
      </w:pPr>
    </w:p>
    <w:p w14:paraId="4F5871D0" w14:textId="5ADE5B88" w:rsidR="00BB1D38" w:rsidRDefault="00000000">
      <w:pPr>
        <w:spacing w:before="60" w:after="100"/>
      </w:pPr>
      <w:r>
        <w:rPr>
          <w:color w:val="333333"/>
        </w:rPr>
        <w:t>Technical design:</w:t>
      </w:r>
    </w:p>
    <w:p w14:paraId="0F1314BA" w14:textId="77777777" w:rsidR="00BB1D38" w:rsidRDefault="00000000">
      <w:pPr>
        <w:pStyle w:val="ListParagraph"/>
        <w:numPr>
          <w:ilvl w:val="0"/>
          <w:numId w:val="2"/>
        </w:numPr>
        <w:spacing w:before="40" w:after="40"/>
      </w:pPr>
      <w:r w:rsidRPr="00D54599">
        <w:rPr>
          <w:b/>
          <w:bCs/>
          <w:color w:val="333333"/>
        </w:rPr>
        <w:t>Model</w:t>
      </w:r>
      <w:r>
        <w:rPr>
          <w:color w:val="333333"/>
        </w:rPr>
        <w:t xml:space="preserve">: </w:t>
      </w:r>
      <w:proofErr w:type="spellStart"/>
      <w:r>
        <w:rPr>
          <w:color w:val="333333"/>
        </w:rPr>
        <w:t>sklearn</w:t>
      </w:r>
      <w:proofErr w:type="spellEnd"/>
      <w:r>
        <w:rPr>
          <w:color w:val="333333"/>
        </w:rPr>
        <w:t xml:space="preserve"> </w:t>
      </w:r>
      <w:proofErr w:type="spellStart"/>
      <w:r>
        <w:rPr>
          <w:color w:val="333333"/>
        </w:rPr>
        <w:t>IsolationForest</w:t>
      </w:r>
      <w:proofErr w:type="spellEnd"/>
      <w:r>
        <w:rPr>
          <w:color w:val="333333"/>
        </w:rPr>
        <w:t>, contamination=0.05 (expects ~5% of accounts to be anomalous, matching the seeded edge case rate).</w:t>
      </w:r>
    </w:p>
    <w:p w14:paraId="6A0EE714" w14:textId="77777777" w:rsidR="00BB1D38" w:rsidRDefault="00000000">
      <w:pPr>
        <w:pStyle w:val="ListParagraph"/>
        <w:numPr>
          <w:ilvl w:val="0"/>
          <w:numId w:val="2"/>
        </w:numPr>
        <w:spacing w:before="40" w:after="40"/>
      </w:pPr>
      <w:r w:rsidRPr="00D54599">
        <w:rPr>
          <w:b/>
          <w:bCs/>
          <w:color w:val="333333"/>
        </w:rPr>
        <w:t>Features</w:t>
      </w:r>
      <w:r>
        <w:rPr>
          <w:color w:val="333333"/>
        </w:rPr>
        <w:t xml:space="preserve">: </w:t>
      </w:r>
      <w:proofErr w:type="spellStart"/>
      <w:r>
        <w:rPr>
          <w:color w:val="333333"/>
        </w:rPr>
        <w:t>daily_credits_consumed</w:t>
      </w:r>
      <w:proofErr w:type="spellEnd"/>
      <w:r>
        <w:rPr>
          <w:color w:val="333333"/>
        </w:rPr>
        <w:t xml:space="preserve"> variance, max-to-mean ratio, month-1 consumption share of annual total, consecutive zero-usage days.</w:t>
      </w:r>
    </w:p>
    <w:p w14:paraId="58C3DD5B" w14:textId="77777777" w:rsidR="00BB1D38" w:rsidRDefault="00000000">
      <w:pPr>
        <w:pStyle w:val="ListParagraph"/>
        <w:numPr>
          <w:ilvl w:val="0"/>
          <w:numId w:val="2"/>
        </w:numPr>
        <w:spacing w:before="40" w:after="40"/>
      </w:pPr>
      <w:r w:rsidRPr="00D54599">
        <w:rPr>
          <w:b/>
          <w:bCs/>
          <w:color w:val="333333"/>
        </w:rPr>
        <w:t>Output</w:t>
      </w:r>
      <w:r>
        <w:rPr>
          <w:color w:val="333333"/>
        </w:rPr>
        <w:t>: binary anomaly flag (1 = anomalous, 0 = normal) per account per month.</w:t>
      </w:r>
    </w:p>
    <w:p w14:paraId="6D0FC5E5" w14:textId="77777777" w:rsidR="00BB1D38" w:rsidRDefault="00000000">
      <w:pPr>
        <w:pStyle w:val="ListParagraph"/>
        <w:numPr>
          <w:ilvl w:val="0"/>
          <w:numId w:val="2"/>
        </w:numPr>
        <w:spacing w:before="40" w:after="40"/>
      </w:pPr>
      <w:r w:rsidRPr="00D54599">
        <w:rPr>
          <w:b/>
          <w:bCs/>
          <w:color w:val="333333"/>
        </w:rPr>
        <w:t>Score impact</w:t>
      </w:r>
      <w:r>
        <w:rPr>
          <w:color w:val="333333"/>
        </w:rPr>
        <w:t>: when anomaly flag = 1, Engagement Trend score is multiplied by 0.50. This is a penalty multiplier, not a hard override — the underlying regression slope still contributes to the score, preserving the distinction between a recovering anomalous account and a still-declining one.</w:t>
      </w:r>
    </w:p>
    <w:p w14:paraId="73C04B0E" w14:textId="77777777" w:rsidR="00D54599" w:rsidRDefault="00D54599">
      <w:pPr>
        <w:spacing w:before="60" w:after="100"/>
        <w:rPr>
          <w:color w:val="333333"/>
        </w:rPr>
      </w:pPr>
    </w:p>
    <w:p w14:paraId="40EBBC76" w14:textId="330C3FF0" w:rsidR="00BB1D38" w:rsidRDefault="00000000" w:rsidP="00D54599">
      <w:pPr>
        <w:spacing w:before="60" w:after="100"/>
      </w:pPr>
      <w:r w:rsidRPr="00D54599">
        <w:rPr>
          <w:b/>
          <w:bCs/>
          <w:color w:val="333333"/>
        </w:rPr>
        <w:t>Trade-off rationale</w:t>
      </w:r>
      <w:r>
        <w:rPr>
          <w:color w:val="333333"/>
        </w:rPr>
        <w:t>: a hard override to zero was rejected because it treats a recovering spike-and-drop account identically to an account in active freefall. The 0.50 multiplier preserves directional signal while making the anomaly meaningfully visible in the composite score.</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19"/>
        <w:gridCol w:w="1800"/>
        <w:gridCol w:w="1620"/>
        <w:gridCol w:w="1980"/>
        <w:gridCol w:w="1441"/>
      </w:tblGrid>
      <w:tr w:rsidR="00BB1D38" w14:paraId="7AE64A12" w14:textId="77777777" w:rsidTr="00D54599">
        <w:tblPrEx>
          <w:tblCellMar>
            <w:top w:w="0" w:type="dxa"/>
            <w:bottom w:w="0" w:type="dxa"/>
          </w:tblCellMar>
        </w:tblPrEx>
        <w:trPr>
          <w:tblHeader/>
          <w:jc w:val="center"/>
        </w:trPr>
        <w:tc>
          <w:tcPr>
            <w:tcW w:w="2519" w:type="dxa"/>
            <w:tcBorders>
              <w:top w:val="single" w:sz="1" w:space="0" w:color="CCCCCC"/>
              <w:left w:val="single" w:sz="1" w:space="0" w:color="CCCCCC"/>
              <w:bottom w:val="single" w:sz="1" w:space="0" w:color="CCCCCC"/>
              <w:right w:val="single" w:sz="1" w:space="0" w:color="CCCCCC"/>
            </w:tcBorders>
            <w:shd w:val="clear" w:color="auto" w:fill="1B3F6B"/>
            <w:tcMar>
              <w:top w:w="80" w:type="dxa"/>
              <w:left w:w="120" w:type="dxa"/>
              <w:bottom w:w="80" w:type="dxa"/>
              <w:right w:w="120" w:type="dxa"/>
            </w:tcMar>
          </w:tcPr>
          <w:p w14:paraId="2EA9C918" w14:textId="77777777" w:rsidR="00BB1D38" w:rsidRDefault="00000000">
            <w:r>
              <w:rPr>
                <w:b/>
                <w:bCs/>
                <w:color w:val="FFFFFF"/>
                <w:sz w:val="20"/>
                <w:szCs w:val="20"/>
              </w:rPr>
              <w:t>Scenario</w:t>
            </w:r>
          </w:p>
        </w:tc>
        <w:tc>
          <w:tcPr>
            <w:tcW w:w="1800" w:type="dxa"/>
            <w:tcBorders>
              <w:top w:val="single" w:sz="1" w:space="0" w:color="CCCCCC"/>
              <w:left w:val="single" w:sz="1" w:space="0" w:color="CCCCCC"/>
              <w:bottom w:val="single" w:sz="1" w:space="0" w:color="CCCCCC"/>
              <w:right w:val="single" w:sz="1" w:space="0" w:color="CCCCCC"/>
            </w:tcBorders>
            <w:shd w:val="clear" w:color="auto" w:fill="1B3F6B"/>
            <w:tcMar>
              <w:top w:w="80" w:type="dxa"/>
              <w:left w:w="120" w:type="dxa"/>
              <w:bottom w:w="80" w:type="dxa"/>
              <w:right w:w="120" w:type="dxa"/>
            </w:tcMar>
          </w:tcPr>
          <w:p w14:paraId="42946979" w14:textId="77777777" w:rsidR="00BB1D38" w:rsidRDefault="00000000">
            <w:r>
              <w:rPr>
                <w:b/>
                <w:bCs/>
                <w:color w:val="FFFFFF"/>
                <w:sz w:val="20"/>
                <w:szCs w:val="20"/>
              </w:rPr>
              <w:t>Regression Slope</w:t>
            </w:r>
          </w:p>
        </w:tc>
        <w:tc>
          <w:tcPr>
            <w:tcW w:w="1620" w:type="dxa"/>
            <w:tcBorders>
              <w:top w:val="single" w:sz="1" w:space="0" w:color="CCCCCC"/>
              <w:left w:val="single" w:sz="1" w:space="0" w:color="CCCCCC"/>
              <w:bottom w:val="single" w:sz="1" w:space="0" w:color="CCCCCC"/>
              <w:right w:val="single" w:sz="1" w:space="0" w:color="CCCCCC"/>
            </w:tcBorders>
            <w:shd w:val="clear" w:color="auto" w:fill="1B3F6B"/>
            <w:tcMar>
              <w:top w:w="80" w:type="dxa"/>
              <w:left w:w="120" w:type="dxa"/>
              <w:bottom w:w="80" w:type="dxa"/>
              <w:right w:w="120" w:type="dxa"/>
            </w:tcMar>
          </w:tcPr>
          <w:p w14:paraId="529F12EF" w14:textId="77777777" w:rsidR="00BB1D38" w:rsidRDefault="00000000">
            <w:r>
              <w:rPr>
                <w:b/>
                <w:bCs/>
                <w:color w:val="FFFFFF"/>
                <w:sz w:val="20"/>
                <w:szCs w:val="20"/>
              </w:rPr>
              <w:t>Anomaly Flag</w:t>
            </w:r>
          </w:p>
        </w:tc>
        <w:tc>
          <w:tcPr>
            <w:tcW w:w="1980" w:type="dxa"/>
            <w:tcBorders>
              <w:top w:val="single" w:sz="1" w:space="0" w:color="CCCCCC"/>
              <w:left w:val="single" w:sz="1" w:space="0" w:color="CCCCCC"/>
              <w:bottom w:val="single" w:sz="1" w:space="0" w:color="CCCCCC"/>
              <w:right w:val="single" w:sz="1" w:space="0" w:color="CCCCCC"/>
            </w:tcBorders>
            <w:shd w:val="clear" w:color="auto" w:fill="1B3F6B"/>
            <w:tcMar>
              <w:top w:w="80" w:type="dxa"/>
              <w:left w:w="120" w:type="dxa"/>
              <w:bottom w:w="80" w:type="dxa"/>
              <w:right w:w="120" w:type="dxa"/>
            </w:tcMar>
          </w:tcPr>
          <w:p w14:paraId="3BA63BB5" w14:textId="77777777" w:rsidR="00BB1D38" w:rsidRDefault="00000000">
            <w:r>
              <w:rPr>
                <w:b/>
                <w:bCs/>
                <w:color w:val="FFFFFF"/>
                <w:sz w:val="20"/>
                <w:szCs w:val="20"/>
              </w:rPr>
              <w:t>Trend Score (before multiplier)</w:t>
            </w:r>
          </w:p>
        </w:tc>
        <w:tc>
          <w:tcPr>
            <w:tcW w:w="1441" w:type="dxa"/>
            <w:tcBorders>
              <w:top w:val="single" w:sz="1" w:space="0" w:color="CCCCCC"/>
              <w:left w:val="single" w:sz="1" w:space="0" w:color="CCCCCC"/>
              <w:bottom w:val="single" w:sz="1" w:space="0" w:color="CCCCCC"/>
              <w:right w:val="single" w:sz="1" w:space="0" w:color="CCCCCC"/>
            </w:tcBorders>
            <w:shd w:val="clear" w:color="auto" w:fill="1B3F6B"/>
            <w:tcMar>
              <w:top w:w="80" w:type="dxa"/>
              <w:left w:w="120" w:type="dxa"/>
              <w:bottom w:w="80" w:type="dxa"/>
              <w:right w:w="120" w:type="dxa"/>
            </w:tcMar>
          </w:tcPr>
          <w:p w14:paraId="734D6345" w14:textId="77777777" w:rsidR="00BB1D38" w:rsidRDefault="00000000">
            <w:r>
              <w:rPr>
                <w:b/>
                <w:bCs/>
                <w:color w:val="FFFFFF"/>
                <w:sz w:val="20"/>
                <w:szCs w:val="20"/>
              </w:rPr>
              <w:t>Final Trend Score</w:t>
            </w:r>
          </w:p>
        </w:tc>
      </w:tr>
      <w:tr w:rsidR="00BB1D38" w14:paraId="45D188B4" w14:textId="77777777" w:rsidTr="00D54599">
        <w:tblPrEx>
          <w:tblCellMar>
            <w:top w:w="0" w:type="dxa"/>
            <w:bottom w:w="0" w:type="dxa"/>
          </w:tblCellMar>
        </w:tblPrEx>
        <w:trPr>
          <w:jc w:val="center"/>
        </w:trPr>
        <w:tc>
          <w:tcPr>
            <w:tcW w:w="25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B4860E" w14:textId="77777777" w:rsidR="00BB1D38" w:rsidRDefault="00000000">
            <w:r>
              <w:rPr>
                <w:color w:val="333333"/>
                <w:sz w:val="20"/>
                <w:szCs w:val="20"/>
              </w:rPr>
              <w:t>Spike-and-drop, still declining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87A81D" w14:textId="77777777" w:rsidR="00BB1D38" w:rsidRDefault="00000000">
            <w:r>
              <w:rPr>
                <w:color w:val="333333"/>
                <w:sz w:val="20"/>
                <w:szCs w:val="20"/>
              </w:rPr>
              <w:t>−12%/month</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49696E" w14:textId="77777777" w:rsidR="00BB1D38" w:rsidRDefault="00000000">
            <w:r>
              <w:rPr>
                <w:color w:val="333333"/>
                <w:sz w:val="20"/>
                <w:szCs w:val="20"/>
              </w:rPr>
              <w:t>1</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5E7569" w14:textId="77777777" w:rsidR="00BB1D38" w:rsidRDefault="00000000">
            <w:r>
              <w:rPr>
                <w:color w:val="333333"/>
                <w:sz w:val="20"/>
                <w:szCs w:val="20"/>
              </w:rPr>
              <w:t>10</w:t>
            </w:r>
          </w:p>
        </w:tc>
        <w:tc>
          <w:tcPr>
            <w:tcW w:w="14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CAE575" w14:textId="77777777" w:rsidR="00BB1D38" w:rsidRDefault="00000000">
            <w:r>
              <w:rPr>
                <w:color w:val="333333"/>
                <w:sz w:val="20"/>
                <w:szCs w:val="20"/>
              </w:rPr>
              <w:t>5</w:t>
            </w:r>
          </w:p>
        </w:tc>
      </w:tr>
      <w:tr w:rsidR="00BB1D38" w14:paraId="18D8DFBB" w14:textId="77777777" w:rsidTr="00D54599">
        <w:tblPrEx>
          <w:tblCellMar>
            <w:top w:w="0" w:type="dxa"/>
            <w:bottom w:w="0" w:type="dxa"/>
          </w:tblCellMar>
        </w:tblPrEx>
        <w:trPr>
          <w:jc w:val="center"/>
        </w:trPr>
        <w:tc>
          <w:tcPr>
            <w:tcW w:w="2519"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12764682" w14:textId="77777777" w:rsidR="00BB1D38" w:rsidRDefault="00000000">
            <w:r>
              <w:rPr>
                <w:color w:val="333333"/>
                <w:sz w:val="20"/>
                <w:szCs w:val="20"/>
              </w:rPr>
              <w:t>Spike-and-drop, recovering</w:t>
            </w:r>
          </w:p>
        </w:tc>
        <w:tc>
          <w:tcPr>
            <w:tcW w:w="180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5E7BB4AE" w14:textId="77777777" w:rsidR="00BB1D38" w:rsidRDefault="00000000">
            <w:r>
              <w:rPr>
                <w:color w:val="333333"/>
                <w:sz w:val="20"/>
                <w:szCs w:val="20"/>
              </w:rPr>
              <w:t>+3%/month</w:t>
            </w:r>
          </w:p>
        </w:tc>
        <w:tc>
          <w:tcPr>
            <w:tcW w:w="162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4ACF4DAE" w14:textId="77777777" w:rsidR="00BB1D38" w:rsidRDefault="00000000">
            <w:r>
              <w:rPr>
                <w:color w:val="333333"/>
                <w:sz w:val="20"/>
                <w:szCs w:val="20"/>
              </w:rPr>
              <w:t>1</w:t>
            </w:r>
          </w:p>
        </w:tc>
        <w:tc>
          <w:tcPr>
            <w:tcW w:w="198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0DE3D738" w14:textId="77777777" w:rsidR="00BB1D38" w:rsidRDefault="00000000">
            <w:r>
              <w:rPr>
                <w:color w:val="333333"/>
                <w:sz w:val="20"/>
                <w:szCs w:val="20"/>
              </w:rPr>
              <w:t>75</w:t>
            </w:r>
          </w:p>
        </w:tc>
        <w:tc>
          <w:tcPr>
            <w:tcW w:w="1441"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78C42BFF" w14:textId="77777777" w:rsidR="00BB1D38" w:rsidRDefault="00000000">
            <w:r>
              <w:rPr>
                <w:color w:val="333333"/>
                <w:sz w:val="20"/>
                <w:szCs w:val="20"/>
              </w:rPr>
              <w:t>38</w:t>
            </w:r>
          </w:p>
        </w:tc>
      </w:tr>
      <w:tr w:rsidR="00BB1D38" w14:paraId="728AF189" w14:textId="77777777" w:rsidTr="00D54599">
        <w:tblPrEx>
          <w:tblCellMar>
            <w:top w:w="0" w:type="dxa"/>
            <w:bottom w:w="0" w:type="dxa"/>
          </w:tblCellMar>
        </w:tblPrEx>
        <w:trPr>
          <w:jc w:val="center"/>
        </w:trPr>
        <w:tc>
          <w:tcPr>
            <w:tcW w:w="25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0BD9C8" w14:textId="77777777" w:rsidR="00BB1D38" w:rsidRDefault="00000000">
            <w:r>
              <w:rPr>
                <w:color w:val="333333"/>
                <w:sz w:val="20"/>
                <w:szCs w:val="20"/>
              </w:rPr>
              <w:t>Normal declining account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AEA720" w14:textId="77777777" w:rsidR="00BB1D38" w:rsidRDefault="00000000">
            <w:r>
              <w:rPr>
                <w:color w:val="333333"/>
                <w:sz w:val="20"/>
                <w:szCs w:val="20"/>
              </w:rPr>
              <w:t>−8%/month</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4E2575" w14:textId="77777777" w:rsidR="00BB1D38" w:rsidRDefault="00000000">
            <w:r>
              <w:rPr>
                <w:color w:val="333333"/>
                <w:sz w:val="20"/>
                <w:szCs w:val="20"/>
              </w:rPr>
              <w:t>0</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FFC122" w14:textId="77777777" w:rsidR="00BB1D38" w:rsidRDefault="00000000">
            <w:r>
              <w:rPr>
                <w:color w:val="333333"/>
                <w:sz w:val="20"/>
                <w:szCs w:val="20"/>
              </w:rPr>
              <w:t>25</w:t>
            </w:r>
          </w:p>
        </w:tc>
        <w:tc>
          <w:tcPr>
            <w:tcW w:w="14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12811" w14:textId="77777777" w:rsidR="00BB1D38" w:rsidRDefault="00000000">
            <w:r>
              <w:rPr>
                <w:color w:val="333333"/>
                <w:sz w:val="20"/>
                <w:szCs w:val="20"/>
              </w:rPr>
              <w:t>25</w:t>
            </w:r>
          </w:p>
        </w:tc>
      </w:tr>
      <w:tr w:rsidR="00BB1D38" w14:paraId="344BA544" w14:textId="77777777" w:rsidTr="00D54599">
        <w:tblPrEx>
          <w:tblCellMar>
            <w:top w:w="0" w:type="dxa"/>
            <w:bottom w:w="0" w:type="dxa"/>
          </w:tblCellMar>
        </w:tblPrEx>
        <w:trPr>
          <w:jc w:val="center"/>
        </w:trPr>
        <w:tc>
          <w:tcPr>
            <w:tcW w:w="2519"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5760FB0C" w14:textId="77777777" w:rsidR="00BB1D38" w:rsidRDefault="00000000">
            <w:r>
              <w:rPr>
                <w:color w:val="333333"/>
                <w:sz w:val="20"/>
                <w:szCs w:val="20"/>
              </w:rPr>
              <w:t>Normal healthy account</w:t>
            </w:r>
          </w:p>
        </w:tc>
        <w:tc>
          <w:tcPr>
            <w:tcW w:w="180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3E8BD2F3" w14:textId="77777777" w:rsidR="00BB1D38" w:rsidRDefault="00000000">
            <w:r>
              <w:rPr>
                <w:color w:val="333333"/>
                <w:sz w:val="20"/>
                <w:szCs w:val="20"/>
              </w:rPr>
              <w:t>+6%/month</w:t>
            </w:r>
          </w:p>
        </w:tc>
        <w:tc>
          <w:tcPr>
            <w:tcW w:w="162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15289B15" w14:textId="77777777" w:rsidR="00BB1D38" w:rsidRDefault="00000000">
            <w:r>
              <w:rPr>
                <w:color w:val="333333"/>
                <w:sz w:val="20"/>
                <w:szCs w:val="20"/>
              </w:rPr>
              <w:t>0</w:t>
            </w:r>
          </w:p>
        </w:tc>
        <w:tc>
          <w:tcPr>
            <w:tcW w:w="198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51D23032" w14:textId="77777777" w:rsidR="00BB1D38" w:rsidRDefault="00000000">
            <w:r>
              <w:rPr>
                <w:color w:val="333333"/>
                <w:sz w:val="20"/>
                <w:szCs w:val="20"/>
              </w:rPr>
              <w:t>100</w:t>
            </w:r>
          </w:p>
        </w:tc>
        <w:tc>
          <w:tcPr>
            <w:tcW w:w="1441"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078FD784" w14:textId="77777777" w:rsidR="00BB1D38" w:rsidRDefault="00000000">
            <w:r>
              <w:rPr>
                <w:color w:val="333333"/>
                <w:sz w:val="20"/>
                <w:szCs w:val="20"/>
              </w:rPr>
              <w:t>100</w:t>
            </w:r>
          </w:p>
        </w:tc>
      </w:tr>
    </w:tbl>
    <w:p w14:paraId="5FC4C597" w14:textId="77777777" w:rsidR="00BB1D38" w:rsidRDefault="00000000">
      <w:pPr>
        <w:pStyle w:val="Heading2"/>
      </w:pPr>
      <w:r>
        <w:rPr>
          <w:color w:val="1B3F6B"/>
        </w:rPr>
        <w:t>8.2 LLM Narrative Generation — Claude API (dashboard layer)</w:t>
      </w:r>
    </w:p>
    <w:p w14:paraId="1ADD23E6" w14:textId="77777777" w:rsidR="00BB1D38" w:rsidRDefault="00000000">
      <w:pPr>
        <w:spacing w:before="60" w:after="100"/>
        <w:rPr>
          <w:color w:val="333333"/>
        </w:rPr>
      </w:pPr>
      <w:r>
        <w:rPr>
          <w:color w:val="333333"/>
        </w:rPr>
        <w:t>For every account scoring below AHI 80 (Monitor, At Risk, Critical, Churning), a plain-English health narrative is generated via the Claude API and displayed in the dashboard alongside the score. Healthy accounts (AHI ≥ 80) show scores and dimension bars only — no narrative — to preserve signal value and reduce cognitive load for CSMs.</w:t>
      </w:r>
    </w:p>
    <w:p w14:paraId="3FC4C203" w14:textId="77777777" w:rsidR="00D54599" w:rsidRDefault="00D54599">
      <w:pPr>
        <w:spacing w:before="60" w:after="100"/>
      </w:pPr>
    </w:p>
    <w:p w14:paraId="30B6F391" w14:textId="77777777" w:rsidR="00BB1D38" w:rsidRDefault="00000000">
      <w:pPr>
        <w:spacing w:before="60" w:after="100"/>
        <w:rPr>
          <w:color w:val="333333"/>
        </w:rPr>
      </w:pPr>
      <w:r w:rsidRPr="00D54599">
        <w:rPr>
          <w:b/>
          <w:bCs/>
          <w:color w:val="333333"/>
        </w:rPr>
        <w:t>Design principle</w:t>
      </w:r>
      <w:r>
        <w:rPr>
          <w:color w:val="333333"/>
        </w:rPr>
        <w:t xml:space="preserve">: the AI speaks up when it matters and stays quiet when it does not. If every account has a narrative, it becomes wallpaper. Restricting narrative generation to sub-80 accounts makes its presence a </w:t>
      </w:r>
      <w:proofErr w:type="gramStart"/>
      <w:r>
        <w:rPr>
          <w:color w:val="333333"/>
        </w:rPr>
        <w:t>signal in itself</w:t>
      </w:r>
      <w:proofErr w:type="gramEnd"/>
      <w:r>
        <w:rPr>
          <w:color w:val="333333"/>
        </w:rPr>
        <w:t>.</w:t>
      </w:r>
    </w:p>
    <w:p w14:paraId="7CC3D5F4" w14:textId="77777777" w:rsidR="00D54599" w:rsidRDefault="00D54599">
      <w:pPr>
        <w:spacing w:before="60" w:after="100"/>
      </w:pPr>
    </w:p>
    <w:p w14:paraId="75AAC050" w14:textId="77777777" w:rsidR="00BB1D38" w:rsidRDefault="00000000">
      <w:pPr>
        <w:spacing w:before="60" w:after="100"/>
      </w:pPr>
      <w:r>
        <w:rPr>
          <w:color w:val="333333"/>
        </w:rPr>
        <w:t>Prompt structure passed to Claude API per account:</w:t>
      </w:r>
    </w:p>
    <w:p w14:paraId="32A0B792" w14:textId="77777777" w:rsidR="00BB1D38" w:rsidRDefault="00000000">
      <w:pPr>
        <w:spacing w:before="60" w:after="60"/>
        <w:ind w:left="720"/>
      </w:pPr>
      <w:r>
        <w:rPr>
          <w:rFonts w:ascii="Courier New" w:eastAsia="Courier New" w:hAnsi="Courier New" w:cs="Courier New"/>
          <w:color w:val="1B3F6B"/>
          <w:sz w:val="20"/>
          <w:szCs w:val="20"/>
        </w:rPr>
        <w:t>You are a Customer Success analyst at Palo Alto Networks.</w:t>
      </w:r>
    </w:p>
    <w:p w14:paraId="5AAF3547" w14:textId="77777777" w:rsidR="00BB1D38" w:rsidRDefault="00000000">
      <w:pPr>
        <w:spacing w:before="60" w:after="60"/>
        <w:ind w:left="720"/>
      </w:pPr>
      <w:r>
        <w:rPr>
          <w:rFonts w:ascii="Courier New" w:eastAsia="Courier New" w:hAnsi="Courier New" w:cs="Courier New"/>
          <w:color w:val="1B3F6B"/>
          <w:sz w:val="20"/>
          <w:szCs w:val="20"/>
        </w:rPr>
        <w:t>Write a 2-3 sentence account health summary for a CSM.</w:t>
      </w:r>
    </w:p>
    <w:p w14:paraId="0E9BCB73" w14:textId="77777777" w:rsidR="00BB1D38" w:rsidRDefault="00000000">
      <w:pPr>
        <w:spacing w:before="60" w:after="60"/>
        <w:ind w:left="720"/>
      </w:pPr>
      <w:r>
        <w:rPr>
          <w:rFonts w:ascii="Courier New" w:eastAsia="Courier New" w:hAnsi="Courier New" w:cs="Courier New"/>
          <w:color w:val="1B3F6B"/>
          <w:sz w:val="20"/>
          <w:szCs w:val="20"/>
        </w:rPr>
        <w:t>Be specific, factual, and action-oriented. No filler.</w:t>
      </w:r>
    </w:p>
    <w:p w14:paraId="09D8A86A" w14:textId="77777777" w:rsidR="00BB1D38" w:rsidRDefault="00BB1D38">
      <w:pPr>
        <w:spacing w:before="60" w:after="60"/>
        <w:ind w:left="720"/>
      </w:pPr>
    </w:p>
    <w:p w14:paraId="57C18F5F" w14:textId="77777777" w:rsidR="00BB1D38" w:rsidRDefault="00000000">
      <w:pPr>
        <w:spacing w:before="60" w:after="60"/>
        <w:ind w:left="720"/>
      </w:pPr>
      <w:r>
        <w:rPr>
          <w:rFonts w:ascii="Courier New" w:eastAsia="Courier New" w:hAnsi="Courier New" w:cs="Courier New"/>
          <w:color w:val="1B3F6B"/>
          <w:sz w:val="20"/>
          <w:szCs w:val="20"/>
        </w:rPr>
        <w:t>Account: {</w:t>
      </w:r>
      <w:proofErr w:type="spellStart"/>
      <w:r>
        <w:rPr>
          <w:rFonts w:ascii="Courier New" w:eastAsia="Courier New" w:hAnsi="Courier New" w:cs="Courier New"/>
          <w:color w:val="1B3F6B"/>
          <w:sz w:val="20"/>
          <w:szCs w:val="20"/>
        </w:rPr>
        <w:t>company_name</w:t>
      </w:r>
      <w:proofErr w:type="spellEnd"/>
      <w:r>
        <w:rPr>
          <w:rFonts w:ascii="Courier New" w:eastAsia="Courier New" w:hAnsi="Courier New" w:cs="Courier New"/>
          <w:color w:val="1B3F6B"/>
          <w:sz w:val="20"/>
          <w:szCs w:val="20"/>
        </w:rPr>
        <w:t>}</w:t>
      </w:r>
    </w:p>
    <w:p w14:paraId="37A61770" w14:textId="77777777" w:rsidR="00BB1D38" w:rsidRDefault="00000000">
      <w:pPr>
        <w:spacing w:before="60" w:after="60"/>
        <w:ind w:left="720"/>
      </w:pPr>
      <w:r>
        <w:rPr>
          <w:rFonts w:ascii="Courier New" w:eastAsia="Courier New" w:hAnsi="Courier New" w:cs="Courier New"/>
          <w:color w:val="1B3F6B"/>
          <w:sz w:val="20"/>
          <w:szCs w:val="20"/>
        </w:rPr>
        <w:lastRenderedPageBreak/>
        <w:t>AHI Score: {</w:t>
      </w:r>
      <w:proofErr w:type="spellStart"/>
      <w:r>
        <w:rPr>
          <w:rFonts w:ascii="Courier New" w:eastAsia="Courier New" w:hAnsi="Courier New" w:cs="Courier New"/>
          <w:color w:val="1B3F6B"/>
          <w:sz w:val="20"/>
          <w:szCs w:val="20"/>
        </w:rPr>
        <w:t>ahi_score</w:t>
      </w:r>
      <w:proofErr w:type="spellEnd"/>
      <w:r>
        <w:rPr>
          <w:rFonts w:ascii="Courier New" w:eastAsia="Courier New" w:hAnsi="Courier New" w:cs="Courier New"/>
          <w:color w:val="1B3F6B"/>
          <w:sz w:val="20"/>
          <w:szCs w:val="20"/>
        </w:rPr>
        <w:t>} ({status})</w:t>
      </w:r>
    </w:p>
    <w:p w14:paraId="79DDFB0D" w14:textId="77777777" w:rsidR="00BB1D38" w:rsidRDefault="00000000">
      <w:pPr>
        <w:spacing w:before="60" w:after="60"/>
        <w:ind w:left="720"/>
      </w:pPr>
      <w:r>
        <w:rPr>
          <w:rFonts w:ascii="Courier New" w:eastAsia="Courier New" w:hAnsi="Courier New" w:cs="Courier New"/>
          <w:color w:val="1B3F6B"/>
          <w:sz w:val="20"/>
          <w:szCs w:val="20"/>
        </w:rPr>
        <w:t>Consumption Health: {</w:t>
      </w:r>
      <w:proofErr w:type="spellStart"/>
      <w:r>
        <w:rPr>
          <w:rFonts w:ascii="Courier New" w:eastAsia="Courier New" w:hAnsi="Courier New" w:cs="Courier New"/>
          <w:color w:val="1B3F6B"/>
          <w:sz w:val="20"/>
          <w:szCs w:val="20"/>
        </w:rPr>
        <w:t>consumption_score</w:t>
      </w:r>
      <w:proofErr w:type="spellEnd"/>
      <w:r>
        <w:rPr>
          <w:rFonts w:ascii="Courier New" w:eastAsia="Courier New" w:hAnsi="Courier New" w:cs="Courier New"/>
          <w:color w:val="1B3F6B"/>
          <w:sz w:val="20"/>
          <w:szCs w:val="20"/>
        </w:rPr>
        <w:t>} (credits used: {</w:t>
      </w:r>
      <w:proofErr w:type="spellStart"/>
      <w:r>
        <w:rPr>
          <w:rFonts w:ascii="Courier New" w:eastAsia="Courier New" w:hAnsi="Courier New" w:cs="Courier New"/>
          <w:color w:val="1B3F6B"/>
          <w:sz w:val="20"/>
          <w:szCs w:val="20"/>
        </w:rPr>
        <w:t>pct_</w:t>
      </w:r>
      <w:proofErr w:type="gramStart"/>
      <w:r>
        <w:rPr>
          <w:rFonts w:ascii="Courier New" w:eastAsia="Courier New" w:hAnsi="Courier New" w:cs="Courier New"/>
          <w:color w:val="1B3F6B"/>
          <w:sz w:val="20"/>
          <w:szCs w:val="20"/>
        </w:rPr>
        <w:t>consumed</w:t>
      </w:r>
      <w:proofErr w:type="spellEnd"/>
      <w:r>
        <w:rPr>
          <w:rFonts w:ascii="Courier New" w:eastAsia="Courier New" w:hAnsi="Courier New" w:cs="Courier New"/>
          <w:color w:val="1B3F6B"/>
          <w:sz w:val="20"/>
          <w:szCs w:val="20"/>
        </w:rPr>
        <w:t>}%</w:t>
      </w:r>
      <w:proofErr w:type="gramEnd"/>
      <w:r>
        <w:rPr>
          <w:rFonts w:ascii="Courier New" w:eastAsia="Courier New" w:hAnsi="Courier New" w:cs="Courier New"/>
          <w:color w:val="1B3F6B"/>
          <w:sz w:val="20"/>
          <w:szCs w:val="20"/>
        </w:rPr>
        <w:t xml:space="preserve"> of committed)</w:t>
      </w:r>
    </w:p>
    <w:p w14:paraId="53F519FB" w14:textId="77777777" w:rsidR="00BB1D38" w:rsidRDefault="00000000">
      <w:pPr>
        <w:spacing w:before="60" w:after="60"/>
        <w:ind w:left="720"/>
      </w:pPr>
      <w:r>
        <w:rPr>
          <w:rFonts w:ascii="Courier New" w:eastAsia="Courier New" w:hAnsi="Courier New" w:cs="Courier New"/>
          <w:color w:val="1B3F6B"/>
          <w:sz w:val="20"/>
          <w:szCs w:val="20"/>
        </w:rPr>
        <w:t>Deployment Depth: {</w:t>
      </w:r>
      <w:proofErr w:type="spellStart"/>
      <w:r>
        <w:rPr>
          <w:rFonts w:ascii="Courier New" w:eastAsia="Courier New" w:hAnsi="Courier New" w:cs="Courier New"/>
          <w:color w:val="1B3F6B"/>
          <w:sz w:val="20"/>
          <w:szCs w:val="20"/>
        </w:rPr>
        <w:t>deployment_score</w:t>
      </w:r>
      <w:proofErr w:type="spellEnd"/>
      <w:r>
        <w:rPr>
          <w:rFonts w:ascii="Courier New" w:eastAsia="Courier New" w:hAnsi="Courier New" w:cs="Courier New"/>
          <w:color w:val="1B3F6B"/>
          <w:sz w:val="20"/>
          <w:szCs w:val="20"/>
        </w:rPr>
        <w:t>} ({</w:t>
      </w:r>
      <w:proofErr w:type="spellStart"/>
      <w:r>
        <w:rPr>
          <w:rFonts w:ascii="Courier New" w:eastAsia="Courier New" w:hAnsi="Courier New" w:cs="Courier New"/>
          <w:color w:val="1B3F6B"/>
          <w:sz w:val="20"/>
          <w:szCs w:val="20"/>
        </w:rPr>
        <w:t>products_deployed</w:t>
      </w:r>
      <w:proofErr w:type="spellEnd"/>
      <w:r>
        <w:rPr>
          <w:rFonts w:ascii="Courier New" w:eastAsia="Courier New" w:hAnsi="Courier New" w:cs="Courier New"/>
          <w:color w:val="1B3F6B"/>
          <w:sz w:val="20"/>
          <w:szCs w:val="20"/>
        </w:rPr>
        <w:t>} of {</w:t>
      </w:r>
      <w:proofErr w:type="spellStart"/>
      <w:r>
        <w:rPr>
          <w:rFonts w:ascii="Courier New" w:eastAsia="Courier New" w:hAnsi="Courier New" w:cs="Courier New"/>
          <w:color w:val="1B3F6B"/>
          <w:sz w:val="20"/>
          <w:szCs w:val="20"/>
        </w:rPr>
        <w:t>products_purchased</w:t>
      </w:r>
      <w:proofErr w:type="spellEnd"/>
      <w:r>
        <w:rPr>
          <w:rFonts w:ascii="Courier New" w:eastAsia="Courier New" w:hAnsi="Courier New" w:cs="Courier New"/>
          <w:color w:val="1B3F6B"/>
          <w:sz w:val="20"/>
          <w:szCs w:val="20"/>
        </w:rPr>
        <w:t>} products active)</w:t>
      </w:r>
    </w:p>
    <w:p w14:paraId="7CF2A08D" w14:textId="77777777" w:rsidR="00BB1D38" w:rsidRDefault="00000000">
      <w:pPr>
        <w:spacing w:before="60" w:after="60"/>
        <w:ind w:left="720"/>
      </w:pPr>
      <w:r>
        <w:rPr>
          <w:rFonts w:ascii="Courier New" w:eastAsia="Courier New" w:hAnsi="Courier New" w:cs="Courier New"/>
          <w:color w:val="1B3F6B"/>
          <w:sz w:val="20"/>
          <w:szCs w:val="20"/>
        </w:rPr>
        <w:t>Platform Stability: {</w:t>
      </w:r>
      <w:proofErr w:type="spellStart"/>
      <w:r>
        <w:rPr>
          <w:rFonts w:ascii="Courier New" w:eastAsia="Courier New" w:hAnsi="Courier New" w:cs="Courier New"/>
          <w:color w:val="1B3F6B"/>
          <w:sz w:val="20"/>
          <w:szCs w:val="20"/>
        </w:rPr>
        <w:t>stability_score</w:t>
      </w:r>
      <w:proofErr w:type="spellEnd"/>
      <w:r>
        <w:rPr>
          <w:rFonts w:ascii="Courier New" w:eastAsia="Courier New" w:hAnsi="Courier New" w:cs="Courier New"/>
          <w:color w:val="1B3F6B"/>
          <w:sz w:val="20"/>
          <w:szCs w:val="20"/>
        </w:rPr>
        <w:t>} ({open_p1} P1, {open_p2} P2, {open_p3} P3 tickets open)</w:t>
      </w:r>
    </w:p>
    <w:p w14:paraId="0306306C" w14:textId="77777777" w:rsidR="00BB1D38" w:rsidRDefault="00000000">
      <w:pPr>
        <w:spacing w:before="60" w:after="60"/>
        <w:ind w:left="720"/>
      </w:pPr>
      <w:r>
        <w:rPr>
          <w:rFonts w:ascii="Courier New" w:eastAsia="Courier New" w:hAnsi="Courier New" w:cs="Courier New"/>
          <w:color w:val="1B3F6B"/>
          <w:sz w:val="20"/>
          <w:szCs w:val="20"/>
        </w:rPr>
        <w:t>Contract Expansion: {</w:t>
      </w:r>
      <w:proofErr w:type="spellStart"/>
      <w:r>
        <w:rPr>
          <w:rFonts w:ascii="Courier New" w:eastAsia="Courier New" w:hAnsi="Courier New" w:cs="Courier New"/>
          <w:color w:val="1B3F6B"/>
          <w:sz w:val="20"/>
          <w:szCs w:val="20"/>
        </w:rPr>
        <w:t>expansion_score</w:t>
      </w:r>
      <w:proofErr w:type="spellEnd"/>
      <w:r>
        <w:rPr>
          <w:rFonts w:ascii="Courier New" w:eastAsia="Courier New" w:hAnsi="Courier New" w:cs="Courier New"/>
          <w:color w:val="1B3F6B"/>
          <w:sz w:val="20"/>
          <w:szCs w:val="20"/>
        </w:rPr>
        <w:t>} (ARR {</w:t>
      </w:r>
      <w:proofErr w:type="spellStart"/>
      <w:r>
        <w:rPr>
          <w:rFonts w:ascii="Courier New" w:eastAsia="Courier New" w:hAnsi="Courier New" w:cs="Courier New"/>
          <w:color w:val="1B3F6B"/>
          <w:sz w:val="20"/>
          <w:szCs w:val="20"/>
        </w:rPr>
        <w:t>expansion_</w:t>
      </w:r>
      <w:proofErr w:type="gramStart"/>
      <w:r>
        <w:rPr>
          <w:rFonts w:ascii="Courier New" w:eastAsia="Courier New" w:hAnsi="Courier New" w:cs="Courier New"/>
          <w:color w:val="1B3F6B"/>
          <w:sz w:val="20"/>
          <w:szCs w:val="20"/>
        </w:rPr>
        <w:t>pct</w:t>
      </w:r>
      <w:proofErr w:type="spellEnd"/>
      <w:r>
        <w:rPr>
          <w:rFonts w:ascii="Courier New" w:eastAsia="Courier New" w:hAnsi="Courier New" w:cs="Courier New"/>
          <w:color w:val="1B3F6B"/>
          <w:sz w:val="20"/>
          <w:szCs w:val="20"/>
        </w:rPr>
        <w:t>}%</w:t>
      </w:r>
      <w:proofErr w:type="gramEnd"/>
      <w:r>
        <w:rPr>
          <w:rFonts w:ascii="Courier New" w:eastAsia="Courier New" w:hAnsi="Courier New" w:cs="Courier New"/>
          <w:color w:val="1B3F6B"/>
          <w:sz w:val="20"/>
          <w:szCs w:val="20"/>
        </w:rPr>
        <w:t xml:space="preserve"> of original contract)</w:t>
      </w:r>
    </w:p>
    <w:p w14:paraId="1F7C41A1" w14:textId="77777777" w:rsidR="00BB1D38" w:rsidRDefault="00000000">
      <w:pPr>
        <w:spacing w:before="60" w:after="60"/>
        <w:ind w:left="720"/>
      </w:pPr>
      <w:r>
        <w:rPr>
          <w:rFonts w:ascii="Courier New" w:eastAsia="Courier New" w:hAnsi="Courier New" w:cs="Courier New"/>
          <w:color w:val="1B3F6B"/>
          <w:sz w:val="20"/>
          <w:szCs w:val="20"/>
        </w:rPr>
        <w:t>Engagement Trend: {</w:t>
      </w:r>
      <w:proofErr w:type="spellStart"/>
      <w:r>
        <w:rPr>
          <w:rFonts w:ascii="Courier New" w:eastAsia="Courier New" w:hAnsi="Courier New" w:cs="Courier New"/>
          <w:color w:val="1B3F6B"/>
          <w:sz w:val="20"/>
          <w:szCs w:val="20"/>
        </w:rPr>
        <w:t>trend_score</w:t>
      </w:r>
      <w:proofErr w:type="spellEnd"/>
      <w:r>
        <w:rPr>
          <w:rFonts w:ascii="Courier New" w:eastAsia="Courier New" w:hAnsi="Courier New" w:cs="Courier New"/>
          <w:color w:val="1B3F6B"/>
          <w:sz w:val="20"/>
          <w:szCs w:val="20"/>
        </w:rPr>
        <w:t>} (120-day slope: {</w:t>
      </w:r>
      <w:proofErr w:type="spellStart"/>
      <w:r>
        <w:rPr>
          <w:rFonts w:ascii="Courier New" w:eastAsia="Courier New" w:hAnsi="Courier New" w:cs="Courier New"/>
          <w:color w:val="1B3F6B"/>
          <w:sz w:val="20"/>
          <w:szCs w:val="20"/>
        </w:rPr>
        <w:t>slope_direction</w:t>
      </w:r>
      <w:proofErr w:type="spellEnd"/>
      <w:r>
        <w:rPr>
          <w:rFonts w:ascii="Courier New" w:eastAsia="Courier New" w:hAnsi="Courier New" w:cs="Courier New"/>
          <w:color w:val="1B3F6B"/>
          <w:sz w:val="20"/>
          <w:szCs w:val="20"/>
        </w:rPr>
        <w:t>})</w:t>
      </w:r>
    </w:p>
    <w:p w14:paraId="7CEE7F46" w14:textId="77777777" w:rsidR="00BB1D38" w:rsidRDefault="00000000">
      <w:pPr>
        <w:spacing w:before="60" w:after="60"/>
        <w:ind w:left="720"/>
      </w:pPr>
      <w:r>
        <w:rPr>
          <w:rFonts w:ascii="Courier New" w:eastAsia="Courier New" w:hAnsi="Courier New" w:cs="Courier New"/>
          <w:color w:val="1B3F6B"/>
          <w:sz w:val="20"/>
          <w:szCs w:val="20"/>
        </w:rPr>
        <w:t>Anomaly detected: {</w:t>
      </w:r>
      <w:proofErr w:type="spellStart"/>
      <w:r>
        <w:rPr>
          <w:rFonts w:ascii="Courier New" w:eastAsia="Courier New" w:hAnsi="Courier New" w:cs="Courier New"/>
          <w:color w:val="1B3F6B"/>
          <w:sz w:val="20"/>
          <w:szCs w:val="20"/>
        </w:rPr>
        <w:t>anomaly_flag</w:t>
      </w:r>
      <w:proofErr w:type="spellEnd"/>
      <w:r>
        <w:rPr>
          <w:rFonts w:ascii="Courier New" w:eastAsia="Courier New" w:hAnsi="Courier New" w:cs="Courier New"/>
          <w:color w:val="1B3F6B"/>
          <w:sz w:val="20"/>
          <w:szCs w:val="20"/>
        </w:rPr>
        <w:t>}</w:t>
      </w:r>
    </w:p>
    <w:p w14:paraId="6495A3B4" w14:textId="77777777" w:rsidR="00BB1D38" w:rsidRDefault="00000000">
      <w:pPr>
        <w:spacing w:before="60" w:after="60"/>
        <w:ind w:left="720"/>
      </w:pPr>
      <w:r>
        <w:rPr>
          <w:rFonts w:ascii="Courier New" w:eastAsia="Courier New" w:hAnsi="Courier New" w:cs="Courier New"/>
          <w:color w:val="1B3F6B"/>
          <w:sz w:val="20"/>
          <w:szCs w:val="20"/>
        </w:rPr>
        <w:t>Days to renewal: {</w:t>
      </w:r>
      <w:proofErr w:type="spellStart"/>
      <w:r>
        <w:rPr>
          <w:rFonts w:ascii="Courier New" w:eastAsia="Courier New" w:hAnsi="Courier New" w:cs="Courier New"/>
          <w:color w:val="1B3F6B"/>
          <w:sz w:val="20"/>
          <w:szCs w:val="20"/>
        </w:rPr>
        <w:t>days_to_renewal</w:t>
      </w:r>
      <w:proofErr w:type="spellEnd"/>
      <w:r>
        <w:rPr>
          <w:rFonts w:ascii="Courier New" w:eastAsia="Courier New" w:hAnsi="Courier New" w:cs="Courier New"/>
          <w:color w:val="1B3F6B"/>
          <w:sz w:val="20"/>
          <w:szCs w:val="20"/>
        </w:rPr>
        <w:t>}</w:t>
      </w:r>
    </w:p>
    <w:p w14:paraId="5BB61338" w14:textId="77777777" w:rsidR="00BB1D38" w:rsidRDefault="00BB1D38">
      <w:pPr>
        <w:spacing w:before="80" w:after="80"/>
      </w:pPr>
    </w:p>
    <w:p w14:paraId="730C3B95" w14:textId="77777777" w:rsidR="00BB1D38" w:rsidRDefault="00000000">
      <w:pPr>
        <w:spacing w:before="60" w:after="100"/>
      </w:pPr>
      <w:r>
        <w:rPr>
          <w:color w:val="333333"/>
        </w:rPr>
        <w:t xml:space="preserve">Example output for an </w:t>
      </w:r>
      <w:proofErr w:type="gramStart"/>
      <w:r>
        <w:rPr>
          <w:color w:val="333333"/>
        </w:rPr>
        <w:t>At Risk</w:t>
      </w:r>
      <w:proofErr w:type="gramEnd"/>
      <w:r>
        <w:rPr>
          <w:color w:val="333333"/>
        </w:rPr>
        <w:t xml:space="preserve"> account:</w:t>
      </w:r>
    </w:p>
    <w:p w14:paraId="3756C714" w14:textId="77777777" w:rsidR="00BB1D38" w:rsidRDefault="00000000">
      <w:pPr>
        <w:spacing w:before="60" w:after="60"/>
        <w:ind w:left="720"/>
      </w:pPr>
      <w:r>
        <w:rPr>
          <w:i/>
          <w:iCs/>
          <w:color w:val="444444"/>
        </w:rPr>
        <w:t>“Health dropped 11 points this month. Deployment is stuck at 40% — 3 of 5 purchased products show no active usage in the last 30 days. An anomaly was detected in consumption patterns: usage spiked 3× in Month 1 then dropped to near zero. P2 ticket open 47 days. Recommended action: executive sponsor call before the Q2 renewal window opens in 6 weeks.”</w:t>
      </w:r>
    </w:p>
    <w:p w14:paraId="17201F2A" w14:textId="77777777" w:rsidR="00BB1D38" w:rsidRDefault="00BB1D38">
      <w:pPr>
        <w:spacing w:before="80" w:after="80"/>
      </w:pPr>
    </w:p>
    <w:p w14:paraId="46583A04" w14:textId="77777777" w:rsidR="00BB1D38" w:rsidRDefault="00000000">
      <w:pPr>
        <w:spacing w:before="60" w:after="100"/>
      </w:pPr>
      <w:r>
        <w:rPr>
          <w:color w:val="333333"/>
        </w:rPr>
        <w:t>Human-in-the-loop interface: the narrative is a recommendation, not a command. The CSM reads it, decides whether to act, and logs the outcome in the CRM. CSM override data (acted / dismissed / escalated) feeds back into the shadow period calibration dataset, creating a reinforcement signal for future weight refinement.</w:t>
      </w:r>
    </w:p>
    <w:p w14:paraId="41B6884A" w14:textId="77777777" w:rsidR="00BB1D38" w:rsidRDefault="00BB1D38">
      <w:pPr>
        <w:pBdr>
          <w:bottom w:val="single" w:sz="4" w:space="1" w:color="DDDDDD"/>
        </w:pBdr>
        <w:spacing w:before="120" w:after="120"/>
      </w:pPr>
    </w:p>
    <w:p w14:paraId="12975ABF" w14:textId="77777777" w:rsidR="00BB1D38" w:rsidRDefault="00000000">
      <w:pPr>
        <w:pStyle w:val="Heading1"/>
      </w:pPr>
      <w:r>
        <w:rPr>
          <w:color w:val="1B3F6B"/>
        </w:rPr>
        <w:t>9. Dashboard Specification</w:t>
      </w:r>
    </w:p>
    <w:p w14:paraId="53811F63" w14:textId="77777777" w:rsidR="00BB1D38" w:rsidRDefault="00000000">
      <w:pPr>
        <w:spacing w:before="60" w:after="100"/>
      </w:pPr>
      <w:r>
        <w:rPr>
          <w:color w:val="333333"/>
        </w:rPr>
        <w:t xml:space="preserve">The AHI dashboard is a React single-page application connected to the </w:t>
      </w:r>
      <w:proofErr w:type="spellStart"/>
      <w:r>
        <w:rPr>
          <w:color w:val="333333"/>
        </w:rPr>
        <w:t>csm_ahi_monthly</w:t>
      </w:r>
      <w:proofErr w:type="spellEnd"/>
      <w:r>
        <w:rPr>
          <w:color w:val="333333"/>
        </w:rPr>
        <w:t xml:space="preserve"> and </w:t>
      </w:r>
      <w:proofErr w:type="spellStart"/>
      <w:r>
        <w:rPr>
          <w:color w:val="333333"/>
        </w:rPr>
        <w:t>account_ahi_monthly</w:t>
      </w:r>
      <w:proofErr w:type="spellEnd"/>
      <w:r>
        <w:rPr>
          <w:color w:val="333333"/>
        </w:rPr>
        <w:t xml:space="preserve"> </w:t>
      </w:r>
      <w:proofErr w:type="spellStart"/>
      <w:r>
        <w:rPr>
          <w:color w:val="333333"/>
        </w:rPr>
        <w:t>BigQuery</w:t>
      </w:r>
      <w:proofErr w:type="spellEnd"/>
      <w:r>
        <w:rPr>
          <w:color w:val="333333"/>
        </w:rPr>
        <w:t xml:space="preserve"> output tables. It is the primary interface through which CS leadership and CSM reps interact with AHI. The dashboard has three views: Executive, CSM, and Account.</w:t>
      </w:r>
    </w:p>
    <w:p w14:paraId="1B9DF62E" w14:textId="77777777" w:rsidR="00BB1D38" w:rsidRDefault="00000000">
      <w:pPr>
        <w:pStyle w:val="Heading2"/>
      </w:pPr>
      <w:r>
        <w:rPr>
          <w:color w:val="1B3F6B"/>
        </w:rPr>
        <w:t>9.1 Design principles</w:t>
      </w:r>
    </w:p>
    <w:p w14:paraId="15F9F4B1" w14:textId="77777777" w:rsidR="00BB1D38" w:rsidRDefault="00000000">
      <w:pPr>
        <w:pStyle w:val="ListParagraph"/>
        <w:numPr>
          <w:ilvl w:val="0"/>
          <w:numId w:val="2"/>
        </w:numPr>
        <w:spacing w:before="40" w:after="40"/>
      </w:pPr>
      <w:r w:rsidRPr="00D54599">
        <w:rPr>
          <w:b/>
          <w:bCs/>
          <w:color w:val="333333"/>
        </w:rPr>
        <w:t>Executive-first information hierarchy</w:t>
      </w:r>
      <w:r>
        <w:rPr>
          <w:color w:val="333333"/>
        </w:rPr>
        <w:t>: the most important number (portfolio AHI, ARR at risk) is visible above the fold without scrolling.</w:t>
      </w:r>
    </w:p>
    <w:p w14:paraId="312CE3B2" w14:textId="77777777" w:rsidR="00BB1D38" w:rsidRDefault="00000000">
      <w:pPr>
        <w:pStyle w:val="ListParagraph"/>
        <w:numPr>
          <w:ilvl w:val="0"/>
          <w:numId w:val="2"/>
        </w:numPr>
        <w:spacing w:before="40" w:after="40"/>
      </w:pPr>
      <w:r w:rsidRPr="00D54599">
        <w:rPr>
          <w:b/>
          <w:bCs/>
          <w:color w:val="333333"/>
        </w:rPr>
        <w:t>Action-oriented layout</w:t>
      </w:r>
      <w:r>
        <w:rPr>
          <w:color w:val="333333"/>
        </w:rPr>
        <w:t>: accounts requiring intervention are surfaced at the top, not buried in a sortable table.</w:t>
      </w:r>
    </w:p>
    <w:p w14:paraId="222802C0" w14:textId="77777777" w:rsidR="00BB1D38" w:rsidRDefault="00000000">
      <w:pPr>
        <w:pStyle w:val="ListParagraph"/>
        <w:numPr>
          <w:ilvl w:val="0"/>
          <w:numId w:val="2"/>
        </w:numPr>
        <w:spacing w:before="40" w:after="40"/>
      </w:pPr>
      <w:r w:rsidRPr="00D54599">
        <w:rPr>
          <w:b/>
          <w:bCs/>
          <w:color w:val="333333"/>
        </w:rPr>
        <w:t>AI speaks when it matters</w:t>
      </w:r>
      <w:r>
        <w:rPr>
          <w:color w:val="333333"/>
        </w:rPr>
        <w:t>: LLM narratives appear only for accounts below AHI 80. Healthy accounts show scores and bars only.</w:t>
      </w:r>
    </w:p>
    <w:p w14:paraId="7CE2C881" w14:textId="2CAD1C93" w:rsidR="00BB1D38" w:rsidRDefault="00000000" w:rsidP="00D54599">
      <w:pPr>
        <w:pStyle w:val="ListParagraph"/>
        <w:numPr>
          <w:ilvl w:val="0"/>
          <w:numId w:val="2"/>
        </w:numPr>
        <w:spacing w:before="40" w:after="40"/>
      </w:pPr>
      <w:r w:rsidRPr="00D54599">
        <w:rPr>
          <w:b/>
          <w:bCs/>
          <w:color w:val="333333"/>
        </w:rPr>
        <w:t>Color as signal, not decoration</w:t>
      </w:r>
      <w:r>
        <w:rPr>
          <w:color w:val="333333"/>
        </w:rPr>
        <w:t>: Healthy (green), Monitor (yellow), At Risk (amber), Critical (red), Churning (dark red) — consistent across all three views.</w:t>
      </w:r>
    </w:p>
    <w:p w14:paraId="2332E564" w14:textId="77777777" w:rsidR="00BB1D38" w:rsidRDefault="00000000">
      <w:pPr>
        <w:pStyle w:val="Heading2"/>
      </w:pPr>
      <w:r>
        <w:rPr>
          <w:color w:val="1B3F6B"/>
        </w:rPr>
        <w:t>9.2 View 1 — Executive view (VP CS audience)</w:t>
      </w:r>
    </w:p>
    <w:p w14:paraId="2379F6A5" w14:textId="54F5DF2D" w:rsidR="00BB1D38" w:rsidRPr="00D54599" w:rsidRDefault="00000000" w:rsidP="00D54599">
      <w:pPr>
        <w:spacing w:before="60" w:after="100"/>
        <w:rPr>
          <w:color w:val="333333"/>
        </w:rPr>
      </w:pPr>
      <w:r>
        <w:rPr>
          <w:color w:val="333333"/>
        </w:rPr>
        <w:t xml:space="preserve">Primary audience: VP of Customer Success, CS leadership. Purpose: portfolio-level health </w:t>
      </w:r>
      <w:proofErr w:type="gramStart"/>
      <w:r>
        <w:rPr>
          <w:color w:val="333333"/>
        </w:rPr>
        <w:t>at a glance</w:t>
      </w:r>
      <w:proofErr w:type="gramEnd"/>
      <w:r>
        <w:rPr>
          <w:color w:val="333333"/>
        </w:rPr>
        <w:t xml:space="preserve">, with drill-down by </w:t>
      </w:r>
      <w:proofErr w:type="gramStart"/>
      <w:r>
        <w:rPr>
          <w:color w:val="333333"/>
        </w:rPr>
        <w:t>Region</w:t>
      </w:r>
      <w:proofErr w:type="gramEnd"/>
      <w:r>
        <w:rPr>
          <w:color w:val="333333"/>
        </w:rPr>
        <w:t xml:space="preserve"> and segment.</w:t>
      </w:r>
    </w:p>
    <w:tbl>
      <w:tblPr>
        <w:tblW w:w="107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9"/>
        <w:gridCol w:w="3330"/>
        <w:gridCol w:w="5400"/>
      </w:tblGrid>
      <w:tr w:rsidR="00BB1D38" w14:paraId="6A09A114" w14:textId="77777777" w:rsidTr="00D54599">
        <w:tblPrEx>
          <w:tblCellMar>
            <w:top w:w="0" w:type="dxa"/>
            <w:bottom w:w="0" w:type="dxa"/>
          </w:tblCellMar>
        </w:tblPrEx>
        <w:trPr>
          <w:tblHeader/>
          <w:jc w:val="center"/>
        </w:trPr>
        <w:tc>
          <w:tcPr>
            <w:tcW w:w="2069" w:type="dxa"/>
            <w:tcBorders>
              <w:top w:val="single" w:sz="1" w:space="0" w:color="CCCCCC"/>
              <w:left w:val="single" w:sz="1" w:space="0" w:color="CCCCCC"/>
              <w:bottom w:val="single" w:sz="1" w:space="0" w:color="CCCCCC"/>
              <w:right w:val="single" w:sz="1" w:space="0" w:color="CCCCCC"/>
            </w:tcBorders>
            <w:shd w:val="clear" w:color="auto" w:fill="1B3F6B"/>
            <w:tcMar>
              <w:top w:w="80" w:type="dxa"/>
              <w:left w:w="120" w:type="dxa"/>
              <w:bottom w:w="80" w:type="dxa"/>
              <w:right w:w="120" w:type="dxa"/>
            </w:tcMar>
          </w:tcPr>
          <w:p w14:paraId="18F7DEC0" w14:textId="77777777" w:rsidR="00BB1D38" w:rsidRDefault="00000000">
            <w:r>
              <w:rPr>
                <w:b/>
                <w:bCs/>
                <w:color w:val="FFFFFF"/>
                <w:sz w:val="20"/>
                <w:szCs w:val="20"/>
              </w:rPr>
              <w:t>Component</w:t>
            </w:r>
          </w:p>
        </w:tc>
        <w:tc>
          <w:tcPr>
            <w:tcW w:w="3330" w:type="dxa"/>
            <w:tcBorders>
              <w:top w:val="single" w:sz="1" w:space="0" w:color="CCCCCC"/>
              <w:left w:val="single" w:sz="1" w:space="0" w:color="CCCCCC"/>
              <w:bottom w:val="single" w:sz="1" w:space="0" w:color="CCCCCC"/>
              <w:right w:val="single" w:sz="1" w:space="0" w:color="CCCCCC"/>
            </w:tcBorders>
            <w:shd w:val="clear" w:color="auto" w:fill="1B3F6B"/>
            <w:tcMar>
              <w:top w:w="80" w:type="dxa"/>
              <w:left w:w="120" w:type="dxa"/>
              <w:bottom w:w="80" w:type="dxa"/>
              <w:right w:w="120" w:type="dxa"/>
            </w:tcMar>
          </w:tcPr>
          <w:p w14:paraId="7829382C" w14:textId="77777777" w:rsidR="00BB1D38" w:rsidRDefault="00000000">
            <w:r>
              <w:rPr>
                <w:b/>
                <w:bCs/>
                <w:color w:val="FFFFFF"/>
                <w:sz w:val="20"/>
                <w:szCs w:val="20"/>
              </w:rPr>
              <w:t>Data Source</w:t>
            </w:r>
          </w:p>
        </w:tc>
        <w:tc>
          <w:tcPr>
            <w:tcW w:w="5400" w:type="dxa"/>
            <w:tcBorders>
              <w:top w:val="single" w:sz="1" w:space="0" w:color="CCCCCC"/>
              <w:left w:val="single" w:sz="1" w:space="0" w:color="CCCCCC"/>
              <w:bottom w:val="single" w:sz="1" w:space="0" w:color="CCCCCC"/>
              <w:right w:val="single" w:sz="1" w:space="0" w:color="CCCCCC"/>
            </w:tcBorders>
            <w:shd w:val="clear" w:color="auto" w:fill="1B3F6B"/>
            <w:tcMar>
              <w:top w:w="80" w:type="dxa"/>
              <w:left w:w="120" w:type="dxa"/>
              <w:bottom w:w="80" w:type="dxa"/>
              <w:right w:w="120" w:type="dxa"/>
            </w:tcMar>
          </w:tcPr>
          <w:p w14:paraId="605CFAAD" w14:textId="77777777" w:rsidR="00BB1D38" w:rsidRDefault="00000000">
            <w:r>
              <w:rPr>
                <w:b/>
                <w:bCs/>
                <w:color w:val="FFFFFF"/>
                <w:sz w:val="20"/>
                <w:szCs w:val="20"/>
              </w:rPr>
              <w:t>Description</w:t>
            </w:r>
          </w:p>
        </w:tc>
      </w:tr>
      <w:tr w:rsidR="00BB1D38" w14:paraId="62F6FFB6" w14:textId="77777777" w:rsidTr="00D54599">
        <w:tblPrEx>
          <w:tblCellMar>
            <w:top w:w="0" w:type="dxa"/>
            <w:bottom w:w="0" w:type="dxa"/>
          </w:tblCellMar>
        </w:tblPrEx>
        <w:trPr>
          <w:jc w:val="center"/>
        </w:trPr>
        <w:tc>
          <w:tcPr>
            <w:tcW w:w="20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755B21" w14:textId="77777777" w:rsidR="00BB1D38" w:rsidRDefault="00000000">
            <w:r>
              <w:rPr>
                <w:color w:val="333333"/>
                <w:sz w:val="20"/>
                <w:szCs w:val="20"/>
              </w:rPr>
              <w:t>Portfolio AHI score</w:t>
            </w:r>
          </w:p>
        </w:tc>
        <w:tc>
          <w:tcPr>
            <w:tcW w:w="33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35B2D1" w14:textId="77777777" w:rsidR="00BB1D38" w:rsidRDefault="00000000">
            <w:proofErr w:type="spellStart"/>
            <w:r>
              <w:rPr>
                <w:color w:val="333333"/>
                <w:sz w:val="20"/>
                <w:szCs w:val="20"/>
              </w:rPr>
              <w:t>csm_ahi_monthly</w:t>
            </w:r>
            <w:proofErr w:type="spellEnd"/>
            <w:r>
              <w:rPr>
                <w:color w:val="333333"/>
                <w:sz w:val="20"/>
                <w:szCs w:val="20"/>
              </w:rPr>
              <w:t>, ARR-weighted average across all CSMs</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19CDBF" w14:textId="77777777" w:rsidR="00BB1D38" w:rsidRDefault="00000000">
            <w:r>
              <w:rPr>
                <w:color w:val="333333"/>
                <w:sz w:val="20"/>
                <w:szCs w:val="20"/>
              </w:rPr>
              <w:t>Single large number at top of page. Current month vs. prior month delta shown as +/− indicator.</w:t>
            </w:r>
          </w:p>
        </w:tc>
      </w:tr>
      <w:tr w:rsidR="00BB1D38" w14:paraId="480924AC" w14:textId="77777777" w:rsidTr="00D54599">
        <w:tblPrEx>
          <w:tblCellMar>
            <w:top w:w="0" w:type="dxa"/>
            <w:bottom w:w="0" w:type="dxa"/>
          </w:tblCellMar>
        </w:tblPrEx>
        <w:trPr>
          <w:jc w:val="center"/>
        </w:trPr>
        <w:tc>
          <w:tcPr>
            <w:tcW w:w="2069"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38BCD58A" w14:textId="77777777" w:rsidR="00BB1D38" w:rsidRDefault="00000000">
            <w:r>
              <w:rPr>
                <w:color w:val="333333"/>
                <w:sz w:val="20"/>
                <w:szCs w:val="20"/>
              </w:rPr>
              <w:t>ARR at risk</w:t>
            </w:r>
          </w:p>
        </w:tc>
        <w:tc>
          <w:tcPr>
            <w:tcW w:w="333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3F58E29A" w14:textId="77777777" w:rsidR="00BB1D38" w:rsidRDefault="00000000">
            <w:proofErr w:type="spellStart"/>
            <w:r>
              <w:rPr>
                <w:color w:val="333333"/>
                <w:sz w:val="20"/>
                <w:szCs w:val="20"/>
              </w:rPr>
              <w:t>account_ahi_monthly</w:t>
            </w:r>
            <w:proofErr w:type="spellEnd"/>
            <w:r>
              <w:rPr>
                <w:color w:val="333333"/>
                <w:sz w:val="20"/>
                <w:szCs w:val="20"/>
              </w:rPr>
              <w:t xml:space="preserve"> WHERE </w:t>
            </w:r>
            <w:proofErr w:type="spellStart"/>
            <w:r>
              <w:rPr>
                <w:color w:val="333333"/>
                <w:sz w:val="20"/>
                <w:szCs w:val="20"/>
              </w:rPr>
              <w:t>ahi_score</w:t>
            </w:r>
            <w:proofErr w:type="spellEnd"/>
            <w:r>
              <w:rPr>
                <w:color w:val="333333"/>
                <w:sz w:val="20"/>
                <w:szCs w:val="20"/>
              </w:rPr>
              <w:t xml:space="preserve"> &lt; 50, </w:t>
            </w:r>
            <w:proofErr w:type="gramStart"/>
            <w:r>
              <w:rPr>
                <w:color w:val="333333"/>
                <w:sz w:val="20"/>
                <w:szCs w:val="20"/>
              </w:rPr>
              <w:t>SUM(</w:t>
            </w:r>
            <w:proofErr w:type="spellStart"/>
            <w:proofErr w:type="gramEnd"/>
            <w:r>
              <w:rPr>
                <w:color w:val="333333"/>
                <w:sz w:val="20"/>
                <w:szCs w:val="20"/>
              </w:rPr>
              <w:t>annual_arr</w:t>
            </w:r>
            <w:proofErr w:type="spellEnd"/>
            <w:r>
              <w:rPr>
                <w:color w:val="333333"/>
                <w:sz w:val="20"/>
                <w:szCs w:val="20"/>
              </w:rPr>
              <w:t>)</w:t>
            </w:r>
          </w:p>
        </w:tc>
        <w:tc>
          <w:tcPr>
            <w:tcW w:w="540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4FFA151F" w14:textId="77777777" w:rsidR="00BB1D38" w:rsidRDefault="00000000">
            <w:r>
              <w:rPr>
                <w:color w:val="333333"/>
                <w:sz w:val="20"/>
                <w:szCs w:val="20"/>
              </w:rPr>
              <w:t>Total ARR in At Risk + Critical + Churning accounts. Shown in dollars, updated monthly.</w:t>
            </w:r>
          </w:p>
        </w:tc>
      </w:tr>
      <w:tr w:rsidR="00BB1D38" w14:paraId="30454B6F" w14:textId="77777777" w:rsidTr="00D54599">
        <w:tblPrEx>
          <w:tblCellMar>
            <w:top w:w="0" w:type="dxa"/>
            <w:bottom w:w="0" w:type="dxa"/>
          </w:tblCellMar>
        </w:tblPrEx>
        <w:trPr>
          <w:jc w:val="center"/>
        </w:trPr>
        <w:tc>
          <w:tcPr>
            <w:tcW w:w="20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D0AF3B" w14:textId="77777777" w:rsidR="00BB1D38" w:rsidRDefault="00000000">
            <w:r>
              <w:rPr>
                <w:color w:val="333333"/>
                <w:sz w:val="20"/>
                <w:szCs w:val="20"/>
              </w:rPr>
              <w:lastRenderedPageBreak/>
              <w:t>Accounts by status</w:t>
            </w:r>
          </w:p>
        </w:tc>
        <w:tc>
          <w:tcPr>
            <w:tcW w:w="33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DF2E9E" w14:textId="77777777" w:rsidR="00BB1D38" w:rsidRDefault="00000000">
            <w:proofErr w:type="spellStart"/>
            <w:r>
              <w:rPr>
                <w:color w:val="333333"/>
                <w:sz w:val="20"/>
                <w:szCs w:val="20"/>
              </w:rPr>
              <w:t>account_ahi_monthly</w:t>
            </w:r>
            <w:proofErr w:type="spellEnd"/>
            <w:r>
              <w:rPr>
                <w:color w:val="333333"/>
                <w:sz w:val="20"/>
                <w:szCs w:val="20"/>
              </w:rPr>
              <w:t>, COUNT by health status</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0C487A" w14:textId="77777777" w:rsidR="00BB1D38" w:rsidRDefault="00000000">
            <w:r>
              <w:rPr>
                <w:color w:val="333333"/>
                <w:sz w:val="20"/>
                <w:szCs w:val="20"/>
              </w:rPr>
              <w:t>Five-segment bar or donut chart: Healthy / Monitor / At Risk / Critical / Churning. Clickable — click a segment to filter the CSM leaderboard below.</w:t>
            </w:r>
          </w:p>
        </w:tc>
      </w:tr>
      <w:tr w:rsidR="00BB1D38" w14:paraId="0C0AA672" w14:textId="77777777" w:rsidTr="00D54599">
        <w:tblPrEx>
          <w:tblCellMar>
            <w:top w:w="0" w:type="dxa"/>
            <w:bottom w:w="0" w:type="dxa"/>
          </w:tblCellMar>
        </w:tblPrEx>
        <w:trPr>
          <w:jc w:val="center"/>
        </w:trPr>
        <w:tc>
          <w:tcPr>
            <w:tcW w:w="2069"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6D6BB65E" w14:textId="77777777" w:rsidR="00BB1D38" w:rsidRDefault="00000000">
            <w:r>
              <w:rPr>
                <w:color w:val="333333"/>
                <w:sz w:val="20"/>
                <w:szCs w:val="20"/>
              </w:rPr>
              <w:t>CSM leaderboard</w:t>
            </w:r>
          </w:p>
        </w:tc>
        <w:tc>
          <w:tcPr>
            <w:tcW w:w="333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58401435" w14:textId="77777777" w:rsidR="00BB1D38" w:rsidRDefault="00000000">
            <w:proofErr w:type="spellStart"/>
            <w:r>
              <w:rPr>
                <w:color w:val="333333"/>
                <w:sz w:val="20"/>
                <w:szCs w:val="20"/>
              </w:rPr>
              <w:t>csm_ahi_monthly</w:t>
            </w:r>
            <w:proofErr w:type="spellEnd"/>
            <w:r>
              <w:rPr>
                <w:color w:val="333333"/>
                <w:sz w:val="20"/>
                <w:szCs w:val="20"/>
              </w:rPr>
              <w:t xml:space="preserve"> JOIN </w:t>
            </w:r>
            <w:proofErr w:type="spellStart"/>
            <w:r>
              <w:rPr>
                <w:color w:val="333333"/>
                <w:sz w:val="20"/>
                <w:szCs w:val="20"/>
              </w:rPr>
              <w:t>csm_rep</w:t>
            </w:r>
            <w:proofErr w:type="spellEnd"/>
            <w:r>
              <w:rPr>
                <w:color w:val="333333"/>
                <w:sz w:val="20"/>
                <w:szCs w:val="20"/>
              </w:rPr>
              <w:t xml:space="preserve"> on </w:t>
            </w:r>
            <w:proofErr w:type="spellStart"/>
            <w:r>
              <w:rPr>
                <w:color w:val="333333"/>
                <w:sz w:val="20"/>
                <w:szCs w:val="20"/>
              </w:rPr>
              <w:t>csm_id</w:t>
            </w:r>
            <w:proofErr w:type="spellEnd"/>
          </w:p>
        </w:tc>
        <w:tc>
          <w:tcPr>
            <w:tcW w:w="540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2D5409D9" w14:textId="77777777" w:rsidR="00BB1D38" w:rsidRDefault="00000000">
            <w:r>
              <w:rPr>
                <w:color w:val="333333"/>
                <w:sz w:val="20"/>
                <w:szCs w:val="20"/>
              </w:rPr>
              <w:t>Table of all CSMs sorted by AHI score ascending (lowest first). Columns: CSM name, region, segment, AHI score, accounts at risk count, ARR at risk. Filter by Region and Segment.</w:t>
            </w:r>
          </w:p>
        </w:tc>
      </w:tr>
      <w:tr w:rsidR="00BB1D38" w14:paraId="1D9D42C6" w14:textId="77777777" w:rsidTr="00D54599">
        <w:tblPrEx>
          <w:tblCellMar>
            <w:top w:w="0" w:type="dxa"/>
            <w:bottom w:w="0" w:type="dxa"/>
          </w:tblCellMar>
        </w:tblPrEx>
        <w:trPr>
          <w:jc w:val="center"/>
        </w:trPr>
        <w:tc>
          <w:tcPr>
            <w:tcW w:w="20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A02A60" w14:textId="77777777" w:rsidR="00BB1D38" w:rsidRDefault="00000000">
            <w:r>
              <w:rPr>
                <w:color w:val="333333"/>
                <w:sz w:val="20"/>
                <w:szCs w:val="20"/>
              </w:rPr>
              <w:t>Region filter</w:t>
            </w:r>
          </w:p>
        </w:tc>
        <w:tc>
          <w:tcPr>
            <w:tcW w:w="33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8658E1" w14:textId="77777777" w:rsidR="00BB1D38" w:rsidRDefault="00000000">
            <w:proofErr w:type="spellStart"/>
            <w:r>
              <w:rPr>
                <w:color w:val="333333"/>
                <w:sz w:val="20"/>
                <w:szCs w:val="20"/>
              </w:rPr>
              <w:t>csm_</w:t>
            </w:r>
            <w:proofErr w:type="gramStart"/>
            <w:r>
              <w:rPr>
                <w:color w:val="333333"/>
                <w:sz w:val="20"/>
                <w:szCs w:val="20"/>
              </w:rPr>
              <w:t>rep.region</w:t>
            </w:r>
            <w:proofErr w:type="spellEnd"/>
            <w:proofErr w:type="gramEnd"/>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0C6576" w14:textId="77777777" w:rsidR="00BB1D38" w:rsidRDefault="00000000">
            <w:r>
              <w:rPr>
                <w:color w:val="333333"/>
                <w:sz w:val="20"/>
                <w:szCs w:val="20"/>
              </w:rPr>
              <w:t>Dropdown: All Regions / West / East / EMEA. Filters all components on the page simultaneously.</w:t>
            </w:r>
          </w:p>
        </w:tc>
      </w:tr>
      <w:tr w:rsidR="00BB1D38" w14:paraId="3B0E0A1E" w14:textId="77777777" w:rsidTr="00D54599">
        <w:tblPrEx>
          <w:tblCellMar>
            <w:top w:w="0" w:type="dxa"/>
            <w:bottom w:w="0" w:type="dxa"/>
          </w:tblCellMar>
        </w:tblPrEx>
        <w:trPr>
          <w:jc w:val="center"/>
        </w:trPr>
        <w:tc>
          <w:tcPr>
            <w:tcW w:w="2069"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351776C7" w14:textId="77777777" w:rsidR="00BB1D38" w:rsidRDefault="00000000">
            <w:r>
              <w:rPr>
                <w:color w:val="333333"/>
                <w:sz w:val="20"/>
                <w:szCs w:val="20"/>
              </w:rPr>
              <w:t>Segment filter</w:t>
            </w:r>
          </w:p>
        </w:tc>
        <w:tc>
          <w:tcPr>
            <w:tcW w:w="333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603489C1" w14:textId="77777777" w:rsidR="00BB1D38" w:rsidRDefault="00000000">
            <w:proofErr w:type="spellStart"/>
            <w:r>
              <w:rPr>
                <w:color w:val="333333"/>
                <w:sz w:val="20"/>
                <w:szCs w:val="20"/>
              </w:rPr>
              <w:t>csm_</w:t>
            </w:r>
            <w:proofErr w:type="gramStart"/>
            <w:r>
              <w:rPr>
                <w:color w:val="333333"/>
                <w:sz w:val="20"/>
                <w:szCs w:val="20"/>
              </w:rPr>
              <w:t>rep.segment</w:t>
            </w:r>
            <w:proofErr w:type="spellEnd"/>
            <w:proofErr w:type="gramEnd"/>
          </w:p>
        </w:tc>
        <w:tc>
          <w:tcPr>
            <w:tcW w:w="540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5A95ACAB" w14:textId="77777777" w:rsidR="00BB1D38" w:rsidRDefault="00000000">
            <w:r>
              <w:rPr>
                <w:color w:val="333333"/>
                <w:sz w:val="20"/>
                <w:szCs w:val="20"/>
              </w:rPr>
              <w:t>Dropdown: All / Enterprise / Mid-Market. Filters all components on the page simultaneously.</w:t>
            </w:r>
          </w:p>
        </w:tc>
      </w:tr>
      <w:tr w:rsidR="00BB1D38" w14:paraId="357264CB" w14:textId="77777777" w:rsidTr="00D54599">
        <w:tblPrEx>
          <w:tblCellMar>
            <w:top w:w="0" w:type="dxa"/>
            <w:bottom w:w="0" w:type="dxa"/>
          </w:tblCellMar>
        </w:tblPrEx>
        <w:trPr>
          <w:jc w:val="center"/>
        </w:trPr>
        <w:tc>
          <w:tcPr>
            <w:tcW w:w="20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A6ED41" w14:textId="77777777" w:rsidR="00BB1D38" w:rsidRDefault="00000000">
            <w:r>
              <w:rPr>
                <w:color w:val="333333"/>
                <w:sz w:val="20"/>
                <w:szCs w:val="20"/>
              </w:rPr>
              <w:t>Month selector</w:t>
            </w:r>
          </w:p>
        </w:tc>
        <w:tc>
          <w:tcPr>
            <w:tcW w:w="33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E88D9D" w14:textId="77777777" w:rsidR="00BB1D38" w:rsidRDefault="00000000">
            <w:proofErr w:type="spellStart"/>
            <w:r>
              <w:rPr>
                <w:color w:val="333333"/>
                <w:sz w:val="20"/>
                <w:szCs w:val="20"/>
              </w:rPr>
              <w:t>account_ahi_</w:t>
            </w:r>
            <w:proofErr w:type="gramStart"/>
            <w:r>
              <w:rPr>
                <w:color w:val="333333"/>
                <w:sz w:val="20"/>
                <w:szCs w:val="20"/>
              </w:rPr>
              <w:t>monthly.month</w:t>
            </w:r>
            <w:proofErr w:type="spellEnd"/>
            <w:proofErr w:type="gramEnd"/>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8D7FF4" w14:textId="77777777" w:rsidR="00BB1D38" w:rsidRDefault="00000000">
            <w:r>
              <w:rPr>
                <w:color w:val="333333"/>
                <w:sz w:val="20"/>
                <w:szCs w:val="20"/>
              </w:rPr>
              <w:t>Slider or dropdown to view historical AHI by month across the 12-month dataset.</w:t>
            </w:r>
          </w:p>
        </w:tc>
      </w:tr>
    </w:tbl>
    <w:p w14:paraId="6DA3D6D1" w14:textId="77777777" w:rsidR="00BB1D38" w:rsidRDefault="00000000">
      <w:pPr>
        <w:pStyle w:val="Heading2"/>
      </w:pPr>
      <w:r>
        <w:rPr>
          <w:color w:val="1B3F6B"/>
        </w:rPr>
        <w:t>9.3 View 2 — CSM view (CSM rep audience)</w:t>
      </w:r>
    </w:p>
    <w:p w14:paraId="3F7D8737" w14:textId="4ED856F7" w:rsidR="00BB1D38" w:rsidRDefault="00000000" w:rsidP="00D54599">
      <w:pPr>
        <w:spacing w:before="60" w:after="100"/>
      </w:pPr>
      <w:r>
        <w:rPr>
          <w:color w:val="333333"/>
        </w:rPr>
        <w:t>Primary audience: individual CSM reps. Purpose: book of business ranked by health, with AI-generated narratives for accounts requiring action.</w:t>
      </w:r>
    </w:p>
    <w:tbl>
      <w:tblPr>
        <w:tblW w:w="10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66"/>
        <w:gridCol w:w="3376"/>
        <w:gridCol w:w="5847"/>
      </w:tblGrid>
      <w:tr w:rsidR="00BB1D38" w14:paraId="104DD205" w14:textId="77777777" w:rsidTr="00D54599">
        <w:tblPrEx>
          <w:tblCellMar>
            <w:top w:w="0" w:type="dxa"/>
            <w:bottom w:w="0" w:type="dxa"/>
          </w:tblCellMar>
        </w:tblPrEx>
        <w:trPr>
          <w:tblHeader/>
        </w:trPr>
        <w:tc>
          <w:tcPr>
            <w:tcW w:w="1693" w:type="dxa"/>
            <w:tcBorders>
              <w:top w:val="single" w:sz="1" w:space="0" w:color="CCCCCC"/>
              <w:left w:val="single" w:sz="1" w:space="0" w:color="CCCCCC"/>
              <w:bottom w:val="single" w:sz="1" w:space="0" w:color="CCCCCC"/>
              <w:right w:val="single" w:sz="1" w:space="0" w:color="CCCCCC"/>
            </w:tcBorders>
            <w:shd w:val="clear" w:color="auto" w:fill="1B3F6B"/>
            <w:tcMar>
              <w:top w:w="80" w:type="dxa"/>
              <w:left w:w="120" w:type="dxa"/>
              <w:bottom w:w="80" w:type="dxa"/>
              <w:right w:w="120" w:type="dxa"/>
            </w:tcMar>
          </w:tcPr>
          <w:p w14:paraId="4DB925E4" w14:textId="77777777" w:rsidR="00BB1D38" w:rsidRDefault="00000000">
            <w:r>
              <w:rPr>
                <w:b/>
                <w:bCs/>
                <w:color w:val="FFFFFF"/>
                <w:sz w:val="20"/>
                <w:szCs w:val="20"/>
              </w:rPr>
              <w:t>Component</w:t>
            </w:r>
          </w:p>
        </w:tc>
        <w:tc>
          <w:tcPr>
            <w:tcW w:w="2986" w:type="dxa"/>
            <w:tcBorders>
              <w:top w:val="single" w:sz="1" w:space="0" w:color="CCCCCC"/>
              <w:left w:val="single" w:sz="1" w:space="0" w:color="CCCCCC"/>
              <w:bottom w:val="single" w:sz="1" w:space="0" w:color="CCCCCC"/>
              <w:right w:val="single" w:sz="1" w:space="0" w:color="CCCCCC"/>
            </w:tcBorders>
            <w:shd w:val="clear" w:color="auto" w:fill="1B3F6B"/>
            <w:tcMar>
              <w:top w:w="80" w:type="dxa"/>
              <w:left w:w="120" w:type="dxa"/>
              <w:bottom w:w="80" w:type="dxa"/>
              <w:right w:w="120" w:type="dxa"/>
            </w:tcMar>
          </w:tcPr>
          <w:p w14:paraId="52EF7EA8" w14:textId="77777777" w:rsidR="00BB1D38" w:rsidRDefault="00000000">
            <w:r>
              <w:rPr>
                <w:b/>
                <w:bCs/>
                <w:color w:val="FFFFFF"/>
                <w:sz w:val="20"/>
                <w:szCs w:val="20"/>
              </w:rPr>
              <w:t>Data Source</w:t>
            </w:r>
          </w:p>
        </w:tc>
        <w:tc>
          <w:tcPr>
            <w:tcW w:w="6210" w:type="dxa"/>
            <w:tcBorders>
              <w:top w:val="single" w:sz="1" w:space="0" w:color="CCCCCC"/>
              <w:left w:val="single" w:sz="1" w:space="0" w:color="CCCCCC"/>
              <w:bottom w:val="single" w:sz="1" w:space="0" w:color="CCCCCC"/>
              <w:right w:val="single" w:sz="1" w:space="0" w:color="CCCCCC"/>
            </w:tcBorders>
            <w:shd w:val="clear" w:color="auto" w:fill="1B3F6B"/>
            <w:tcMar>
              <w:top w:w="80" w:type="dxa"/>
              <w:left w:w="120" w:type="dxa"/>
              <w:bottom w:w="80" w:type="dxa"/>
              <w:right w:w="120" w:type="dxa"/>
            </w:tcMar>
          </w:tcPr>
          <w:p w14:paraId="48DAE346" w14:textId="77777777" w:rsidR="00BB1D38" w:rsidRDefault="00000000">
            <w:r>
              <w:rPr>
                <w:b/>
                <w:bCs/>
                <w:color w:val="FFFFFF"/>
                <w:sz w:val="20"/>
                <w:szCs w:val="20"/>
              </w:rPr>
              <w:t>Description</w:t>
            </w:r>
          </w:p>
        </w:tc>
      </w:tr>
      <w:tr w:rsidR="00BB1D38" w14:paraId="6C61887A" w14:textId="77777777" w:rsidTr="00D54599">
        <w:tblPrEx>
          <w:tblCellMar>
            <w:top w:w="0" w:type="dxa"/>
            <w:bottom w:w="0" w:type="dxa"/>
          </w:tblCellMar>
        </w:tblPrEx>
        <w:tc>
          <w:tcPr>
            <w:tcW w:w="16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7EB846" w14:textId="77777777" w:rsidR="00BB1D38" w:rsidRDefault="00000000">
            <w:r>
              <w:rPr>
                <w:color w:val="333333"/>
                <w:sz w:val="20"/>
                <w:szCs w:val="20"/>
              </w:rPr>
              <w:t>CSM AHI score</w:t>
            </w:r>
          </w:p>
        </w:tc>
        <w:tc>
          <w:tcPr>
            <w:tcW w:w="29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702095" w14:textId="77777777" w:rsidR="00BB1D38" w:rsidRDefault="00000000">
            <w:proofErr w:type="spellStart"/>
            <w:r>
              <w:rPr>
                <w:color w:val="333333"/>
                <w:sz w:val="20"/>
                <w:szCs w:val="20"/>
              </w:rPr>
              <w:t>csm_ahi_monthly</w:t>
            </w:r>
            <w:proofErr w:type="spellEnd"/>
            <w:r>
              <w:rPr>
                <w:color w:val="333333"/>
                <w:sz w:val="20"/>
                <w:szCs w:val="20"/>
              </w:rPr>
              <w:t xml:space="preserve"> for selected CSM</w:t>
            </w:r>
          </w:p>
        </w:tc>
        <w:tc>
          <w:tcPr>
            <w:tcW w:w="62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9ED516" w14:textId="77777777" w:rsidR="00BB1D38" w:rsidRDefault="00000000">
            <w:r>
              <w:rPr>
                <w:color w:val="333333"/>
                <w:sz w:val="20"/>
                <w:szCs w:val="20"/>
              </w:rPr>
              <w:t>CSM's ARR-weighted portfolio score for current month. Prior month delta shown.</w:t>
            </w:r>
          </w:p>
        </w:tc>
      </w:tr>
      <w:tr w:rsidR="00BB1D38" w14:paraId="28287795" w14:textId="77777777" w:rsidTr="00D54599">
        <w:tblPrEx>
          <w:tblCellMar>
            <w:top w:w="0" w:type="dxa"/>
            <w:bottom w:w="0" w:type="dxa"/>
          </w:tblCellMar>
        </w:tblPrEx>
        <w:tc>
          <w:tcPr>
            <w:tcW w:w="1693"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74BDA834" w14:textId="77777777" w:rsidR="00BB1D38" w:rsidRDefault="00000000">
            <w:r>
              <w:rPr>
                <w:color w:val="333333"/>
                <w:sz w:val="20"/>
                <w:szCs w:val="20"/>
              </w:rPr>
              <w:t>Book summary metrics</w:t>
            </w:r>
          </w:p>
        </w:tc>
        <w:tc>
          <w:tcPr>
            <w:tcW w:w="2986"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2AEAC4B5" w14:textId="77777777" w:rsidR="00BB1D38" w:rsidRDefault="00000000">
            <w:proofErr w:type="spellStart"/>
            <w:r>
              <w:rPr>
                <w:color w:val="333333"/>
                <w:sz w:val="20"/>
                <w:szCs w:val="20"/>
              </w:rPr>
              <w:t>account_ahi_monthly</w:t>
            </w:r>
            <w:proofErr w:type="spellEnd"/>
            <w:r>
              <w:rPr>
                <w:color w:val="333333"/>
                <w:sz w:val="20"/>
                <w:szCs w:val="20"/>
              </w:rPr>
              <w:t xml:space="preserve"> filtered by CSM</w:t>
            </w:r>
          </w:p>
        </w:tc>
        <w:tc>
          <w:tcPr>
            <w:tcW w:w="621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0B892A4D" w14:textId="77777777" w:rsidR="00BB1D38" w:rsidRDefault="00000000">
            <w:r>
              <w:rPr>
                <w:color w:val="333333"/>
                <w:sz w:val="20"/>
                <w:szCs w:val="20"/>
              </w:rPr>
              <w:t>Four metric cards: total accounts, accounts needing attention (AHI &lt; 65), ARR at risk, upsell opportunities flagged (</w:t>
            </w:r>
            <w:proofErr w:type="spellStart"/>
            <w:r>
              <w:rPr>
                <w:color w:val="333333"/>
                <w:sz w:val="20"/>
                <w:szCs w:val="20"/>
              </w:rPr>
              <w:t>overage_flag</w:t>
            </w:r>
            <w:proofErr w:type="spellEnd"/>
            <w:r>
              <w:rPr>
                <w:color w:val="333333"/>
                <w:sz w:val="20"/>
                <w:szCs w:val="20"/>
              </w:rPr>
              <w:t xml:space="preserve"> = TRUE).</w:t>
            </w:r>
          </w:p>
        </w:tc>
      </w:tr>
      <w:tr w:rsidR="00BB1D38" w14:paraId="6C934AD6" w14:textId="77777777" w:rsidTr="00D54599">
        <w:tblPrEx>
          <w:tblCellMar>
            <w:top w:w="0" w:type="dxa"/>
            <w:bottom w:w="0" w:type="dxa"/>
          </w:tblCellMar>
        </w:tblPrEx>
        <w:tc>
          <w:tcPr>
            <w:tcW w:w="16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805E08" w14:textId="77777777" w:rsidR="00BB1D38" w:rsidRDefault="00000000">
            <w:r>
              <w:rPr>
                <w:color w:val="333333"/>
                <w:sz w:val="20"/>
                <w:szCs w:val="20"/>
              </w:rPr>
              <w:t>Account list</w:t>
            </w:r>
          </w:p>
        </w:tc>
        <w:tc>
          <w:tcPr>
            <w:tcW w:w="29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A416A5" w14:textId="77777777" w:rsidR="00BB1D38" w:rsidRDefault="00000000">
            <w:proofErr w:type="spellStart"/>
            <w:r>
              <w:rPr>
                <w:color w:val="333333"/>
                <w:sz w:val="20"/>
                <w:szCs w:val="20"/>
              </w:rPr>
              <w:t>account_ahi_monthly</w:t>
            </w:r>
            <w:proofErr w:type="spellEnd"/>
            <w:r>
              <w:rPr>
                <w:color w:val="333333"/>
                <w:sz w:val="20"/>
                <w:szCs w:val="20"/>
              </w:rPr>
              <w:t xml:space="preserve"> JOIN accounts</w:t>
            </w:r>
          </w:p>
        </w:tc>
        <w:tc>
          <w:tcPr>
            <w:tcW w:w="62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05AB8E" w14:textId="77777777" w:rsidR="00BB1D38" w:rsidRDefault="00000000">
            <w:r>
              <w:rPr>
                <w:color w:val="333333"/>
                <w:sz w:val="20"/>
                <w:szCs w:val="20"/>
              </w:rPr>
              <w:t>All accounts owned by CSM, sorted by AHI score ascending. Critical and Churning accounts pinned to top regardless of sort. Columns: account name, industry, AHI score, health status badge, dimension score bars, days to renewal, anomaly flag.</w:t>
            </w:r>
          </w:p>
        </w:tc>
      </w:tr>
      <w:tr w:rsidR="00BB1D38" w14:paraId="07331CDF" w14:textId="77777777" w:rsidTr="00D54599">
        <w:tblPrEx>
          <w:tblCellMar>
            <w:top w:w="0" w:type="dxa"/>
            <w:bottom w:w="0" w:type="dxa"/>
          </w:tblCellMar>
        </w:tblPrEx>
        <w:tc>
          <w:tcPr>
            <w:tcW w:w="1693"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69AAF54A" w14:textId="77777777" w:rsidR="00BB1D38" w:rsidRDefault="00000000">
            <w:r>
              <w:rPr>
                <w:color w:val="333333"/>
                <w:sz w:val="20"/>
                <w:szCs w:val="20"/>
              </w:rPr>
              <w:t>AI narrative</w:t>
            </w:r>
          </w:p>
        </w:tc>
        <w:tc>
          <w:tcPr>
            <w:tcW w:w="2986"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5E911A55" w14:textId="77777777" w:rsidR="00BB1D38" w:rsidRDefault="00000000">
            <w:r>
              <w:rPr>
                <w:color w:val="333333"/>
                <w:sz w:val="20"/>
                <w:szCs w:val="20"/>
              </w:rPr>
              <w:t>Claude API output per account</w:t>
            </w:r>
          </w:p>
        </w:tc>
        <w:tc>
          <w:tcPr>
            <w:tcW w:w="621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7FAC11C8" w14:textId="77777777" w:rsidR="00BB1D38" w:rsidRDefault="00000000">
            <w:r>
              <w:rPr>
                <w:color w:val="333333"/>
                <w:sz w:val="20"/>
                <w:szCs w:val="20"/>
              </w:rPr>
              <w:t>Shown inline below each account row where AHI &lt; 80. 2–3 sentences with recommended action. Hidden for Healthy accounts.</w:t>
            </w:r>
          </w:p>
        </w:tc>
      </w:tr>
      <w:tr w:rsidR="00BB1D38" w14:paraId="46B9173B" w14:textId="77777777" w:rsidTr="00D54599">
        <w:tblPrEx>
          <w:tblCellMar>
            <w:top w:w="0" w:type="dxa"/>
            <w:bottom w:w="0" w:type="dxa"/>
          </w:tblCellMar>
        </w:tblPrEx>
        <w:tc>
          <w:tcPr>
            <w:tcW w:w="16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E74A30" w14:textId="77777777" w:rsidR="00BB1D38" w:rsidRDefault="00000000">
            <w:r>
              <w:rPr>
                <w:color w:val="333333"/>
                <w:sz w:val="20"/>
                <w:szCs w:val="20"/>
              </w:rPr>
              <w:t>Dimension score bars</w:t>
            </w:r>
          </w:p>
        </w:tc>
        <w:tc>
          <w:tcPr>
            <w:tcW w:w="29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15EF9A" w14:textId="77777777" w:rsidR="00BB1D38" w:rsidRDefault="00000000">
            <w:proofErr w:type="spellStart"/>
            <w:r>
              <w:rPr>
                <w:color w:val="333333"/>
                <w:sz w:val="20"/>
                <w:szCs w:val="20"/>
              </w:rPr>
              <w:t>account_ahi_monthly</w:t>
            </w:r>
            <w:proofErr w:type="spellEnd"/>
            <w:r>
              <w:rPr>
                <w:color w:val="333333"/>
                <w:sz w:val="20"/>
                <w:szCs w:val="20"/>
              </w:rPr>
              <w:t xml:space="preserve"> dimension scores</w:t>
            </w:r>
          </w:p>
        </w:tc>
        <w:tc>
          <w:tcPr>
            <w:tcW w:w="62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95AA74" w14:textId="77777777" w:rsidR="00BB1D38" w:rsidRDefault="00000000">
            <w:r>
              <w:rPr>
                <w:color w:val="333333"/>
                <w:sz w:val="20"/>
                <w:szCs w:val="20"/>
              </w:rPr>
              <w:t>Five horizontal mini-bars per account row showing Consumption, Deployment, Stability, Expansion, Trend scores individually. Instantly shows which dimension is dragging the composite score.</w:t>
            </w:r>
          </w:p>
        </w:tc>
      </w:tr>
      <w:tr w:rsidR="00BB1D38" w14:paraId="4A2728F8" w14:textId="77777777" w:rsidTr="00D54599">
        <w:tblPrEx>
          <w:tblCellMar>
            <w:top w:w="0" w:type="dxa"/>
            <w:bottom w:w="0" w:type="dxa"/>
          </w:tblCellMar>
        </w:tblPrEx>
        <w:tc>
          <w:tcPr>
            <w:tcW w:w="1693"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45BD0C46" w14:textId="77777777" w:rsidR="00BB1D38" w:rsidRDefault="00000000">
            <w:r>
              <w:rPr>
                <w:color w:val="333333"/>
                <w:sz w:val="20"/>
                <w:szCs w:val="20"/>
              </w:rPr>
              <w:t>Anomaly indicator</w:t>
            </w:r>
          </w:p>
        </w:tc>
        <w:tc>
          <w:tcPr>
            <w:tcW w:w="2986"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008CAB1B" w14:textId="77777777" w:rsidR="00BB1D38" w:rsidRDefault="00000000">
            <w:proofErr w:type="spellStart"/>
            <w:r>
              <w:rPr>
                <w:color w:val="333333"/>
                <w:sz w:val="20"/>
                <w:szCs w:val="20"/>
              </w:rPr>
              <w:t>account_ahi_</w:t>
            </w:r>
            <w:proofErr w:type="gramStart"/>
            <w:r>
              <w:rPr>
                <w:color w:val="333333"/>
                <w:sz w:val="20"/>
                <w:szCs w:val="20"/>
              </w:rPr>
              <w:t>monthly.anomaly</w:t>
            </w:r>
            <w:proofErr w:type="gramEnd"/>
            <w:r>
              <w:rPr>
                <w:color w:val="333333"/>
                <w:sz w:val="20"/>
                <w:szCs w:val="20"/>
              </w:rPr>
              <w:t>_flag</w:t>
            </w:r>
            <w:proofErr w:type="spellEnd"/>
          </w:p>
        </w:tc>
        <w:tc>
          <w:tcPr>
            <w:tcW w:w="621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2F8CDDD6" w14:textId="77777777" w:rsidR="00BB1D38" w:rsidRDefault="00000000">
            <w:r>
              <w:rPr>
                <w:color w:val="333333"/>
                <w:sz w:val="20"/>
                <w:szCs w:val="20"/>
              </w:rPr>
              <w:t>Small flag icon on accounts where Isolation Forest detected anomalous consumption pattern. Tooltip explains: 'Unusual consumption pattern detected — spike-and-drop or erratic usage.'</w:t>
            </w:r>
          </w:p>
        </w:tc>
      </w:tr>
      <w:tr w:rsidR="00BB1D38" w14:paraId="33A11538" w14:textId="77777777" w:rsidTr="00D54599">
        <w:tblPrEx>
          <w:tblCellMar>
            <w:top w:w="0" w:type="dxa"/>
            <w:bottom w:w="0" w:type="dxa"/>
          </w:tblCellMar>
        </w:tblPrEx>
        <w:tc>
          <w:tcPr>
            <w:tcW w:w="16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B8959" w14:textId="77777777" w:rsidR="00BB1D38" w:rsidRDefault="00000000">
            <w:r>
              <w:rPr>
                <w:color w:val="333333"/>
                <w:sz w:val="20"/>
                <w:szCs w:val="20"/>
              </w:rPr>
              <w:t>Days to renewal</w:t>
            </w:r>
          </w:p>
        </w:tc>
        <w:tc>
          <w:tcPr>
            <w:tcW w:w="29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B0F5FE" w14:textId="77777777" w:rsidR="00BB1D38" w:rsidRDefault="00000000">
            <w:proofErr w:type="spellStart"/>
            <w:r>
              <w:rPr>
                <w:color w:val="333333"/>
                <w:sz w:val="20"/>
                <w:szCs w:val="20"/>
              </w:rPr>
              <w:t>contracts.end_date</w:t>
            </w:r>
            <w:proofErr w:type="spellEnd"/>
            <w:r>
              <w:rPr>
                <w:color w:val="333333"/>
                <w:sz w:val="20"/>
                <w:szCs w:val="20"/>
              </w:rPr>
              <w:t xml:space="preserve"> − </w:t>
            </w:r>
            <w:proofErr w:type="spellStart"/>
            <w:r>
              <w:rPr>
                <w:color w:val="333333"/>
                <w:sz w:val="20"/>
                <w:szCs w:val="20"/>
              </w:rPr>
              <w:t>current_date</w:t>
            </w:r>
            <w:proofErr w:type="spellEnd"/>
          </w:p>
        </w:tc>
        <w:tc>
          <w:tcPr>
            <w:tcW w:w="62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DA093B" w14:textId="77777777" w:rsidR="00BB1D38" w:rsidRDefault="00000000">
            <w:r>
              <w:rPr>
                <w:color w:val="333333"/>
                <w:sz w:val="20"/>
                <w:szCs w:val="20"/>
              </w:rPr>
              <w:t>Shown in red when ≤ 30 days. CSMs can sort by this column to prioritize upcoming renewals.</w:t>
            </w:r>
          </w:p>
        </w:tc>
      </w:tr>
    </w:tbl>
    <w:p w14:paraId="45B7D7B1" w14:textId="5993286F" w:rsidR="00BB1D38" w:rsidRDefault="00BB1D38">
      <w:pPr>
        <w:spacing w:before="120" w:after="80"/>
      </w:pPr>
    </w:p>
    <w:p w14:paraId="276E837B" w14:textId="77777777" w:rsidR="00D54599" w:rsidRDefault="00D54599">
      <w:pPr>
        <w:spacing w:before="120" w:after="80"/>
      </w:pPr>
    </w:p>
    <w:p w14:paraId="629BB582" w14:textId="77777777" w:rsidR="00D54599" w:rsidRDefault="00D54599">
      <w:pPr>
        <w:spacing w:before="120" w:after="80"/>
      </w:pPr>
    </w:p>
    <w:p w14:paraId="2ECCD629" w14:textId="77777777" w:rsidR="00D54599" w:rsidRDefault="00D54599">
      <w:pPr>
        <w:spacing w:before="120" w:after="80"/>
      </w:pPr>
    </w:p>
    <w:p w14:paraId="6156BADA" w14:textId="77777777" w:rsidR="00D54599" w:rsidRDefault="00D54599">
      <w:pPr>
        <w:spacing w:before="120" w:after="80"/>
      </w:pPr>
    </w:p>
    <w:p w14:paraId="38DA6CAE" w14:textId="77777777" w:rsidR="00BB1D38" w:rsidRDefault="00000000">
      <w:pPr>
        <w:pStyle w:val="Heading2"/>
      </w:pPr>
      <w:r>
        <w:rPr>
          <w:color w:val="1B3F6B"/>
        </w:rPr>
        <w:lastRenderedPageBreak/>
        <w:t>9.4 View 3 — Account detail view (drill-down)</w:t>
      </w:r>
    </w:p>
    <w:p w14:paraId="23927F00" w14:textId="77777777" w:rsidR="00D54599" w:rsidRDefault="00000000" w:rsidP="00D54599">
      <w:pPr>
        <w:spacing w:before="60" w:after="100"/>
        <w:rPr>
          <w:color w:val="333333"/>
        </w:rPr>
      </w:pPr>
      <w:r w:rsidRPr="00D54599">
        <w:rPr>
          <w:b/>
          <w:bCs/>
          <w:color w:val="333333"/>
        </w:rPr>
        <w:t>Primary audience</w:t>
      </w:r>
      <w:r>
        <w:rPr>
          <w:color w:val="333333"/>
        </w:rPr>
        <w:t xml:space="preserve">: CSM rep, CS manager. </w:t>
      </w:r>
    </w:p>
    <w:p w14:paraId="370EFB3E" w14:textId="7A2975A0" w:rsidR="00BB1D38" w:rsidRDefault="00000000" w:rsidP="00D54599">
      <w:pPr>
        <w:spacing w:before="60" w:after="100"/>
      </w:pPr>
      <w:r w:rsidRPr="00D54599">
        <w:rPr>
          <w:b/>
          <w:bCs/>
          <w:color w:val="333333"/>
        </w:rPr>
        <w:t>Purpose</w:t>
      </w:r>
      <w:r>
        <w:rPr>
          <w:color w:val="333333"/>
        </w:rPr>
        <w:t>: single-account deep dive showing full AHI breakdown, consumption history, and DQ flags.</w:t>
      </w:r>
    </w:p>
    <w:tbl>
      <w:tblPr>
        <w:tblW w:w="10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6689"/>
      </w:tblGrid>
      <w:tr w:rsidR="00BB1D38" w14:paraId="1C4570F4" w14:textId="77777777" w:rsidTr="00D54599">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B3F6B"/>
            <w:tcMar>
              <w:top w:w="80" w:type="dxa"/>
              <w:left w:w="120" w:type="dxa"/>
              <w:bottom w:w="80" w:type="dxa"/>
              <w:right w:w="120" w:type="dxa"/>
            </w:tcMar>
          </w:tcPr>
          <w:p w14:paraId="54C94C2B" w14:textId="77777777" w:rsidR="00BB1D38" w:rsidRDefault="00000000">
            <w:r>
              <w:rPr>
                <w:b/>
                <w:bCs/>
                <w:color w:val="FFFFFF"/>
                <w:sz w:val="20"/>
                <w:szCs w:val="20"/>
              </w:rPr>
              <w:t>Component</w:t>
            </w:r>
          </w:p>
        </w:tc>
        <w:tc>
          <w:tcPr>
            <w:tcW w:w="2400" w:type="dxa"/>
            <w:tcBorders>
              <w:top w:val="single" w:sz="1" w:space="0" w:color="CCCCCC"/>
              <w:left w:val="single" w:sz="1" w:space="0" w:color="CCCCCC"/>
              <w:bottom w:val="single" w:sz="1" w:space="0" w:color="CCCCCC"/>
              <w:right w:val="single" w:sz="1" w:space="0" w:color="CCCCCC"/>
            </w:tcBorders>
            <w:shd w:val="clear" w:color="auto" w:fill="1B3F6B"/>
            <w:tcMar>
              <w:top w:w="80" w:type="dxa"/>
              <w:left w:w="120" w:type="dxa"/>
              <w:bottom w:w="80" w:type="dxa"/>
              <w:right w:w="120" w:type="dxa"/>
            </w:tcMar>
          </w:tcPr>
          <w:p w14:paraId="497BF4DF" w14:textId="77777777" w:rsidR="00BB1D38" w:rsidRDefault="00000000">
            <w:r>
              <w:rPr>
                <w:b/>
                <w:bCs/>
                <w:color w:val="FFFFFF"/>
                <w:sz w:val="20"/>
                <w:szCs w:val="20"/>
              </w:rPr>
              <w:t>Data Source</w:t>
            </w:r>
          </w:p>
        </w:tc>
        <w:tc>
          <w:tcPr>
            <w:tcW w:w="6689" w:type="dxa"/>
            <w:tcBorders>
              <w:top w:val="single" w:sz="1" w:space="0" w:color="CCCCCC"/>
              <w:left w:val="single" w:sz="1" w:space="0" w:color="CCCCCC"/>
              <w:bottom w:val="single" w:sz="1" w:space="0" w:color="CCCCCC"/>
              <w:right w:val="single" w:sz="1" w:space="0" w:color="CCCCCC"/>
            </w:tcBorders>
            <w:shd w:val="clear" w:color="auto" w:fill="1B3F6B"/>
            <w:tcMar>
              <w:top w:w="80" w:type="dxa"/>
              <w:left w:w="120" w:type="dxa"/>
              <w:bottom w:w="80" w:type="dxa"/>
              <w:right w:w="120" w:type="dxa"/>
            </w:tcMar>
          </w:tcPr>
          <w:p w14:paraId="336DF464" w14:textId="77777777" w:rsidR="00BB1D38" w:rsidRDefault="00000000">
            <w:r>
              <w:rPr>
                <w:b/>
                <w:bCs/>
                <w:color w:val="FFFFFF"/>
                <w:sz w:val="20"/>
                <w:szCs w:val="20"/>
              </w:rPr>
              <w:t>Description</w:t>
            </w:r>
          </w:p>
        </w:tc>
      </w:tr>
      <w:tr w:rsidR="00BB1D38" w14:paraId="5CCCDE6A" w14:textId="77777777" w:rsidTr="00D54599">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0B0534" w14:textId="77777777" w:rsidR="00BB1D38" w:rsidRDefault="00000000">
            <w:r>
              <w:rPr>
                <w:color w:val="333333"/>
                <w:sz w:val="20"/>
                <w:szCs w:val="20"/>
              </w:rPr>
              <w:t>AHI score + status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D35715" w14:textId="77777777" w:rsidR="00BB1D38" w:rsidRDefault="00000000">
            <w:proofErr w:type="spellStart"/>
            <w:r>
              <w:rPr>
                <w:color w:val="333333"/>
                <w:sz w:val="20"/>
                <w:szCs w:val="20"/>
              </w:rPr>
              <w:t>account_ahi_monthly</w:t>
            </w:r>
            <w:proofErr w:type="spellEnd"/>
          </w:p>
        </w:tc>
        <w:tc>
          <w:tcPr>
            <w:tcW w:w="66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C0AD80" w14:textId="77777777" w:rsidR="00BB1D38" w:rsidRDefault="00000000">
            <w:r>
              <w:rPr>
                <w:color w:val="333333"/>
                <w:sz w:val="20"/>
                <w:szCs w:val="20"/>
              </w:rPr>
              <w:t>Large composite score with health status label and color. 12-month trend sparkline showing AHI over time.</w:t>
            </w:r>
          </w:p>
        </w:tc>
      </w:tr>
      <w:tr w:rsidR="00BB1D38" w14:paraId="4E217869" w14:textId="77777777" w:rsidTr="00D54599">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3A7D7D52" w14:textId="77777777" w:rsidR="00BB1D38" w:rsidRDefault="00000000">
            <w:r>
              <w:rPr>
                <w:color w:val="333333"/>
                <w:sz w:val="20"/>
                <w:szCs w:val="20"/>
              </w:rPr>
              <w:t>Dimension breakdown</w:t>
            </w:r>
          </w:p>
        </w:tc>
        <w:tc>
          <w:tcPr>
            <w:tcW w:w="240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7B3D9371" w14:textId="77777777" w:rsidR="00BB1D38" w:rsidRDefault="00000000">
            <w:proofErr w:type="spellStart"/>
            <w:r>
              <w:rPr>
                <w:color w:val="333333"/>
                <w:sz w:val="20"/>
                <w:szCs w:val="20"/>
              </w:rPr>
              <w:t>account_ahi_monthly</w:t>
            </w:r>
            <w:proofErr w:type="spellEnd"/>
            <w:r>
              <w:rPr>
                <w:color w:val="333333"/>
                <w:sz w:val="20"/>
                <w:szCs w:val="20"/>
              </w:rPr>
              <w:t>, all five dimension scores</w:t>
            </w:r>
          </w:p>
        </w:tc>
        <w:tc>
          <w:tcPr>
            <w:tcW w:w="6689"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044E6265" w14:textId="77777777" w:rsidR="00BB1D38" w:rsidRDefault="00000000">
            <w:r>
              <w:rPr>
                <w:color w:val="333333"/>
                <w:sz w:val="20"/>
                <w:szCs w:val="20"/>
              </w:rPr>
              <w:t>Five-row breakdown showing each dimension score, its weight, its weighted contribution to AHI, and a one-line explanation of what is driving the score.</w:t>
            </w:r>
          </w:p>
        </w:tc>
      </w:tr>
      <w:tr w:rsidR="00BB1D38" w14:paraId="59C19943" w14:textId="77777777" w:rsidTr="00D54599">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152510" w14:textId="77777777" w:rsidR="00BB1D38" w:rsidRDefault="00000000">
            <w:r>
              <w:rPr>
                <w:color w:val="333333"/>
                <w:sz w:val="20"/>
                <w:szCs w:val="20"/>
              </w:rPr>
              <w:t>Consumption history chart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3BDD9C" w14:textId="77777777" w:rsidR="00BB1D38" w:rsidRDefault="00000000">
            <w:proofErr w:type="spellStart"/>
            <w:r>
              <w:rPr>
                <w:color w:val="333333"/>
                <w:sz w:val="20"/>
                <w:szCs w:val="20"/>
              </w:rPr>
              <w:t>Daily_Usage_Logs</w:t>
            </w:r>
            <w:proofErr w:type="spellEnd"/>
            <w:r>
              <w:rPr>
                <w:color w:val="333333"/>
                <w:sz w:val="20"/>
                <w:szCs w:val="20"/>
              </w:rPr>
              <w:t>, trailing 120 days</w:t>
            </w:r>
          </w:p>
        </w:tc>
        <w:tc>
          <w:tcPr>
            <w:tcW w:w="66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B17AD1" w14:textId="77777777" w:rsidR="00BB1D38" w:rsidRDefault="00000000">
            <w:r>
              <w:rPr>
                <w:color w:val="333333"/>
                <w:sz w:val="20"/>
                <w:szCs w:val="20"/>
              </w:rPr>
              <w:t>Line chart of daily compute credits consumed. Anomaly detection flag shown as a shaded region if Isolation Forest flagged this account. Monthly committed credit line shown as horizontal reference.</w:t>
            </w:r>
          </w:p>
        </w:tc>
      </w:tr>
      <w:tr w:rsidR="00BB1D38" w14:paraId="3BFA9823" w14:textId="77777777" w:rsidTr="00D54599">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73218A69" w14:textId="77777777" w:rsidR="00BB1D38" w:rsidRDefault="00000000">
            <w:r>
              <w:rPr>
                <w:color w:val="333333"/>
                <w:sz w:val="20"/>
                <w:szCs w:val="20"/>
              </w:rPr>
              <w:t>AI narrative</w:t>
            </w:r>
          </w:p>
        </w:tc>
        <w:tc>
          <w:tcPr>
            <w:tcW w:w="240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68C7CDA3" w14:textId="77777777" w:rsidR="00BB1D38" w:rsidRDefault="00000000">
            <w:r>
              <w:rPr>
                <w:color w:val="333333"/>
                <w:sz w:val="20"/>
                <w:szCs w:val="20"/>
              </w:rPr>
              <w:t>Claude API</w:t>
            </w:r>
          </w:p>
        </w:tc>
        <w:tc>
          <w:tcPr>
            <w:tcW w:w="6689"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5428CAD8" w14:textId="77777777" w:rsidR="00BB1D38" w:rsidRDefault="00000000">
            <w:r>
              <w:rPr>
                <w:color w:val="333333"/>
                <w:sz w:val="20"/>
                <w:szCs w:val="20"/>
              </w:rPr>
              <w:t>Full 2–3 sentence narrative with recommended action. Shown for all accounts in this view regardless of AHI score.</w:t>
            </w:r>
          </w:p>
        </w:tc>
      </w:tr>
      <w:tr w:rsidR="00BB1D38" w14:paraId="0529AC7F" w14:textId="77777777" w:rsidTr="00D54599">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AB3E20" w14:textId="77777777" w:rsidR="00BB1D38" w:rsidRDefault="00000000">
            <w:r>
              <w:rPr>
                <w:color w:val="333333"/>
                <w:sz w:val="20"/>
                <w:szCs w:val="20"/>
              </w:rPr>
              <w:t>Contract details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7B0913" w14:textId="77777777" w:rsidR="00BB1D38" w:rsidRDefault="00000000">
            <w:r>
              <w:rPr>
                <w:color w:val="333333"/>
                <w:sz w:val="20"/>
                <w:szCs w:val="20"/>
              </w:rPr>
              <w:t>Contracts table</w:t>
            </w:r>
          </w:p>
        </w:tc>
        <w:tc>
          <w:tcPr>
            <w:tcW w:w="66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17E143" w14:textId="77777777" w:rsidR="00BB1D38" w:rsidRDefault="00000000">
            <w:r>
              <w:rPr>
                <w:color w:val="333333"/>
                <w:sz w:val="20"/>
                <w:szCs w:val="20"/>
              </w:rPr>
              <w:t>Active contract(s), annual commit, included credits, start/end dates. Mid-year expansion flag shown if multiple active contracts exist.</w:t>
            </w:r>
          </w:p>
        </w:tc>
      </w:tr>
      <w:tr w:rsidR="00BB1D38" w14:paraId="0CC96FF9" w14:textId="77777777" w:rsidTr="00D54599">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2ACB3FDB" w14:textId="77777777" w:rsidR="00BB1D38" w:rsidRDefault="00000000">
            <w:r>
              <w:rPr>
                <w:color w:val="333333"/>
                <w:sz w:val="20"/>
                <w:szCs w:val="20"/>
              </w:rPr>
              <w:t>DQ flags</w:t>
            </w:r>
          </w:p>
        </w:tc>
        <w:tc>
          <w:tcPr>
            <w:tcW w:w="240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525D857B" w14:textId="77777777" w:rsidR="00BB1D38" w:rsidRDefault="00000000">
            <w:proofErr w:type="spellStart"/>
            <w:r>
              <w:rPr>
                <w:color w:val="333333"/>
                <w:sz w:val="20"/>
                <w:szCs w:val="20"/>
              </w:rPr>
              <w:t>account_ahi_monthly</w:t>
            </w:r>
            <w:proofErr w:type="spellEnd"/>
            <w:r>
              <w:rPr>
                <w:color w:val="333333"/>
                <w:sz w:val="20"/>
                <w:szCs w:val="20"/>
              </w:rPr>
              <w:t xml:space="preserve"> flag columns</w:t>
            </w:r>
          </w:p>
        </w:tc>
        <w:tc>
          <w:tcPr>
            <w:tcW w:w="6689"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68D6A01D" w14:textId="77777777" w:rsidR="00BB1D38" w:rsidRDefault="00000000">
            <w:r>
              <w:rPr>
                <w:color w:val="333333"/>
                <w:sz w:val="20"/>
                <w:szCs w:val="20"/>
              </w:rPr>
              <w:t xml:space="preserve">Shows </w:t>
            </w:r>
            <w:proofErr w:type="spellStart"/>
            <w:r>
              <w:rPr>
                <w:color w:val="333333"/>
                <w:sz w:val="20"/>
                <w:szCs w:val="20"/>
              </w:rPr>
              <w:t>overage_flag</w:t>
            </w:r>
            <w:proofErr w:type="spellEnd"/>
            <w:r>
              <w:rPr>
                <w:color w:val="333333"/>
                <w:sz w:val="20"/>
                <w:szCs w:val="20"/>
              </w:rPr>
              <w:t xml:space="preserve">, </w:t>
            </w:r>
            <w:proofErr w:type="spellStart"/>
            <w:r>
              <w:rPr>
                <w:color w:val="333333"/>
                <w:sz w:val="20"/>
                <w:szCs w:val="20"/>
              </w:rPr>
              <w:t>orphan_usage_flag</w:t>
            </w:r>
            <w:proofErr w:type="spellEnd"/>
            <w:r>
              <w:rPr>
                <w:color w:val="333333"/>
                <w:sz w:val="20"/>
                <w:szCs w:val="20"/>
              </w:rPr>
              <w:t xml:space="preserve">, </w:t>
            </w:r>
            <w:proofErr w:type="spellStart"/>
            <w:r>
              <w:rPr>
                <w:color w:val="333333"/>
                <w:sz w:val="20"/>
                <w:szCs w:val="20"/>
              </w:rPr>
              <w:t>contract_overlap_flag</w:t>
            </w:r>
            <w:proofErr w:type="spellEnd"/>
            <w:r>
              <w:rPr>
                <w:color w:val="333333"/>
                <w:sz w:val="20"/>
                <w:szCs w:val="20"/>
              </w:rPr>
              <w:t xml:space="preserve"> with plain-English explanation of each.</w:t>
            </w:r>
          </w:p>
        </w:tc>
      </w:tr>
      <w:tr w:rsidR="00BB1D38" w14:paraId="47017DE7" w14:textId="77777777" w:rsidTr="00D54599">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D96B77" w14:textId="77777777" w:rsidR="00BB1D38" w:rsidRDefault="00000000">
            <w:r>
              <w:rPr>
                <w:color w:val="333333"/>
                <w:sz w:val="20"/>
                <w:szCs w:val="20"/>
              </w:rPr>
              <w:t>Open tickets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C7D0F" w14:textId="77777777" w:rsidR="00BB1D38" w:rsidRDefault="00000000">
            <w:r>
              <w:rPr>
                <w:color w:val="333333"/>
                <w:sz w:val="20"/>
                <w:szCs w:val="20"/>
              </w:rPr>
              <w:t>Platform Stability inputs</w:t>
            </w:r>
          </w:p>
        </w:tc>
        <w:tc>
          <w:tcPr>
            <w:tcW w:w="66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569791" w14:textId="77777777" w:rsidR="00BB1D38" w:rsidRDefault="00000000">
            <w:r>
              <w:rPr>
                <w:color w:val="333333"/>
                <w:sz w:val="20"/>
                <w:szCs w:val="20"/>
              </w:rPr>
              <w:t>Count of open P1, P2, P3 tickets with weighted stability score shown. Oldest open ticket age surfaced.</w:t>
            </w:r>
          </w:p>
        </w:tc>
      </w:tr>
    </w:tbl>
    <w:p w14:paraId="2194FA86" w14:textId="77777777" w:rsidR="00BB1D38" w:rsidRDefault="00000000">
      <w:pPr>
        <w:pStyle w:val="Heading2"/>
      </w:pPr>
      <w:r>
        <w:rPr>
          <w:color w:val="1B3F6B"/>
        </w:rPr>
        <w:t>9.5 Technical implementation notes</w:t>
      </w:r>
    </w:p>
    <w:p w14:paraId="6B5BB01B" w14:textId="77777777" w:rsidR="00BB1D38" w:rsidRDefault="00000000" w:rsidP="00D54599">
      <w:pPr>
        <w:pStyle w:val="ListParagraph"/>
        <w:numPr>
          <w:ilvl w:val="0"/>
          <w:numId w:val="7"/>
        </w:numPr>
        <w:spacing w:before="40" w:after="40"/>
      </w:pPr>
      <w:r w:rsidRPr="00D54599">
        <w:rPr>
          <w:b/>
          <w:bCs/>
          <w:color w:val="333333"/>
        </w:rPr>
        <w:t>Framework</w:t>
      </w:r>
      <w:r w:rsidRPr="00D54599">
        <w:rPr>
          <w:color w:val="333333"/>
        </w:rPr>
        <w:t>: React single-page application. CSS via Tailwind utility classes. Charts via Recharts library.</w:t>
      </w:r>
    </w:p>
    <w:p w14:paraId="377FFC50" w14:textId="77777777" w:rsidR="00BB1D38" w:rsidRDefault="00000000" w:rsidP="00D54599">
      <w:pPr>
        <w:pStyle w:val="ListParagraph"/>
        <w:numPr>
          <w:ilvl w:val="0"/>
          <w:numId w:val="7"/>
        </w:numPr>
        <w:spacing w:before="40" w:after="40"/>
      </w:pPr>
      <w:r w:rsidRPr="00D54599">
        <w:rPr>
          <w:b/>
          <w:bCs/>
          <w:color w:val="333333"/>
        </w:rPr>
        <w:t>Data</w:t>
      </w:r>
      <w:r w:rsidRPr="00D54599">
        <w:rPr>
          <w:color w:val="333333"/>
        </w:rPr>
        <w:t xml:space="preserve"> </w:t>
      </w:r>
      <w:r w:rsidRPr="00D54599">
        <w:rPr>
          <w:b/>
          <w:bCs/>
          <w:color w:val="333333"/>
        </w:rPr>
        <w:t>connection</w:t>
      </w:r>
      <w:r w:rsidRPr="00D54599">
        <w:rPr>
          <w:color w:val="333333"/>
        </w:rPr>
        <w:t xml:space="preserve">: </w:t>
      </w:r>
      <w:proofErr w:type="spellStart"/>
      <w:r w:rsidRPr="00D54599">
        <w:rPr>
          <w:color w:val="333333"/>
        </w:rPr>
        <w:t>BigQuery</w:t>
      </w:r>
      <w:proofErr w:type="spellEnd"/>
      <w:r w:rsidRPr="00D54599">
        <w:rPr>
          <w:color w:val="333333"/>
        </w:rPr>
        <w:t xml:space="preserve"> output tables exported to JSON for prototype demo. Production version connects directly to </w:t>
      </w:r>
      <w:proofErr w:type="spellStart"/>
      <w:r w:rsidRPr="00D54599">
        <w:rPr>
          <w:color w:val="333333"/>
        </w:rPr>
        <w:t>BigQuery</w:t>
      </w:r>
      <w:proofErr w:type="spellEnd"/>
      <w:r w:rsidRPr="00D54599">
        <w:rPr>
          <w:color w:val="333333"/>
        </w:rPr>
        <w:t xml:space="preserve"> via the </w:t>
      </w:r>
      <w:proofErr w:type="spellStart"/>
      <w:r w:rsidRPr="00D54599">
        <w:rPr>
          <w:color w:val="333333"/>
        </w:rPr>
        <w:t>BigQuery</w:t>
      </w:r>
      <w:proofErr w:type="spellEnd"/>
      <w:r w:rsidRPr="00D54599">
        <w:rPr>
          <w:color w:val="333333"/>
        </w:rPr>
        <w:t xml:space="preserve"> REST API or a lightweight Node.js backend.</w:t>
      </w:r>
    </w:p>
    <w:p w14:paraId="43FF5052" w14:textId="77777777" w:rsidR="00BB1D38" w:rsidRDefault="00000000" w:rsidP="00D54599">
      <w:pPr>
        <w:pStyle w:val="ListParagraph"/>
        <w:numPr>
          <w:ilvl w:val="0"/>
          <w:numId w:val="7"/>
        </w:numPr>
        <w:spacing w:before="40" w:after="40"/>
      </w:pPr>
      <w:r w:rsidRPr="00D54599">
        <w:rPr>
          <w:b/>
          <w:bCs/>
          <w:color w:val="333333"/>
        </w:rPr>
        <w:t>Claude API call</w:t>
      </w:r>
      <w:r w:rsidRPr="00D54599">
        <w:rPr>
          <w:color w:val="333333"/>
        </w:rPr>
        <w:t>: triggered at dashboard load time for all accounts with AHI &lt; 80. Narratives cached in session state to avoid repeated API calls during demo navigation.</w:t>
      </w:r>
    </w:p>
    <w:p w14:paraId="34B929AA" w14:textId="77777777" w:rsidR="00BB1D38" w:rsidRDefault="00000000" w:rsidP="00D54599">
      <w:pPr>
        <w:pStyle w:val="ListParagraph"/>
        <w:numPr>
          <w:ilvl w:val="0"/>
          <w:numId w:val="7"/>
        </w:numPr>
        <w:spacing w:before="40" w:after="40"/>
      </w:pPr>
      <w:r w:rsidRPr="00D54599">
        <w:rPr>
          <w:b/>
          <w:bCs/>
          <w:color w:val="333333"/>
        </w:rPr>
        <w:t>Filtering</w:t>
      </w:r>
      <w:r w:rsidRPr="00D54599">
        <w:rPr>
          <w:color w:val="333333"/>
        </w:rPr>
        <w:t xml:space="preserve">: Region and Segment filters implemented in JavaScript state — no additional </w:t>
      </w:r>
      <w:proofErr w:type="spellStart"/>
      <w:r w:rsidRPr="00D54599">
        <w:rPr>
          <w:color w:val="333333"/>
        </w:rPr>
        <w:t>BigQuery</w:t>
      </w:r>
      <w:proofErr w:type="spellEnd"/>
      <w:r w:rsidRPr="00D54599">
        <w:rPr>
          <w:color w:val="333333"/>
        </w:rPr>
        <w:t xml:space="preserve"> queries on filter change, all filtering happens client-side on the loaded dataset.</w:t>
      </w:r>
    </w:p>
    <w:p w14:paraId="3E802A5C" w14:textId="77777777" w:rsidR="00BB1D38" w:rsidRDefault="00000000" w:rsidP="00D54599">
      <w:pPr>
        <w:pStyle w:val="ListParagraph"/>
        <w:numPr>
          <w:ilvl w:val="0"/>
          <w:numId w:val="7"/>
        </w:numPr>
        <w:spacing w:before="40" w:after="40"/>
      </w:pPr>
      <w:r w:rsidRPr="00D54599">
        <w:rPr>
          <w:b/>
          <w:bCs/>
          <w:color w:val="333333"/>
        </w:rPr>
        <w:t>Responsive design</w:t>
      </w:r>
      <w:r w:rsidRPr="00D54599">
        <w:rPr>
          <w:color w:val="333333"/>
        </w:rPr>
        <w:t>: Executive view optimized for a 1440px wide screen for live demo. CSM view designed for standard laptop resolution.</w:t>
      </w:r>
    </w:p>
    <w:p w14:paraId="610D16F8" w14:textId="77777777" w:rsidR="00D54599" w:rsidRDefault="00D54599" w:rsidP="00D54599">
      <w:pPr>
        <w:pStyle w:val="ListParagraph"/>
        <w:pBdr>
          <w:bottom w:val="single" w:sz="4" w:space="1" w:color="DDDDDD"/>
        </w:pBdr>
        <w:spacing w:before="120" w:after="120"/>
        <w:ind w:left="360"/>
      </w:pPr>
    </w:p>
    <w:p w14:paraId="55E5EFD3" w14:textId="77777777" w:rsidR="00BB1D38" w:rsidRDefault="00000000">
      <w:pPr>
        <w:pStyle w:val="Heading1"/>
      </w:pPr>
      <w:r>
        <w:rPr>
          <w:color w:val="1B3F6B"/>
        </w:rPr>
        <w:t>10. Compensation Translation</w:t>
      </w:r>
    </w:p>
    <w:p w14:paraId="1A5D5811" w14:textId="7D08D9CB" w:rsidR="00BB1D38" w:rsidRDefault="00000000" w:rsidP="00D54599">
      <w:pPr>
        <w:spacing w:before="60" w:after="100"/>
      </w:pPr>
      <w:r>
        <w:rPr>
          <w:color w:val="333333"/>
        </w:rPr>
        <w:t>AHI translates to CSM variable compensation as follows:</w:t>
      </w:r>
    </w:p>
    <w:tbl>
      <w:tblPr>
        <w:tblW w:w="791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500"/>
        <w:gridCol w:w="3419"/>
      </w:tblGrid>
      <w:tr w:rsidR="00BB1D38" w14:paraId="23C9B1A5" w14:textId="77777777" w:rsidTr="00D54599">
        <w:tblPrEx>
          <w:tblCellMar>
            <w:top w:w="0" w:type="dxa"/>
            <w:bottom w:w="0" w:type="dxa"/>
          </w:tblCellMar>
        </w:tblPrEx>
        <w:trPr>
          <w:tblHeader/>
          <w:jc w:val="center"/>
        </w:trPr>
        <w:tc>
          <w:tcPr>
            <w:tcW w:w="2000" w:type="dxa"/>
            <w:tcBorders>
              <w:top w:val="single" w:sz="1" w:space="0" w:color="CCCCCC"/>
              <w:left w:val="single" w:sz="1" w:space="0" w:color="CCCCCC"/>
              <w:bottom w:val="single" w:sz="1" w:space="0" w:color="CCCCCC"/>
              <w:right w:val="single" w:sz="1" w:space="0" w:color="CCCCCC"/>
            </w:tcBorders>
            <w:shd w:val="clear" w:color="auto" w:fill="1B3F6B"/>
            <w:tcMar>
              <w:top w:w="80" w:type="dxa"/>
              <w:left w:w="120" w:type="dxa"/>
              <w:bottom w:w="80" w:type="dxa"/>
              <w:right w:w="120" w:type="dxa"/>
            </w:tcMar>
          </w:tcPr>
          <w:p w14:paraId="0A083A81" w14:textId="77777777" w:rsidR="00BB1D38" w:rsidRDefault="00000000">
            <w:r>
              <w:rPr>
                <w:b/>
                <w:bCs/>
                <w:color w:val="FFFFFF"/>
                <w:sz w:val="20"/>
                <w:szCs w:val="20"/>
              </w:rPr>
              <w:t>AHI Score</w:t>
            </w:r>
          </w:p>
        </w:tc>
        <w:tc>
          <w:tcPr>
            <w:tcW w:w="2500" w:type="dxa"/>
            <w:tcBorders>
              <w:top w:val="single" w:sz="1" w:space="0" w:color="CCCCCC"/>
              <w:left w:val="single" w:sz="1" w:space="0" w:color="CCCCCC"/>
              <w:bottom w:val="single" w:sz="1" w:space="0" w:color="CCCCCC"/>
              <w:right w:val="single" w:sz="1" w:space="0" w:color="CCCCCC"/>
            </w:tcBorders>
            <w:shd w:val="clear" w:color="auto" w:fill="1B3F6B"/>
            <w:tcMar>
              <w:top w:w="80" w:type="dxa"/>
              <w:left w:w="120" w:type="dxa"/>
              <w:bottom w:w="80" w:type="dxa"/>
              <w:right w:w="120" w:type="dxa"/>
            </w:tcMar>
          </w:tcPr>
          <w:p w14:paraId="78B90E6C" w14:textId="77777777" w:rsidR="00BB1D38" w:rsidRDefault="00000000">
            <w:r>
              <w:rPr>
                <w:b/>
                <w:bCs/>
                <w:color w:val="FFFFFF"/>
                <w:sz w:val="20"/>
                <w:szCs w:val="20"/>
              </w:rPr>
              <w:t>Variable Comp Payout</w:t>
            </w:r>
          </w:p>
        </w:tc>
        <w:tc>
          <w:tcPr>
            <w:tcW w:w="3419" w:type="dxa"/>
            <w:tcBorders>
              <w:top w:val="single" w:sz="1" w:space="0" w:color="CCCCCC"/>
              <w:left w:val="single" w:sz="1" w:space="0" w:color="CCCCCC"/>
              <w:bottom w:val="single" w:sz="1" w:space="0" w:color="CCCCCC"/>
              <w:right w:val="single" w:sz="1" w:space="0" w:color="CCCCCC"/>
            </w:tcBorders>
            <w:shd w:val="clear" w:color="auto" w:fill="1B3F6B"/>
            <w:tcMar>
              <w:top w:w="80" w:type="dxa"/>
              <w:left w:w="120" w:type="dxa"/>
              <w:bottom w:w="80" w:type="dxa"/>
              <w:right w:w="120" w:type="dxa"/>
            </w:tcMar>
          </w:tcPr>
          <w:p w14:paraId="6E6B41D6" w14:textId="77777777" w:rsidR="00BB1D38" w:rsidRDefault="00000000">
            <w:r>
              <w:rPr>
                <w:b/>
                <w:bCs/>
                <w:color w:val="FFFFFF"/>
                <w:sz w:val="20"/>
                <w:szCs w:val="20"/>
              </w:rPr>
              <w:t>Interpretation</w:t>
            </w:r>
          </w:p>
        </w:tc>
      </w:tr>
      <w:tr w:rsidR="00BB1D38" w14:paraId="768A19C0" w14:textId="77777777" w:rsidTr="00D54599">
        <w:tblPrEx>
          <w:tblCellMar>
            <w:top w:w="0" w:type="dxa"/>
            <w:bottom w:w="0" w:type="dxa"/>
          </w:tblCellMar>
        </w:tblPrEx>
        <w:trPr>
          <w:jc w:val="center"/>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B0C702" w14:textId="77777777" w:rsidR="00BB1D38" w:rsidRDefault="00000000">
            <w:r>
              <w:rPr>
                <w:color w:val="333333"/>
                <w:sz w:val="20"/>
                <w:szCs w:val="20"/>
              </w:rPr>
              <w:t>80 – 100</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CF56D2" w14:textId="77777777" w:rsidR="00BB1D38" w:rsidRDefault="00000000">
            <w:r>
              <w:rPr>
                <w:color w:val="333333"/>
                <w:sz w:val="20"/>
                <w:szCs w:val="20"/>
              </w:rPr>
              <w:t>100%</w:t>
            </w:r>
          </w:p>
        </w:tc>
        <w:tc>
          <w:tcPr>
            <w:tcW w:w="34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26785" w14:textId="77777777" w:rsidR="00BB1D38" w:rsidRDefault="00000000">
            <w:r>
              <w:rPr>
                <w:color w:val="333333"/>
                <w:sz w:val="20"/>
                <w:szCs w:val="20"/>
              </w:rPr>
              <w:t>Fully healthy book — full payout</w:t>
            </w:r>
          </w:p>
        </w:tc>
      </w:tr>
      <w:tr w:rsidR="00BB1D38" w14:paraId="62066227" w14:textId="77777777" w:rsidTr="00D54599">
        <w:tblPrEx>
          <w:tblCellMar>
            <w:top w:w="0" w:type="dxa"/>
            <w:bottom w:w="0" w:type="dxa"/>
          </w:tblCellMar>
        </w:tblPrEx>
        <w:trPr>
          <w:jc w:val="center"/>
        </w:trPr>
        <w:tc>
          <w:tcPr>
            <w:tcW w:w="200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2B0AE30C" w14:textId="77777777" w:rsidR="00BB1D38" w:rsidRDefault="00000000">
            <w:r>
              <w:rPr>
                <w:color w:val="333333"/>
                <w:sz w:val="20"/>
                <w:szCs w:val="20"/>
              </w:rPr>
              <w:t>65 – 79</w:t>
            </w:r>
          </w:p>
        </w:tc>
        <w:tc>
          <w:tcPr>
            <w:tcW w:w="250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5BB5066B" w14:textId="77777777" w:rsidR="00BB1D38" w:rsidRDefault="00000000">
            <w:r>
              <w:rPr>
                <w:color w:val="333333"/>
                <w:sz w:val="20"/>
                <w:szCs w:val="20"/>
              </w:rPr>
              <w:t>85%</w:t>
            </w:r>
          </w:p>
        </w:tc>
        <w:tc>
          <w:tcPr>
            <w:tcW w:w="3419"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4AC42684" w14:textId="77777777" w:rsidR="00BB1D38" w:rsidRDefault="00000000">
            <w:r>
              <w:rPr>
                <w:color w:val="333333"/>
                <w:sz w:val="20"/>
                <w:szCs w:val="20"/>
              </w:rPr>
              <w:t>Mostly healthy — minor gaps</w:t>
            </w:r>
          </w:p>
        </w:tc>
      </w:tr>
      <w:tr w:rsidR="00BB1D38" w14:paraId="6F172345" w14:textId="77777777" w:rsidTr="00D54599">
        <w:tblPrEx>
          <w:tblCellMar>
            <w:top w:w="0" w:type="dxa"/>
            <w:bottom w:w="0" w:type="dxa"/>
          </w:tblCellMar>
        </w:tblPrEx>
        <w:trPr>
          <w:jc w:val="center"/>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F067F5" w14:textId="77777777" w:rsidR="00BB1D38" w:rsidRDefault="00000000">
            <w:r>
              <w:rPr>
                <w:color w:val="333333"/>
                <w:sz w:val="20"/>
                <w:szCs w:val="20"/>
              </w:rPr>
              <w:t>50 – 64</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D0EA2A" w14:textId="77777777" w:rsidR="00BB1D38" w:rsidRDefault="00000000">
            <w:r>
              <w:rPr>
                <w:color w:val="333333"/>
                <w:sz w:val="20"/>
                <w:szCs w:val="20"/>
              </w:rPr>
              <w:t>70%</w:t>
            </w:r>
          </w:p>
        </w:tc>
        <w:tc>
          <w:tcPr>
            <w:tcW w:w="34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B3FDAA" w14:textId="77777777" w:rsidR="00BB1D38" w:rsidRDefault="00000000">
            <w:r>
              <w:rPr>
                <w:color w:val="333333"/>
                <w:sz w:val="20"/>
                <w:szCs w:val="20"/>
              </w:rPr>
              <w:t>At-risk accounts requiring attention</w:t>
            </w:r>
          </w:p>
        </w:tc>
      </w:tr>
      <w:tr w:rsidR="00BB1D38" w14:paraId="22F1FBE4" w14:textId="77777777" w:rsidTr="00D54599">
        <w:tblPrEx>
          <w:tblCellMar>
            <w:top w:w="0" w:type="dxa"/>
            <w:bottom w:w="0" w:type="dxa"/>
          </w:tblCellMar>
        </w:tblPrEx>
        <w:trPr>
          <w:jc w:val="center"/>
        </w:trPr>
        <w:tc>
          <w:tcPr>
            <w:tcW w:w="200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65B0F6F7" w14:textId="77777777" w:rsidR="00BB1D38" w:rsidRDefault="00000000">
            <w:r>
              <w:rPr>
                <w:color w:val="333333"/>
                <w:sz w:val="20"/>
                <w:szCs w:val="20"/>
              </w:rPr>
              <w:t>Below 50</w:t>
            </w:r>
          </w:p>
        </w:tc>
        <w:tc>
          <w:tcPr>
            <w:tcW w:w="250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50FF46F5" w14:textId="77777777" w:rsidR="00BB1D38" w:rsidRDefault="00000000">
            <w:r>
              <w:rPr>
                <w:color w:val="333333"/>
                <w:sz w:val="20"/>
                <w:szCs w:val="20"/>
              </w:rPr>
              <w:t>50% + improvement plan</w:t>
            </w:r>
          </w:p>
        </w:tc>
        <w:tc>
          <w:tcPr>
            <w:tcW w:w="3419"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6C520E0D" w14:textId="77777777" w:rsidR="00BB1D38" w:rsidRDefault="00000000">
            <w:r>
              <w:rPr>
                <w:color w:val="333333"/>
                <w:sz w:val="20"/>
                <w:szCs w:val="20"/>
              </w:rPr>
              <w:t>Significant book health issues</w:t>
            </w:r>
          </w:p>
        </w:tc>
      </w:tr>
    </w:tbl>
    <w:p w14:paraId="4C6E6EDA" w14:textId="77777777" w:rsidR="00BB1D38" w:rsidRDefault="00000000">
      <w:pPr>
        <w:pStyle w:val="Heading2"/>
      </w:pPr>
      <w:r>
        <w:rPr>
          <w:color w:val="1B3F6B"/>
        </w:rPr>
        <w:t>10.1 Inherited book protection</w:t>
      </w:r>
    </w:p>
    <w:p w14:paraId="439F76D7" w14:textId="77777777" w:rsidR="00BB1D38" w:rsidRDefault="00000000">
      <w:pPr>
        <w:spacing w:before="60" w:after="100"/>
      </w:pPr>
      <w:r>
        <w:rPr>
          <w:color w:val="333333"/>
        </w:rPr>
        <w:t>CSMs who inherit an existing book of business are evaluated on AHI delta (improvement) over their first 180 days, not absolute AHI score. This prevents newly assigned CSMs from being penalized for the prior owner's account health issues.</w:t>
      </w:r>
    </w:p>
    <w:p w14:paraId="579EE12F" w14:textId="77777777" w:rsidR="00BB1D38" w:rsidRDefault="00000000">
      <w:pPr>
        <w:pStyle w:val="Heading2"/>
      </w:pPr>
      <w:r>
        <w:rPr>
          <w:color w:val="1B3F6B"/>
        </w:rPr>
        <w:lastRenderedPageBreak/>
        <w:t>10.2 Shadow period</w:t>
      </w:r>
    </w:p>
    <w:p w14:paraId="0531A211" w14:textId="77777777" w:rsidR="00BB1D38" w:rsidRDefault="00000000">
      <w:pPr>
        <w:spacing w:before="60" w:after="100"/>
      </w:pPr>
      <w:r>
        <w:rPr>
          <w:color w:val="333333"/>
        </w:rPr>
        <w:t>AHI will run in parallel with existing TCV-based metrics for 90 days before compensation is tied to it. During this period, CSMs see their AHI score but comp is not affected. This allows calibration of weights and detection of any metric gaming before it has financial consequences.</w:t>
      </w:r>
    </w:p>
    <w:p w14:paraId="5C231F6B" w14:textId="77777777" w:rsidR="00BB1D38" w:rsidRDefault="00BB1D38">
      <w:pPr>
        <w:pBdr>
          <w:bottom w:val="single" w:sz="4" w:space="1" w:color="DDDDDD"/>
        </w:pBdr>
        <w:spacing w:before="120" w:after="120"/>
      </w:pPr>
    </w:p>
    <w:p w14:paraId="4A794362" w14:textId="77777777" w:rsidR="00BB1D38" w:rsidRDefault="00000000">
      <w:pPr>
        <w:pStyle w:val="Heading1"/>
      </w:pPr>
      <w:r>
        <w:rPr>
          <w:color w:val="1B3F6B"/>
        </w:rPr>
        <w:t>11. Evaluation &amp; Validation Framework</w:t>
      </w:r>
    </w:p>
    <w:p w14:paraId="291AD594" w14:textId="77777777" w:rsidR="00BB1D38" w:rsidRDefault="00000000">
      <w:pPr>
        <w:spacing w:before="60" w:after="60"/>
        <w:ind w:left="240" w:right="240"/>
      </w:pPr>
      <w:r>
        <w:rPr>
          <w:b/>
          <w:color w:val="1B3F6B"/>
          <w:sz w:val="24"/>
          <w:szCs w:val="24"/>
        </w:rPr>
        <w:t>⚠</w:t>
      </w:r>
      <w:proofErr w:type="gramStart"/>
      <w:r>
        <w:rPr>
          <w:b/>
          <w:color w:val="1B3F6B"/>
          <w:sz w:val="24"/>
          <w:szCs w:val="24"/>
        </w:rPr>
        <w:t>️  Key</w:t>
      </w:r>
      <w:proofErr w:type="gramEnd"/>
      <w:r>
        <w:rPr>
          <w:b/>
          <w:color w:val="1B3F6B"/>
          <w:sz w:val="24"/>
          <w:szCs w:val="24"/>
        </w:rPr>
        <w:t xml:space="preserve"> principle: Success is not defined by AHI score accuracy. It is defined by renewal rate improvement.</w:t>
      </w:r>
    </w:p>
    <w:p w14:paraId="0580537B" w14:textId="77777777" w:rsidR="00BB1D38" w:rsidRDefault="00000000">
      <w:pPr>
        <w:spacing w:before="20" w:after="60"/>
        <w:ind w:left="240" w:right="240"/>
      </w:pPr>
      <w:r>
        <w:rPr>
          <w:color w:val="333333"/>
        </w:rPr>
        <w:t>AHI is a leading indicator; renewal rate is the lagging validator. If a panelist asks “how do you know AHI is working?” — the answer is renewal rate improvement, not AHI score accuracy. The evaluation framework has three layers, executed sequentially.</w:t>
      </w:r>
    </w:p>
    <w:p w14:paraId="270F3874" w14:textId="77777777" w:rsidR="00BB1D38" w:rsidRDefault="00BB1D38">
      <w:pPr>
        <w:spacing w:before="80" w:after="80"/>
      </w:pPr>
    </w:p>
    <w:tbl>
      <w:tblPr>
        <w:tblW w:w="108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800"/>
        <w:gridCol w:w="3099"/>
        <w:gridCol w:w="2700"/>
        <w:gridCol w:w="1890"/>
      </w:tblGrid>
      <w:tr w:rsidR="00BB1D38" w14:paraId="5EFC1AE1" w14:textId="77777777" w:rsidTr="00D54599">
        <w:tblPrEx>
          <w:tblCellMar>
            <w:top w:w="0" w:type="dxa"/>
            <w:bottom w:w="0" w:type="dxa"/>
          </w:tblCellMar>
        </w:tblPrEx>
        <w:trPr>
          <w:tblHeader/>
          <w:jc w:val="center"/>
        </w:trPr>
        <w:tc>
          <w:tcPr>
            <w:tcW w:w="1400" w:type="dxa"/>
            <w:tcBorders>
              <w:top w:val="single" w:sz="1" w:space="0" w:color="CCCCCC"/>
              <w:left w:val="single" w:sz="1" w:space="0" w:color="CCCCCC"/>
              <w:bottom w:val="single" w:sz="1" w:space="0" w:color="CCCCCC"/>
              <w:right w:val="single" w:sz="1" w:space="0" w:color="CCCCCC"/>
            </w:tcBorders>
            <w:shd w:val="clear" w:color="auto" w:fill="1B3F6B"/>
            <w:tcMar>
              <w:top w:w="80" w:type="dxa"/>
              <w:left w:w="120" w:type="dxa"/>
              <w:bottom w:w="80" w:type="dxa"/>
              <w:right w:w="120" w:type="dxa"/>
            </w:tcMar>
          </w:tcPr>
          <w:p w14:paraId="0DF57869" w14:textId="77777777" w:rsidR="00BB1D38" w:rsidRDefault="00000000">
            <w:r>
              <w:rPr>
                <w:b/>
                <w:bCs/>
                <w:color w:val="FFFFFF"/>
                <w:sz w:val="20"/>
                <w:szCs w:val="20"/>
              </w:rPr>
              <w:t>Layer</w:t>
            </w:r>
          </w:p>
        </w:tc>
        <w:tc>
          <w:tcPr>
            <w:tcW w:w="1800" w:type="dxa"/>
            <w:tcBorders>
              <w:top w:val="single" w:sz="1" w:space="0" w:color="CCCCCC"/>
              <w:left w:val="single" w:sz="1" w:space="0" w:color="CCCCCC"/>
              <w:bottom w:val="single" w:sz="1" w:space="0" w:color="CCCCCC"/>
              <w:right w:val="single" w:sz="1" w:space="0" w:color="CCCCCC"/>
            </w:tcBorders>
            <w:shd w:val="clear" w:color="auto" w:fill="1B3F6B"/>
            <w:tcMar>
              <w:top w:w="80" w:type="dxa"/>
              <w:left w:w="120" w:type="dxa"/>
              <w:bottom w:w="80" w:type="dxa"/>
              <w:right w:w="120" w:type="dxa"/>
            </w:tcMar>
          </w:tcPr>
          <w:p w14:paraId="1D190573" w14:textId="77777777" w:rsidR="00BB1D38" w:rsidRDefault="00000000">
            <w:r>
              <w:rPr>
                <w:b/>
                <w:bCs/>
                <w:color w:val="FFFFFF"/>
                <w:sz w:val="20"/>
                <w:szCs w:val="20"/>
              </w:rPr>
              <w:t>Question</w:t>
            </w:r>
          </w:p>
        </w:tc>
        <w:tc>
          <w:tcPr>
            <w:tcW w:w="3099" w:type="dxa"/>
            <w:tcBorders>
              <w:top w:val="single" w:sz="1" w:space="0" w:color="CCCCCC"/>
              <w:left w:val="single" w:sz="1" w:space="0" w:color="CCCCCC"/>
              <w:bottom w:val="single" w:sz="1" w:space="0" w:color="CCCCCC"/>
              <w:right w:val="single" w:sz="1" w:space="0" w:color="CCCCCC"/>
            </w:tcBorders>
            <w:shd w:val="clear" w:color="auto" w:fill="1B3F6B"/>
            <w:tcMar>
              <w:top w:w="80" w:type="dxa"/>
              <w:left w:w="120" w:type="dxa"/>
              <w:bottom w:w="80" w:type="dxa"/>
              <w:right w:w="120" w:type="dxa"/>
            </w:tcMar>
          </w:tcPr>
          <w:p w14:paraId="63F2D42F" w14:textId="77777777" w:rsidR="00BB1D38" w:rsidRDefault="00000000">
            <w:r>
              <w:rPr>
                <w:b/>
                <w:bCs/>
                <w:color w:val="FFFFFF"/>
                <w:sz w:val="20"/>
                <w:szCs w:val="20"/>
              </w:rPr>
              <w:t>Method</w:t>
            </w:r>
          </w:p>
        </w:tc>
        <w:tc>
          <w:tcPr>
            <w:tcW w:w="2700" w:type="dxa"/>
            <w:tcBorders>
              <w:top w:val="single" w:sz="1" w:space="0" w:color="CCCCCC"/>
              <w:left w:val="single" w:sz="1" w:space="0" w:color="CCCCCC"/>
              <w:bottom w:val="single" w:sz="1" w:space="0" w:color="CCCCCC"/>
              <w:right w:val="single" w:sz="1" w:space="0" w:color="CCCCCC"/>
            </w:tcBorders>
            <w:shd w:val="clear" w:color="auto" w:fill="1B3F6B"/>
            <w:tcMar>
              <w:top w:w="80" w:type="dxa"/>
              <w:left w:w="120" w:type="dxa"/>
              <w:bottom w:w="80" w:type="dxa"/>
              <w:right w:w="120" w:type="dxa"/>
            </w:tcMar>
          </w:tcPr>
          <w:p w14:paraId="75C2ECE2" w14:textId="77777777" w:rsidR="00BB1D38" w:rsidRDefault="00000000">
            <w:r>
              <w:rPr>
                <w:b/>
                <w:bCs/>
                <w:color w:val="FFFFFF"/>
                <w:sz w:val="20"/>
                <w:szCs w:val="20"/>
              </w:rPr>
              <w:t>Success Threshold</w:t>
            </w:r>
          </w:p>
        </w:tc>
        <w:tc>
          <w:tcPr>
            <w:tcW w:w="1890" w:type="dxa"/>
            <w:tcBorders>
              <w:top w:val="single" w:sz="1" w:space="0" w:color="CCCCCC"/>
              <w:left w:val="single" w:sz="1" w:space="0" w:color="CCCCCC"/>
              <w:bottom w:val="single" w:sz="1" w:space="0" w:color="CCCCCC"/>
              <w:right w:val="single" w:sz="1" w:space="0" w:color="CCCCCC"/>
            </w:tcBorders>
            <w:shd w:val="clear" w:color="auto" w:fill="1B3F6B"/>
            <w:tcMar>
              <w:top w:w="80" w:type="dxa"/>
              <w:left w:w="120" w:type="dxa"/>
              <w:bottom w:w="80" w:type="dxa"/>
              <w:right w:w="120" w:type="dxa"/>
            </w:tcMar>
          </w:tcPr>
          <w:p w14:paraId="520683D3" w14:textId="77777777" w:rsidR="00BB1D38" w:rsidRDefault="00000000">
            <w:r>
              <w:rPr>
                <w:b/>
                <w:bCs/>
                <w:color w:val="FFFFFF"/>
                <w:sz w:val="20"/>
                <w:szCs w:val="20"/>
              </w:rPr>
              <w:t>Timing</w:t>
            </w:r>
          </w:p>
        </w:tc>
      </w:tr>
      <w:tr w:rsidR="00BB1D38" w14:paraId="47CF0307" w14:textId="77777777" w:rsidTr="00D54599">
        <w:tblPrEx>
          <w:tblCellMar>
            <w:top w:w="0" w:type="dxa"/>
            <w:bottom w:w="0" w:type="dxa"/>
          </w:tblCellMar>
        </w:tblPrEx>
        <w:trPr>
          <w:jc w:val="center"/>
        </w:trPr>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A012CB" w14:textId="77777777" w:rsidR="00BB1D38" w:rsidRDefault="00000000">
            <w:r>
              <w:rPr>
                <w:color w:val="333333"/>
                <w:sz w:val="20"/>
                <w:szCs w:val="20"/>
              </w:rPr>
              <w:t>Layer 1 Construct Validity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FD9C2E" w14:textId="77777777" w:rsidR="00BB1D38" w:rsidRDefault="00000000">
            <w:r>
              <w:rPr>
                <w:color w:val="333333"/>
                <w:sz w:val="20"/>
                <w:szCs w:val="20"/>
              </w:rPr>
              <w:t>Does each dimension measure what we claim?</w:t>
            </w:r>
          </w:p>
        </w:tc>
        <w:tc>
          <w:tcPr>
            <w:tcW w:w="30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5D97E2" w14:textId="77777777" w:rsidR="00BB1D38" w:rsidRDefault="00000000">
            <w:r>
              <w:rPr>
                <w:color w:val="333333"/>
                <w:sz w:val="20"/>
                <w:szCs w:val="20"/>
              </w:rPr>
              <w:t xml:space="preserve">6 automated DQ tests pass before pipeline runs. Cross-validate Consumption Health against </w:t>
            </w:r>
            <w:proofErr w:type="spellStart"/>
            <w:r>
              <w:rPr>
                <w:color w:val="333333"/>
                <w:sz w:val="20"/>
                <w:szCs w:val="20"/>
              </w:rPr>
              <w:t>Account_Health</w:t>
            </w:r>
            <w:proofErr w:type="spellEnd"/>
            <w:r>
              <w:rPr>
                <w:color w:val="333333"/>
                <w:sz w:val="20"/>
                <w:szCs w:val="20"/>
              </w:rPr>
              <w:t xml:space="preserve"> aggregate as reconciliation check.</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886A8" w14:textId="77777777" w:rsidR="00BB1D38" w:rsidRDefault="00000000">
            <w:r>
              <w:rPr>
                <w:color w:val="333333"/>
                <w:sz w:val="20"/>
                <w:szCs w:val="20"/>
              </w:rPr>
              <w:t>All 6 DQ tests pass. Consumption reconciliation variance &lt; 2%.</w:t>
            </w:r>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28E6E" w14:textId="77777777" w:rsidR="00BB1D38" w:rsidRDefault="00000000">
            <w:r>
              <w:rPr>
                <w:color w:val="333333"/>
                <w:sz w:val="20"/>
                <w:szCs w:val="20"/>
              </w:rPr>
              <w:t>Before every pipeline run</w:t>
            </w:r>
          </w:p>
        </w:tc>
      </w:tr>
      <w:tr w:rsidR="00BB1D38" w14:paraId="28D3093E" w14:textId="77777777" w:rsidTr="00D54599">
        <w:tblPrEx>
          <w:tblCellMar>
            <w:top w:w="0" w:type="dxa"/>
            <w:bottom w:w="0" w:type="dxa"/>
          </w:tblCellMar>
        </w:tblPrEx>
        <w:trPr>
          <w:jc w:val="center"/>
        </w:trPr>
        <w:tc>
          <w:tcPr>
            <w:tcW w:w="140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6BB4010D" w14:textId="77777777" w:rsidR="00BB1D38" w:rsidRDefault="00000000">
            <w:r>
              <w:rPr>
                <w:color w:val="333333"/>
                <w:sz w:val="20"/>
                <w:szCs w:val="20"/>
              </w:rPr>
              <w:t>Layer 2 Concurrent Validity</w:t>
            </w:r>
          </w:p>
        </w:tc>
        <w:tc>
          <w:tcPr>
            <w:tcW w:w="180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739943EF" w14:textId="77777777" w:rsidR="00BB1D38" w:rsidRDefault="00000000">
            <w:r>
              <w:rPr>
                <w:color w:val="333333"/>
                <w:sz w:val="20"/>
                <w:szCs w:val="20"/>
              </w:rPr>
              <w:t>Does AHI agree with CS expert judgment?</w:t>
            </w:r>
          </w:p>
        </w:tc>
        <w:tc>
          <w:tcPr>
            <w:tcW w:w="3099"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59D01D89" w14:textId="77777777" w:rsidR="00BB1D38" w:rsidRDefault="00000000">
            <w:r>
              <w:rPr>
                <w:color w:val="333333"/>
                <w:sz w:val="20"/>
                <w:szCs w:val="20"/>
              </w:rPr>
              <w:t>During shadow period: present AHI scores for 20 known at-risk and 20 known healthy accounts to CS leadership blind. Measure agreement rate.</w:t>
            </w:r>
          </w:p>
        </w:tc>
        <w:tc>
          <w:tcPr>
            <w:tcW w:w="270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2009F866" w14:textId="77777777" w:rsidR="00BB1D38" w:rsidRDefault="00000000">
            <w:r>
              <w:rPr>
                <w:color w:val="333333"/>
                <w:sz w:val="20"/>
                <w:szCs w:val="20"/>
              </w:rPr>
              <w:t>AHI disagrees with expert judgment on fewer than 30% of accounts. If exceeded, recalibrate weights.</w:t>
            </w:r>
          </w:p>
        </w:tc>
        <w:tc>
          <w:tcPr>
            <w:tcW w:w="189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398B1C8C" w14:textId="77777777" w:rsidR="00BB1D38" w:rsidRDefault="00000000">
            <w:r>
              <w:rPr>
                <w:color w:val="333333"/>
                <w:sz w:val="20"/>
                <w:szCs w:val="20"/>
              </w:rPr>
              <w:t>Month 1 of shadow period</w:t>
            </w:r>
          </w:p>
        </w:tc>
      </w:tr>
      <w:tr w:rsidR="00BB1D38" w14:paraId="693C1B55" w14:textId="77777777" w:rsidTr="00D54599">
        <w:tblPrEx>
          <w:tblCellMar>
            <w:top w:w="0" w:type="dxa"/>
            <w:bottom w:w="0" w:type="dxa"/>
          </w:tblCellMar>
        </w:tblPrEx>
        <w:trPr>
          <w:jc w:val="center"/>
        </w:trPr>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1655F5" w14:textId="77777777" w:rsidR="00BB1D38" w:rsidRDefault="00000000">
            <w:r>
              <w:rPr>
                <w:color w:val="333333"/>
                <w:sz w:val="20"/>
                <w:szCs w:val="20"/>
              </w:rPr>
              <w:t>Layer 3 Predictive Validity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EC67F4" w14:textId="77777777" w:rsidR="00BB1D38" w:rsidRDefault="00000000">
            <w:r>
              <w:rPr>
                <w:color w:val="333333"/>
                <w:sz w:val="20"/>
                <w:szCs w:val="20"/>
              </w:rPr>
              <w:t xml:space="preserve">Does AHI </w:t>
            </w:r>
            <w:proofErr w:type="gramStart"/>
            <w:r>
              <w:rPr>
                <w:color w:val="333333"/>
                <w:sz w:val="20"/>
                <w:szCs w:val="20"/>
              </w:rPr>
              <w:t>actually predict</w:t>
            </w:r>
            <w:proofErr w:type="gramEnd"/>
            <w:r>
              <w:rPr>
                <w:color w:val="333333"/>
                <w:sz w:val="20"/>
                <w:szCs w:val="20"/>
              </w:rPr>
              <w:t xml:space="preserve"> renewal outcomes?</w:t>
            </w:r>
          </w:p>
        </w:tc>
        <w:tc>
          <w:tcPr>
            <w:tcW w:w="30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5CCE36" w14:textId="77777777" w:rsidR="00BB1D38" w:rsidRDefault="00000000">
            <w:r>
              <w:rPr>
                <w:color w:val="333333"/>
                <w:sz w:val="20"/>
                <w:szCs w:val="20"/>
              </w:rPr>
              <w:t>After 12 months: correlate AHI score 90 days pre-renewal against actual renewal outcome. Run precision/recall analysis at the 80-point threshold.</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5FCDE7" w14:textId="77777777" w:rsidR="00BB1D38" w:rsidRDefault="00000000">
            <w:r>
              <w:rPr>
                <w:color w:val="333333"/>
                <w:sz w:val="20"/>
                <w:szCs w:val="20"/>
              </w:rPr>
              <w:t>AHI ≥ 80 predicts renewal at ≥70% precision. AHI &lt; 50 present in 90-day window before ≥60% of churned accounts.</w:t>
            </w:r>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6ADA0E" w14:textId="77777777" w:rsidR="00BB1D38" w:rsidRDefault="00000000">
            <w:r>
              <w:rPr>
                <w:color w:val="333333"/>
                <w:sz w:val="20"/>
                <w:szCs w:val="20"/>
              </w:rPr>
              <w:t>Month 12 post-deployment</w:t>
            </w:r>
          </w:p>
        </w:tc>
      </w:tr>
    </w:tbl>
    <w:p w14:paraId="67EE91F3" w14:textId="77777777" w:rsidR="00BB1D38" w:rsidRDefault="00000000">
      <w:pPr>
        <w:pStyle w:val="Heading2"/>
      </w:pPr>
      <w:r>
        <w:rPr>
          <w:color w:val="1B3F6B"/>
        </w:rPr>
        <w:t>11.1 Business KPI alignment</w:t>
      </w:r>
    </w:p>
    <w:p w14:paraId="46620246" w14:textId="77777777" w:rsidR="00BB1D38" w:rsidRDefault="00000000">
      <w:pPr>
        <w:spacing w:before="60" w:after="100"/>
      </w:pPr>
      <w:r>
        <w:rPr>
          <w:color w:val="333333"/>
        </w:rPr>
        <w:t>The evaluation framework ties to three business KPIs, not one:</w:t>
      </w:r>
    </w:p>
    <w:p w14:paraId="38FE1FF5" w14:textId="77777777" w:rsidR="00BB1D38" w:rsidRDefault="00000000" w:rsidP="00D54599">
      <w:pPr>
        <w:pStyle w:val="ListParagraph"/>
        <w:numPr>
          <w:ilvl w:val="0"/>
          <w:numId w:val="8"/>
        </w:numPr>
        <w:spacing w:before="40" w:after="40"/>
      </w:pPr>
      <w:r w:rsidRPr="00D54599">
        <w:rPr>
          <w:b/>
          <w:bCs/>
          <w:color w:val="333333"/>
        </w:rPr>
        <w:t>Renewal rate improvement</w:t>
      </w:r>
      <w:r w:rsidRPr="00D54599">
        <w:rPr>
          <w:color w:val="333333"/>
        </w:rPr>
        <w:t>: accounts flagged as At Risk or Critical by AHI that received CSM intervention should renew at a higher rate than equivalent accounts that were not flagged. Target: 15 percentage point improvement in At Risk account renewal rate within 12 months.</w:t>
      </w:r>
    </w:p>
    <w:p w14:paraId="081CBC65" w14:textId="77777777" w:rsidR="00BB1D38" w:rsidRDefault="00000000" w:rsidP="00D54599">
      <w:pPr>
        <w:pStyle w:val="ListParagraph"/>
        <w:numPr>
          <w:ilvl w:val="0"/>
          <w:numId w:val="8"/>
        </w:numPr>
        <w:spacing w:before="40" w:after="40"/>
      </w:pPr>
      <w:r w:rsidRPr="00D54599">
        <w:rPr>
          <w:b/>
          <w:bCs/>
          <w:color w:val="333333"/>
        </w:rPr>
        <w:t>Time to intervention</w:t>
      </w:r>
      <w:r w:rsidRPr="00D54599">
        <w:rPr>
          <w:color w:val="333333"/>
        </w:rPr>
        <w:t>: average days between an account crossing into At Risk status and a CSM action logged in CRM. Target: reduce from current baseline (unknown) to under 14 days.</w:t>
      </w:r>
    </w:p>
    <w:p w14:paraId="51741F9E" w14:textId="77777777" w:rsidR="00BB1D38" w:rsidRDefault="00000000" w:rsidP="00D54599">
      <w:pPr>
        <w:pStyle w:val="ListParagraph"/>
        <w:numPr>
          <w:ilvl w:val="0"/>
          <w:numId w:val="8"/>
        </w:numPr>
        <w:spacing w:before="40" w:after="40"/>
      </w:pPr>
      <w:r w:rsidRPr="00D54599">
        <w:rPr>
          <w:b/>
          <w:bCs/>
          <w:color w:val="333333"/>
        </w:rPr>
        <w:t>CSM adoption rate</w:t>
      </w:r>
      <w:r w:rsidRPr="00D54599">
        <w:rPr>
          <w:color w:val="333333"/>
        </w:rPr>
        <w:t>: percentage of CSMs logging at least one AHI-triggered action per week. Target: ≥70% adoption within 60 days of launch. Below 50% signals a trust or UX problem, not a metric problem.</w:t>
      </w:r>
    </w:p>
    <w:p w14:paraId="6EEDE1B0" w14:textId="77777777" w:rsidR="00BB1D38" w:rsidRDefault="00000000">
      <w:pPr>
        <w:pStyle w:val="Heading2"/>
      </w:pPr>
      <w:r>
        <w:rPr>
          <w:color w:val="1B3F6B"/>
        </w:rPr>
        <w:t>11.2 The hard truth</w:t>
      </w:r>
    </w:p>
    <w:p w14:paraId="6A440BEF" w14:textId="77777777" w:rsidR="00D54599" w:rsidRDefault="00000000">
      <w:pPr>
        <w:spacing w:before="60" w:after="100"/>
        <w:rPr>
          <w:color w:val="333333"/>
        </w:rPr>
      </w:pPr>
      <w:r>
        <w:rPr>
          <w:color w:val="333333"/>
        </w:rPr>
        <w:t xml:space="preserve">A composite scoring model built on business-logic weights is a hypothesis, not a validated model. </w:t>
      </w:r>
    </w:p>
    <w:p w14:paraId="193C26A9" w14:textId="77777777" w:rsidR="00D54599" w:rsidRDefault="00000000">
      <w:pPr>
        <w:spacing w:before="60" w:after="100"/>
        <w:rPr>
          <w:color w:val="333333"/>
        </w:rPr>
      </w:pPr>
      <w:r>
        <w:rPr>
          <w:color w:val="333333"/>
        </w:rPr>
        <w:t xml:space="preserve">The weights assigned in v1 — 0.25 Consumption, 0.25 Deployment, 0.20 Stability, 0.15 Expansion, 0.15 Trend — represent the team’s best current judgment about what drives renewal, not an empirically derived answer. </w:t>
      </w:r>
    </w:p>
    <w:p w14:paraId="36F80F5B" w14:textId="4F8AC1DD" w:rsidR="00BB1D38" w:rsidRDefault="00000000">
      <w:pPr>
        <w:spacing w:before="60" w:after="100"/>
      </w:pPr>
      <w:r>
        <w:rPr>
          <w:color w:val="333333"/>
        </w:rPr>
        <w:t xml:space="preserve">The shadow period exists precisely to test that judgment. If Layer 3 validation shows Engagement Trend is the strongest predictor of churn and Expansion is the weakest, the weights will be recalibrated before comp is </w:t>
      </w:r>
      <w:r>
        <w:rPr>
          <w:color w:val="333333"/>
        </w:rPr>
        <w:lastRenderedPageBreak/>
        <w:t>attached. Presenting AHI as a finished answer rather than a calibrated v1 would be the wrong posture. The evaluation framework is how we know when we are ready to move from v1 to v2.</w:t>
      </w:r>
    </w:p>
    <w:p w14:paraId="6571D79E" w14:textId="77777777" w:rsidR="00BB1D38" w:rsidRDefault="00BB1D38">
      <w:pPr>
        <w:pBdr>
          <w:bottom w:val="single" w:sz="4" w:space="1" w:color="DDDDDD"/>
        </w:pBdr>
        <w:spacing w:before="120" w:after="120"/>
      </w:pPr>
    </w:p>
    <w:p w14:paraId="5B69C620" w14:textId="77777777" w:rsidR="00BB1D38" w:rsidRDefault="00000000">
      <w:pPr>
        <w:pStyle w:val="Heading1"/>
      </w:pPr>
      <w:r>
        <w:rPr>
          <w:color w:val="1B3F6B"/>
        </w:rPr>
        <w:t>12. Architecture Trade-offs</w:t>
      </w:r>
    </w:p>
    <w:p w14:paraId="2ACF1966" w14:textId="03500E68" w:rsidR="00BB1D38" w:rsidRDefault="00000000" w:rsidP="00D54599">
      <w:pPr>
        <w:spacing w:before="60" w:after="100"/>
      </w:pPr>
      <w:r>
        <w:rPr>
          <w:color w:val="333333"/>
        </w:rPr>
        <w:t>Every significant design decision in this project involved a meaningful alternative. The following documents the choice made, the alternative rejected, and the rationale.</w:t>
      </w:r>
    </w:p>
    <w:tbl>
      <w:tblPr>
        <w:tblW w:w="1097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700"/>
        <w:gridCol w:w="1900"/>
        <w:gridCol w:w="5779"/>
      </w:tblGrid>
      <w:tr w:rsidR="00BB1D38" w14:paraId="487FDD93" w14:textId="77777777" w:rsidTr="00D54599">
        <w:tblPrEx>
          <w:tblCellMar>
            <w:top w:w="0" w:type="dxa"/>
            <w:bottom w:w="0" w:type="dxa"/>
          </w:tblCellMar>
        </w:tblPrEx>
        <w:trPr>
          <w:tblHeader/>
          <w:jc w:val="center"/>
        </w:trPr>
        <w:tc>
          <w:tcPr>
            <w:tcW w:w="1600" w:type="dxa"/>
            <w:tcBorders>
              <w:top w:val="single" w:sz="1" w:space="0" w:color="CCCCCC"/>
              <w:left w:val="single" w:sz="1" w:space="0" w:color="CCCCCC"/>
              <w:bottom w:val="single" w:sz="1" w:space="0" w:color="CCCCCC"/>
              <w:right w:val="single" w:sz="1" w:space="0" w:color="CCCCCC"/>
            </w:tcBorders>
            <w:shd w:val="clear" w:color="auto" w:fill="1B3F6B"/>
            <w:tcMar>
              <w:top w:w="80" w:type="dxa"/>
              <w:left w:w="120" w:type="dxa"/>
              <w:bottom w:w="80" w:type="dxa"/>
              <w:right w:w="120" w:type="dxa"/>
            </w:tcMar>
          </w:tcPr>
          <w:p w14:paraId="660E1FEA" w14:textId="77777777" w:rsidR="00BB1D38" w:rsidRDefault="00000000">
            <w:r>
              <w:rPr>
                <w:b/>
                <w:bCs/>
                <w:color w:val="FFFFFF"/>
                <w:sz w:val="20"/>
                <w:szCs w:val="20"/>
              </w:rPr>
              <w:t>Decision</w:t>
            </w:r>
          </w:p>
        </w:tc>
        <w:tc>
          <w:tcPr>
            <w:tcW w:w="1700" w:type="dxa"/>
            <w:tcBorders>
              <w:top w:val="single" w:sz="1" w:space="0" w:color="CCCCCC"/>
              <w:left w:val="single" w:sz="1" w:space="0" w:color="CCCCCC"/>
              <w:bottom w:val="single" w:sz="1" w:space="0" w:color="CCCCCC"/>
              <w:right w:val="single" w:sz="1" w:space="0" w:color="CCCCCC"/>
            </w:tcBorders>
            <w:shd w:val="clear" w:color="auto" w:fill="1B3F6B"/>
            <w:tcMar>
              <w:top w:w="80" w:type="dxa"/>
              <w:left w:w="120" w:type="dxa"/>
              <w:bottom w:w="80" w:type="dxa"/>
              <w:right w:w="120" w:type="dxa"/>
            </w:tcMar>
          </w:tcPr>
          <w:p w14:paraId="46EB473F" w14:textId="77777777" w:rsidR="00BB1D38" w:rsidRDefault="00000000">
            <w:r>
              <w:rPr>
                <w:b/>
                <w:bCs/>
                <w:color w:val="FFFFFF"/>
                <w:sz w:val="20"/>
                <w:szCs w:val="20"/>
              </w:rPr>
              <w:t>Choice Made</w:t>
            </w:r>
          </w:p>
        </w:tc>
        <w:tc>
          <w:tcPr>
            <w:tcW w:w="1900" w:type="dxa"/>
            <w:tcBorders>
              <w:top w:val="single" w:sz="1" w:space="0" w:color="CCCCCC"/>
              <w:left w:val="single" w:sz="1" w:space="0" w:color="CCCCCC"/>
              <w:bottom w:val="single" w:sz="1" w:space="0" w:color="CCCCCC"/>
              <w:right w:val="single" w:sz="1" w:space="0" w:color="CCCCCC"/>
            </w:tcBorders>
            <w:shd w:val="clear" w:color="auto" w:fill="1B3F6B"/>
            <w:tcMar>
              <w:top w:w="80" w:type="dxa"/>
              <w:left w:w="120" w:type="dxa"/>
              <w:bottom w:w="80" w:type="dxa"/>
              <w:right w:w="120" w:type="dxa"/>
            </w:tcMar>
          </w:tcPr>
          <w:p w14:paraId="4B1923A9" w14:textId="77777777" w:rsidR="00BB1D38" w:rsidRDefault="00000000">
            <w:r>
              <w:rPr>
                <w:b/>
                <w:bCs/>
                <w:color w:val="FFFFFF"/>
                <w:sz w:val="20"/>
                <w:szCs w:val="20"/>
              </w:rPr>
              <w:t>Alternative Rejected</w:t>
            </w:r>
          </w:p>
        </w:tc>
        <w:tc>
          <w:tcPr>
            <w:tcW w:w="5779" w:type="dxa"/>
            <w:tcBorders>
              <w:top w:val="single" w:sz="1" w:space="0" w:color="CCCCCC"/>
              <w:left w:val="single" w:sz="1" w:space="0" w:color="CCCCCC"/>
              <w:bottom w:val="single" w:sz="1" w:space="0" w:color="CCCCCC"/>
              <w:right w:val="single" w:sz="1" w:space="0" w:color="CCCCCC"/>
            </w:tcBorders>
            <w:shd w:val="clear" w:color="auto" w:fill="1B3F6B"/>
            <w:tcMar>
              <w:top w:w="80" w:type="dxa"/>
              <w:left w:w="120" w:type="dxa"/>
              <w:bottom w:w="80" w:type="dxa"/>
              <w:right w:w="120" w:type="dxa"/>
            </w:tcMar>
          </w:tcPr>
          <w:p w14:paraId="1E79FA31" w14:textId="77777777" w:rsidR="00BB1D38" w:rsidRDefault="00000000">
            <w:r>
              <w:rPr>
                <w:b/>
                <w:bCs/>
                <w:color w:val="FFFFFF"/>
                <w:sz w:val="20"/>
                <w:szCs w:val="20"/>
              </w:rPr>
              <w:t>Rationale</w:t>
            </w:r>
          </w:p>
        </w:tc>
      </w:tr>
      <w:tr w:rsidR="00BB1D38" w14:paraId="5F5D6940" w14:textId="77777777" w:rsidTr="00D54599">
        <w:tblPrEx>
          <w:tblCellMar>
            <w:top w:w="0" w:type="dxa"/>
            <w:bottom w:w="0" w:type="dxa"/>
          </w:tblCellMar>
        </w:tblPrEx>
        <w:trPr>
          <w:jc w:val="center"/>
        </w:trPr>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643DF2" w14:textId="77777777" w:rsidR="00BB1D38" w:rsidRDefault="00000000">
            <w:r>
              <w:rPr>
                <w:color w:val="333333"/>
                <w:sz w:val="20"/>
                <w:szCs w:val="20"/>
              </w:rPr>
              <w:t>Metric type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A95C2E" w14:textId="77777777" w:rsidR="00BB1D38" w:rsidRDefault="00000000">
            <w:r>
              <w:rPr>
                <w:color w:val="333333"/>
                <w:sz w:val="20"/>
                <w:szCs w:val="20"/>
              </w:rPr>
              <w:t>Weighted composite score (AHI)</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4246DF" w14:textId="77777777" w:rsidR="00BB1D38" w:rsidRDefault="00000000">
            <w:r>
              <w:rPr>
                <w:color w:val="333333"/>
                <w:sz w:val="20"/>
                <w:szCs w:val="20"/>
              </w:rPr>
              <w:t>ML churn prediction model (logistic regression / gradient boosting)</w:t>
            </w:r>
          </w:p>
        </w:tc>
        <w:tc>
          <w:tcPr>
            <w:tcW w:w="57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A5C402" w14:textId="4A5EFB70" w:rsidR="00BB1D38" w:rsidRDefault="00000000">
            <w:r>
              <w:rPr>
                <w:color w:val="333333"/>
                <w:sz w:val="20"/>
                <w:szCs w:val="20"/>
              </w:rPr>
              <w:t>No labeled training data exists —</w:t>
            </w:r>
            <w:r w:rsidR="00D54599">
              <w:rPr>
                <w:color w:val="333333"/>
                <w:sz w:val="20"/>
                <w:szCs w:val="20"/>
              </w:rPr>
              <w:t xml:space="preserve"> </w:t>
            </w:r>
            <w:r>
              <w:rPr>
                <w:color w:val="333333"/>
                <w:sz w:val="20"/>
                <w:szCs w:val="20"/>
              </w:rPr>
              <w:t xml:space="preserve">shadow period will produce it. Explainability is a hard requirement when comp is attached: a CSM cannot appeal a 73% churn probability but can appeal a Deployment score of 20%. Trust is a product requirement. </w:t>
            </w:r>
            <w:r w:rsidRPr="00673604">
              <w:rPr>
                <w:b/>
                <w:bCs/>
                <w:color w:val="333333"/>
                <w:sz w:val="20"/>
                <w:szCs w:val="20"/>
              </w:rPr>
              <w:t>Trade-off</w:t>
            </w:r>
            <w:r>
              <w:rPr>
                <w:color w:val="333333"/>
                <w:sz w:val="20"/>
                <w:szCs w:val="20"/>
              </w:rPr>
              <w:t>: accuracy ceiling ~70-75% vs. potential 85%+ for ML. Accepted in exchange for CSM adoption and exec trust.</w:t>
            </w:r>
          </w:p>
        </w:tc>
      </w:tr>
      <w:tr w:rsidR="00BB1D38" w14:paraId="032482E9" w14:textId="77777777" w:rsidTr="00D54599">
        <w:tblPrEx>
          <w:tblCellMar>
            <w:top w:w="0" w:type="dxa"/>
            <w:bottom w:w="0" w:type="dxa"/>
          </w:tblCellMar>
        </w:tblPrEx>
        <w:trPr>
          <w:jc w:val="center"/>
        </w:trPr>
        <w:tc>
          <w:tcPr>
            <w:tcW w:w="160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1D9BA501" w14:textId="77777777" w:rsidR="00BB1D38" w:rsidRDefault="00000000">
            <w:r>
              <w:rPr>
                <w:color w:val="333333"/>
                <w:sz w:val="20"/>
                <w:szCs w:val="20"/>
              </w:rPr>
              <w:t>Storage layer</w:t>
            </w:r>
          </w:p>
        </w:tc>
        <w:tc>
          <w:tcPr>
            <w:tcW w:w="170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7715C84A" w14:textId="77777777" w:rsidR="00BB1D38" w:rsidRDefault="00000000">
            <w:r>
              <w:rPr>
                <w:color w:val="333333"/>
                <w:sz w:val="20"/>
                <w:szCs w:val="20"/>
              </w:rPr>
              <w:t xml:space="preserve">Google </w:t>
            </w:r>
            <w:proofErr w:type="spellStart"/>
            <w:r>
              <w:rPr>
                <w:color w:val="333333"/>
                <w:sz w:val="20"/>
                <w:szCs w:val="20"/>
              </w:rPr>
              <w:t>BigQuery</w:t>
            </w:r>
            <w:proofErr w:type="spellEnd"/>
            <w:r>
              <w:rPr>
                <w:color w:val="333333"/>
                <w:sz w:val="20"/>
                <w:szCs w:val="20"/>
              </w:rPr>
              <w:t xml:space="preserve"> (columnar, serverless)</w:t>
            </w:r>
          </w:p>
        </w:tc>
        <w:tc>
          <w:tcPr>
            <w:tcW w:w="190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19B1B02D" w14:textId="77777777" w:rsidR="00BB1D38" w:rsidRDefault="00000000">
            <w:r>
              <w:rPr>
                <w:color w:val="333333"/>
                <w:sz w:val="20"/>
                <w:szCs w:val="20"/>
              </w:rPr>
              <w:t>Postgres (transactional) / Snowflake (data warehouse)</w:t>
            </w:r>
          </w:p>
        </w:tc>
        <w:tc>
          <w:tcPr>
            <w:tcW w:w="5779"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50C07A66" w14:textId="77777777" w:rsidR="00BB1D38" w:rsidRDefault="00000000">
            <w:r>
              <w:rPr>
                <w:color w:val="333333"/>
                <w:sz w:val="20"/>
                <w:szCs w:val="20"/>
              </w:rPr>
              <w:t xml:space="preserve">200K+ daily usage log rows is an analytical aggregation problem, not a transactional one. </w:t>
            </w:r>
            <w:proofErr w:type="spellStart"/>
            <w:r>
              <w:rPr>
                <w:color w:val="333333"/>
                <w:sz w:val="20"/>
                <w:szCs w:val="20"/>
              </w:rPr>
              <w:t>BigQuery</w:t>
            </w:r>
            <w:proofErr w:type="spellEnd"/>
            <w:r>
              <w:rPr>
                <w:color w:val="333333"/>
                <w:sz w:val="20"/>
                <w:szCs w:val="20"/>
              </w:rPr>
              <w:t xml:space="preserve"> columnar storage is purpose-built for window functions and aggregations at scale. Postgres would require indexing and partitioning overhead. Snowflake adds licensing cost unjustified at prototype stage. </w:t>
            </w:r>
            <w:proofErr w:type="spellStart"/>
            <w:r>
              <w:rPr>
                <w:color w:val="333333"/>
                <w:sz w:val="20"/>
                <w:szCs w:val="20"/>
              </w:rPr>
              <w:t>BigQuery</w:t>
            </w:r>
            <w:proofErr w:type="spellEnd"/>
            <w:r>
              <w:rPr>
                <w:color w:val="333333"/>
                <w:sz w:val="20"/>
                <w:szCs w:val="20"/>
              </w:rPr>
              <w:t xml:space="preserve"> Sandbox is free.</w:t>
            </w:r>
          </w:p>
        </w:tc>
      </w:tr>
      <w:tr w:rsidR="00BB1D38" w14:paraId="45BE34F2" w14:textId="77777777" w:rsidTr="00D54599">
        <w:tblPrEx>
          <w:tblCellMar>
            <w:top w:w="0" w:type="dxa"/>
            <w:bottom w:w="0" w:type="dxa"/>
          </w:tblCellMar>
        </w:tblPrEx>
        <w:trPr>
          <w:jc w:val="center"/>
        </w:trPr>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BECEAE" w14:textId="77777777" w:rsidR="00BB1D38" w:rsidRDefault="00000000">
            <w:r>
              <w:rPr>
                <w:color w:val="333333"/>
                <w:sz w:val="20"/>
                <w:szCs w:val="20"/>
              </w:rPr>
              <w:t>Dashboard framework</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0BBF3A" w14:textId="77777777" w:rsidR="00BB1D38" w:rsidRDefault="00000000">
            <w:r>
              <w:rPr>
                <w:color w:val="333333"/>
                <w:sz w:val="20"/>
                <w:szCs w:val="20"/>
              </w:rPr>
              <w:t>React (full UX control)</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B418FE" w14:textId="77777777" w:rsidR="00BB1D38" w:rsidRDefault="00000000">
            <w:proofErr w:type="spellStart"/>
            <w:r>
              <w:rPr>
                <w:color w:val="333333"/>
                <w:sz w:val="20"/>
                <w:szCs w:val="20"/>
              </w:rPr>
              <w:t>Streamlit</w:t>
            </w:r>
            <w:proofErr w:type="spellEnd"/>
            <w:r>
              <w:rPr>
                <w:color w:val="333333"/>
                <w:sz w:val="20"/>
                <w:szCs w:val="20"/>
              </w:rPr>
              <w:t xml:space="preserve"> (Python-native, faster build)</w:t>
            </w:r>
          </w:p>
        </w:tc>
        <w:tc>
          <w:tcPr>
            <w:tcW w:w="57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2FAAF4" w14:textId="77777777" w:rsidR="00BB1D38" w:rsidRDefault="00000000">
            <w:r>
              <w:rPr>
                <w:color w:val="333333"/>
                <w:sz w:val="20"/>
                <w:szCs w:val="20"/>
              </w:rPr>
              <w:t xml:space="preserve">Audience is VP CS and 50 CSM reps, not data scientists. Information hierarchy, color coding, and account pinning require UX control </w:t>
            </w:r>
            <w:proofErr w:type="spellStart"/>
            <w:r>
              <w:rPr>
                <w:color w:val="333333"/>
                <w:sz w:val="20"/>
                <w:szCs w:val="20"/>
              </w:rPr>
              <w:t>Streamlit</w:t>
            </w:r>
            <w:proofErr w:type="spellEnd"/>
            <w:r>
              <w:rPr>
                <w:color w:val="333333"/>
                <w:sz w:val="20"/>
                <w:szCs w:val="20"/>
              </w:rPr>
              <w:t xml:space="preserve"> cannot provide without significant workarounds. Trade-off: longer build time. Accepted because dashboard is a centerpiece of the executive pitch.</w:t>
            </w:r>
          </w:p>
        </w:tc>
      </w:tr>
      <w:tr w:rsidR="00BB1D38" w14:paraId="02D2FF4F" w14:textId="77777777" w:rsidTr="00D54599">
        <w:tblPrEx>
          <w:tblCellMar>
            <w:top w:w="0" w:type="dxa"/>
            <w:bottom w:w="0" w:type="dxa"/>
          </w:tblCellMar>
        </w:tblPrEx>
        <w:trPr>
          <w:jc w:val="center"/>
        </w:trPr>
        <w:tc>
          <w:tcPr>
            <w:tcW w:w="160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2D020DBE" w14:textId="77777777" w:rsidR="00BB1D38" w:rsidRDefault="00000000">
            <w:r>
              <w:rPr>
                <w:color w:val="333333"/>
                <w:sz w:val="20"/>
                <w:szCs w:val="20"/>
              </w:rPr>
              <w:t>Trend calculation</w:t>
            </w:r>
          </w:p>
        </w:tc>
        <w:tc>
          <w:tcPr>
            <w:tcW w:w="170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42D60618" w14:textId="77777777" w:rsidR="00BB1D38" w:rsidRDefault="00000000">
            <w:r>
              <w:rPr>
                <w:color w:val="333333"/>
                <w:sz w:val="20"/>
                <w:szCs w:val="20"/>
              </w:rPr>
              <w:t>Linear regression slope (120-day)</w:t>
            </w:r>
          </w:p>
        </w:tc>
        <w:tc>
          <w:tcPr>
            <w:tcW w:w="190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27B498EB" w14:textId="77777777" w:rsidR="00BB1D38" w:rsidRDefault="00000000">
            <w:r>
              <w:rPr>
                <w:color w:val="333333"/>
                <w:sz w:val="20"/>
                <w:szCs w:val="20"/>
              </w:rPr>
              <w:t>ARIMA / Prophet (time-series forecasting)</w:t>
            </w:r>
          </w:p>
        </w:tc>
        <w:tc>
          <w:tcPr>
            <w:tcW w:w="5779"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565B2CD0" w14:textId="77777777" w:rsidR="00BB1D38" w:rsidRDefault="00000000">
            <w:r>
              <w:rPr>
                <w:color w:val="333333"/>
                <w:sz w:val="20"/>
                <w:szCs w:val="20"/>
              </w:rPr>
              <w:t>ARIMA and Prophet answer ‘what comes next?’ We need ‘which direction?’ Linear regression slope is interpretable, runs in milliseconds, requires no training or hyperparameter tuning. Principle applied: simplest model that answers the specific question being asked.</w:t>
            </w:r>
          </w:p>
        </w:tc>
      </w:tr>
      <w:tr w:rsidR="00BB1D38" w14:paraId="5DFF9069" w14:textId="77777777" w:rsidTr="00D54599">
        <w:tblPrEx>
          <w:tblCellMar>
            <w:top w:w="0" w:type="dxa"/>
            <w:bottom w:w="0" w:type="dxa"/>
          </w:tblCellMar>
        </w:tblPrEx>
        <w:trPr>
          <w:jc w:val="center"/>
        </w:trPr>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9921B5" w14:textId="77777777" w:rsidR="00BB1D38" w:rsidRDefault="00000000">
            <w:r>
              <w:rPr>
                <w:color w:val="333333"/>
                <w:sz w:val="20"/>
                <w:szCs w:val="20"/>
              </w:rPr>
              <w:t>Anomaly detection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AF1CCF" w14:textId="77777777" w:rsidR="00BB1D38" w:rsidRDefault="00000000">
            <w:r>
              <w:rPr>
                <w:color w:val="333333"/>
                <w:sz w:val="20"/>
                <w:szCs w:val="20"/>
              </w:rPr>
              <w:t>Isolation Forest (unsupervised)</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F10BF0" w14:textId="77777777" w:rsidR="00BB1D38" w:rsidRDefault="00000000">
            <w:r>
              <w:rPr>
                <w:color w:val="333333"/>
                <w:sz w:val="20"/>
                <w:szCs w:val="20"/>
              </w:rPr>
              <w:t>Rules-based threshold (e.g. month-1 share &gt; 70%)</w:t>
            </w:r>
          </w:p>
        </w:tc>
        <w:tc>
          <w:tcPr>
            <w:tcW w:w="57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63CEC1" w14:textId="77777777" w:rsidR="00BB1D38" w:rsidRDefault="00000000">
            <w:r>
              <w:rPr>
                <w:color w:val="333333"/>
                <w:sz w:val="20"/>
                <w:szCs w:val="20"/>
              </w:rPr>
              <w:t>Rules-based thresholds require manual calibration per segment and miss novel patterns. Isolation Forest learns the normal consumption distribution from the data and flags statistical outliers without requiring labeled anomaly examples. Trade-off: less interpretable than a rule. Mitigated by surfacing the anomaly flag explicitly in the dashboard and narrative.</w:t>
            </w:r>
          </w:p>
        </w:tc>
      </w:tr>
      <w:tr w:rsidR="00BB1D38" w14:paraId="7FDA464D" w14:textId="77777777" w:rsidTr="00D54599">
        <w:tblPrEx>
          <w:tblCellMar>
            <w:top w:w="0" w:type="dxa"/>
            <w:bottom w:w="0" w:type="dxa"/>
          </w:tblCellMar>
        </w:tblPrEx>
        <w:trPr>
          <w:jc w:val="center"/>
        </w:trPr>
        <w:tc>
          <w:tcPr>
            <w:tcW w:w="160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3054053B" w14:textId="77777777" w:rsidR="00BB1D38" w:rsidRDefault="00000000">
            <w:r>
              <w:rPr>
                <w:color w:val="333333"/>
                <w:sz w:val="20"/>
                <w:szCs w:val="20"/>
              </w:rPr>
              <w:t>Weight derivation</w:t>
            </w:r>
          </w:p>
        </w:tc>
        <w:tc>
          <w:tcPr>
            <w:tcW w:w="170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2259704B" w14:textId="77777777" w:rsidR="00BB1D38" w:rsidRDefault="00000000">
            <w:r>
              <w:rPr>
                <w:color w:val="333333"/>
                <w:sz w:val="20"/>
                <w:szCs w:val="20"/>
              </w:rPr>
              <w:t>Business-logic weights (v1 hypothesis)</w:t>
            </w:r>
          </w:p>
        </w:tc>
        <w:tc>
          <w:tcPr>
            <w:tcW w:w="190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5C35A823" w14:textId="77777777" w:rsidR="00BB1D38" w:rsidRDefault="00000000">
            <w:r>
              <w:rPr>
                <w:color w:val="333333"/>
                <w:sz w:val="20"/>
                <w:szCs w:val="20"/>
              </w:rPr>
              <w:t>Statistically derived weights from historical renewal data</w:t>
            </w:r>
          </w:p>
        </w:tc>
        <w:tc>
          <w:tcPr>
            <w:tcW w:w="5779"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11803E14" w14:textId="77777777" w:rsidR="00BB1D38" w:rsidRDefault="00000000">
            <w:r>
              <w:rPr>
                <w:color w:val="333333"/>
                <w:sz w:val="20"/>
                <w:szCs w:val="20"/>
              </w:rPr>
              <w:t>No labeled historical dataset mapping AHI-equivalent behavior to renewal outcomes exists. Business-logic weights are testable hypotheses with explicit rationale. Shadow period produces the labeled data needed for statistical derivation in v2. Sequence: opinionated v1, empirical v2.</w:t>
            </w:r>
          </w:p>
        </w:tc>
      </w:tr>
    </w:tbl>
    <w:p w14:paraId="579A3E56" w14:textId="77777777" w:rsidR="00BB1D38" w:rsidRDefault="00BB1D38">
      <w:pPr>
        <w:pBdr>
          <w:bottom w:val="single" w:sz="4" w:space="1" w:color="DDDDDD"/>
        </w:pBdr>
        <w:spacing w:before="120" w:after="120"/>
      </w:pPr>
    </w:p>
    <w:p w14:paraId="53565BF5" w14:textId="77777777" w:rsidR="00BB1D38" w:rsidRDefault="00000000">
      <w:pPr>
        <w:pStyle w:val="Heading1"/>
      </w:pPr>
      <w:r>
        <w:rPr>
          <w:color w:val="1B3F6B"/>
        </w:rPr>
        <w:t>13. Retrospective &amp; Future State</w:t>
      </w:r>
    </w:p>
    <w:p w14:paraId="3312A35E" w14:textId="77777777" w:rsidR="00BB1D38" w:rsidRDefault="00000000">
      <w:pPr>
        <w:spacing w:before="60" w:after="100"/>
        <w:rPr>
          <w:color w:val="333333"/>
        </w:rPr>
      </w:pPr>
      <w:r>
        <w:rPr>
          <w:color w:val="333333"/>
        </w:rPr>
        <w:t>AHI v1 is the data foundation. The following describes what v2 looks like with today’s AI stack, and what would be built differently if starting from scratch in 2026.</w:t>
      </w:r>
    </w:p>
    <w:p w14:paraId="36F2B646" w14:textId="77777777" w:rsidR="00673604" w:rsidRDefault="00673604">
      <w:pPr>
        <w:spacing w:before="60" w:after="100"/>
        <w:rPr>
          <w:color w:val="333333"/>
        </w:rPr>
      </w:pPr>
    </w:p>
    <w:p w14:paraId="09E618AC" w14:textId="77777777" w:rsidR="00673604" w:rsidRDefault="00673604">
      <w:pPr>
        <w:spacing w:before="60" w:after="100"/>
      </w:pPr>
    </w:p>
    <w:p w14:paraId="6D120D0F" w14:textId="77777777" w:rsidR="00BB1D38" w:rsidRDefault="00000000">
      <w:pPr>
        <w:pStyle w:val="Heading2"/>
      </w:pPr>
      <w:r>
        <w:rPr>
          <w:color w:val="1B3F6B"/>
        </w:rPr>
        <w:lastRenderedPageBreak/>
        <w:t>13.1 What v2 looks like — three additions</w:t>
      </w:r>
    </w:p>
    <w:p w14:paraId="688BF654" w14:textId="77777777" w:rsidR="00BB1D38" w:rsidRDefault="00000000">
      <w:pPr>
        <w:spacing w:before="200" w:after="60"/>
      </w:pPr>
      <w:r>
        <w:rPr>
          <w:b/>
          <w:bCs/>
          <w:color w:val="333333"/>
          <w:sz w:val="24"/>
          <w:szCs w:val="24"/>
        </w:rPr>
        <w:t>Addition 1: LLM-generated intervention briefs (expanding the narrative layer)</w:t>
      </w:r>
    </w:p>
    <w:p w14:paraId="5C75D459" w14:textId="77777777" w:rsidR="00BB1D38" w:rsidRDefault="00000000">
      <w:pPr>
        <w:spacing w:before="60" w:after="100"/>
      </w:pPr>
      <w:r>
        <w:rPr>
          <w:color w:val="333333"/>
        </w:rPr>
        <w:t xml:space="preserve">V1 generates a 2-3 sentence account narrative. V2 generates a full intervention brief: the narrative, a draft CSM outreach email, the recommended internal escalation contact, and a suggested agenda for the next customer call — all in one Claude API call. The CSM reviews and approves in one click. The activation energy to act drops from 30 minutes to 30 seconds. That is where churn prevention </w:t>
      </w:r>
      <w:proofErr w:type="gramStart"/>
      <w:r>
        <w:rPr>
          <w:color w:val="333333"/>
        </w:rPr>
        <w:t>actually happens</w:t>
      </w:r>
      <w:proofErr w:type="gramEnd"/>
      <w:r>
        <w:rPr>
          <w:color w:val="333333"/>
        </w:rPr>
        <w:t xml:space="preserve"> — not in the insight, but in the speed of the response.</w:t>
      </w:r>
    </w:p>
    <w:p w14:paraId="2F604063" w14:textId="77777777" w:rsidR="00BB1D38" w:rsidRDefault="00000000">
      <w:pPr>
        <w:spacing w:before="200" w:after="60"/>
      </w:pPr>
      <w:r>
        <w:rPr>
          <w:b/>
          <w:bCs/>
          <w:color w:val="333333"/>
          <w:sz w:val="24"/>
          <w:szCs w:val="24"/>
        </w:rPr>
        <w:t>Addition 2: Agentic intervention triggers</w:t>
      </w:r>
    </w:p>
    <w:p w14:paraId="1A92D894" w14:textId="77777777" w:rsidR="00BB1D38" w:rsidRDefault="00000000">
      <w:pPr>
        <w:spacing w:before="60" w:after="100"/>
      </w:pPr>
      <w:r>
        <w:rPr>
          <w:color w:val="333333"/>
        </w:rPr>
        <w:t>V1 surfaces information. V2 triggers action. When an account crosses from Healthy into Monitor, an agent detects the threshold crossing, drafts the outreach email, identifies the right escalation contact from the org chart, and queues it for CSM approval — without the CSM having to check the dashboard first. The human remains in the loop at the approval step. The agentic layer eliminates the gap between insight and action.</w:t>
      </w:r>
    </w:p>
    <w:p w14:paraId="0E8B6B9A" w14:textId="77777777" w:rsidR="00BB1D38" w:rsidRDefault="00000000">
      <w:pPr>
        <w:spacing w:before="200" w:after="60"/>
      </w:pPr>
      <w:r>
        <w:rPr>
          <w:b/>
          <w:bCs/>
          <w:color w:val="333333"/>
          <w:sz w:val="24"/>
          <w:szCs w:val="24"/>
        </w:rPr>
        <w:t>Addition 3: Multimodal signal enrichment</w:t>
      </w:r>
    </w:p>
    <w:p w14:paraId="15ABB183" w14:textId="77777777" w:rsidR="00BB1D38" w:rsidRDefault="00000000">
      <w:pPr>
        <w:spacing w:before="60" w:after="100"/>
      </w:pPr>
      <w:r>
        <w:rPr>
          <w:color w:val="333333"/>
        </w:rPr>
        <w:t>V1 uses structured data only — credits consumed, tickets open, ARR. V2 adds unstructured signals: support ticket text analyzed for customer sentiment and urgency, QBR notes parsed for competitive mentions or executive dissatisfaction, call transcripts flagged for churn language. An LLM reads every support ticket and extracts a sentiment score that feeds into Platform Stability more richly than ticket count alone. This signal exists today in PAN’s systems — it is just unreadable at scale without an LLM layer.</w:t>
      </w:r>
    </w:p>
    <w:p w14:paraId="76C5BBC3" w14:textId="77777777" w:rsidR="00BB1D38" w:rsidRDefault="00000000">
      <w:pPr>
        <w:pStyle w:val="Heading2"/>
      </w:pPr>
      <w:r>
        <w:rPr>
          <w:color w:val="1B3F6B"/>
        </w:rPr>
        <w:t>13.2 What would be built differently from scratch</w:t>
      </w:r>
    </w:p>
    <w:p w14:paraId="1AC12B7E" w14:textId="77777777" w:rsidR="00BB1D38" w:rsidRDefault="00000000" w:rsidP="00673604">
      <w:pPr>
        <w:pStyle w:val="ListParagraph"/>
        <w:numPr>
          <w:ilvl w:val="0"/>
          <w:numId w:val="9"/>
        </w:numPr>
        <w:spacing w:before="40" w:after="40"/>
      </w:pPr>
      <w:r w:rsidRPr="00673604">
        <w:rPr>
          <w:color w:val="333333"/>
        </w:rPr>
        <w:t>Start with the LLM narrative layer from day one, not as a v2 addition. The narrative is what drives CSM behavior change — the score alone does not.</w:t>
      </w:r>
    </w:p>
    <w:p w14:paraId="7FAE39CA" w14:textId="77777777" w:rsidR="00BB1D38" w:rsidRDefault="00000000" w:rsidP="00673604">
      <w:pPr>
        <w:pStyle w:val="ListParagraph"/>
        <w:numPr>
          <w:ilvl w:val="0"/>
          <w:numId w:val="9"/>
        </w:numPr>
        <w:spacing w:before="40" w:after="40"/>
      </w:pPr>
      <w:r w:rsidRPr="00673604">
        <w:rPr>
          <w:color w:val="333333"/>
        </w:rPr>
        <w:t xml:space="preserve">Use </w:t>
      </w:r>
      <w:proofErr w:type="spellStart"/>
      <w:r w:rsidRPr="00673604">
        <w:rPr>
          <w:color w:val="333333"/>
        </w:rPr>
        <w:t>dbt</w:t>
      </w:r>
      <w:proofErr w:type="spellEnd"/>
      <w:r w:rsidRPr="00673604">
        <w:rPr>
          <w:color w:val="333333"/>
        </w:rPr>
        <w:t xml:space="preserve"> for the SQL pipeline rather than raw </w:t>
      </w:r>
      <w:proofErr w:type="spellStart"/>
      <w:r w:rsidRPr="00673604">
        <w:rPr>
          <w:color w:val="333333"/>
        </w:rPr>
        <w:t>BigQuery</w:t>
      </w:r>
      <w:proofErr w:type="spellEnd"/>
      <w:r w:rsidRPr="00673604">
        <w:rPr>
          <w:color w:val="333333"/>
        </w:rPr>
        <w:t xml:space="preserve"> SQL. </w:t>
      </w:r>
      <w:proofErr w:type="spellStart"/>
      <w:r w:rsidRPr="00673604">
        <w:rPr>
          <w:color w:val="333333"/>
        </w:rPr>
        <w:t>dbt</w:t>
      </w:r>
      <w:proofErr w:type="spellEnd"/>
      <w:r w:rsidRPr="00673604">
        <w:rPr>
          <w:color w:val="333333"/>
        </w:rPr>
        <w:t xml:space="preserve"> adds lineage, documentation, and testability that makes the pipeline maintainable by a data engineering team, not just the PM who built it.</w:t>
      </w:r>
    </w:p>
    <w:p w14:paraId="59EC035A" w14:textId="77777777" w:rsidR="00BB1D38" w:rsidRDefault="00000000" w:rsidP="00673604">
      <w:pPr>
        <w:pStyle w:val="ListParagraph"/>
        <w:numPr>
          <w:ilvl w:val="0"/>
          <w:numId w:val="9"/>
        </w:numPr>
        <w:spacing w:before="40" w:after="40"/>
      </w:pPr>
      <w:r w:rsidRPr="00673604">
        <w:rPr>
          <w:color w:val="333333"/>
        </w:rPr>
        <w:t>Instrument CSM actions (acted / dismissed / escalated) from day one as a feedback loop. That behavioral data is what makes the shadow period analysis meaningful and what eventually trains the ML layer in v3.</w:t>
      </w:r>
    </w:p>
    <w:p w14:paraId="4E496F08" w14:textId="77777777" w:rsidR="00BB1D38" w:rsidRDefault="00000000" w:rsidP="00673604">
      <w:pPr>
        <w:pStyle w:val="ListParagraph"/>
        <w:numPr>
          <w:ilvl w:val="0"/>
          <w:numId w:val="9"/>
        </w:numPr>
        <w:spacing w:before="40" w:after="40"/>
      </w:pPr>
      <w:r w:rsidRPr="00673604">
        <w:rPr>
          <w:color w:val="333333"/>
        </w:rPr>
        <w:t>Involve a CS leader as a co-designer from week one, not as a reviewer at the end. Weight assumptions made with a senior CSM in the room would be more defensible than weight assumptions made from first principles alone.</w:t>
      </w:r>
    </w:p>
    <w:p w14:paraId="72356FDA" w14:textId="77777777" w:rsidR="00BB1D38" w:rsidRDefault="00000000">
      <w:pPr>
        <w:pStyle w:val="Heading2"/>
      </w:pPr>
      <w:r>
        <w:rPr>
          <w:color w:val="1B3F6B"/>
        </w:rPr>
        <w:t>13.3 Closing framing</w:t>
      </w:r>
    </w:p>
    <w:p w14:paraId="0710F842" w14:textId="77777777" w:rsidR="00BB1D38" w:rsidRDefault="00000000">
      <w:pPr>
        <w:spacing w:before="60" w:after="100"/>
      </w:pPr>
      <w:r>
        <w:rPr>
          <w:color w:val="333333"/>
        </w:rPr>
        <w:t>AHI v1 is not a finished product. It is the right first thing to build: a trusted, explainable, CSM-facing metric with a clean data foundation, automated quality gates, and an AI layer that adds value without adding opacity. You cannot build an agentic CSM assistant without a trusted metric underneath it. The agentic layer is v2. The foundation is already there.</w:t>
      </w:r>
    </w:p>
    <w:p w14:paraId="678C8DCB" w14:textId="77777777" w:rsidR="00BB1D38" w:rsidRDefault="00BB1D38">
      <w:pPr>
        <w:pBdr>
          <w:bottom w:val="single" w:sz="4" w:space="1" w:color="DDDDDD"/>
        </w:pBdr>
        <w:spacing w:before="120" w:after="120"/>
      </w:pPr>
    </w:p>
    <w:p w14:paraId="16289CDC" w14:textId="77777777" w:rsidR="00BB1D38" w:rsidRDefault="00000000">
      <w:pPr>
        <w:pStyle w:val="Heading1"/>
      </w:pPr>
      <w:r>
        <w:rPr>
          <w:color w:val="1B3F6B"/>
        </w:rPr>
        <w:t>14. Open Questions for VP Review</w:t>
      </w:r>
    </w:p>
    <w:p w14:paraId="2F165DEB" w14:textId="77777777" w:rsidR="00BB1D38" w:rsidRDefault="00000000">
      <w:pPr>
        <w:pStyle w:val="ListParagraph"/>
        <w:numPr>
          <w:ilvl w:val="0"/>
          <w:numId w:val="2"/>
        </w:numPr>
        <w:spacing w:before="40" w:after="40"/>
      </w:pPr>
      <w:r>
        <w:rPr>
          <w:color w:val="333333"/>
        </w:rPr>
        <w:t>Should the Contract Expansion dimension use a 1.5× cap or should it be graduated — e.g., 1.2× = 80 pts, 1.5× = 100 pts, with no benefit above 1.5×?</w:t>
      </w:r>
    </w:p>
    <w:p w14:paraId="081DCA7B" w14:textId="77777777" w:rsidR="00BB1D38" w:rsidRDefault="00000000">
      <w:pPr>
        <w:pStyle w:val="ListParagraph"/>
        <w:numPr>
          <w:ilvl w:val="0"/>
          <w:numId w:val="2"/>
        </w:numPr>
        <w:spacing w:before="40" w:after="40"/>
      </w:pPr>
      <w:r>
        <w:rPr>
          <w:color w:val="333333"/>
        </w:rPr>
        <w:t>Should overage penalty (0.85×) on Consumption Health be graduated rather than binary — e.g., 1.2× overage = 0.92×, 1.5× overage = 0.75×?</w:t>
      </w:r>
    </w:p>
    <w:p w14:paraId="79ED7672" w14:textId="77777777" w:rsidR="00BB1D38" w:rsidRDefault="00000000">
      <w:pPr>
        <w:pStyle w:val="ListParagraph"/>
        <w:numPr>
          <w:ilvl w:val="0"/>
          <w:numId w:val="2"/>
        </w:numPr>
        <w:spacing w:before="40" w:after="40"/>
      </w:pPr>
      <w:r>
        <w:rPr>
          <w:color w:val="333333"/>
        </w:rPr>
        <w:t>Should Platform Stability incorporate ticket age (days open) in addition to count and severity weighting?</w:t>
      </w:r>
    </w:p>
    <w:p w14:paraId="25E5E23C" w14:textId="77777777" w:rsidR="00BB1D38" w:rsidRDefault="00000000">
      <w:pPr>
        <w:pStyle w:val="ListParagraph"/>
        <w:numPr>
          <w:ilvl w:val="0"/>
          <w:numId w:val="2"/>
        </w:numPr>
        <w:spacing w:before="40" w:after="40"/>
      </w:pPr>
      <w:r>
        <w:rPr>
          <w:color w:val="333333"/>
        </w:rPr>
        <w:t>What is the right ARR floor for an account to be included in CSM AHI rollup — currently all active contracts are included regardless of size.</w:t>
      </w:r>
    </w:p>
    <w:p w14:paraId="5E562889" w14:textId="08409FBD" w:rsidR="00BB1D38" w:rsidRDefault="00000000" w:rsidP="00673604">
      <w:pPr>
        <w:pStyle w:val="ListParagraph"/>
        <w:numPr>
          <w:ilvl w:val="0"/>
          <w:numId w:val="2"/>
        </w:numPr>
        <w:spacing w:before="40" w:after="40"/>
      </w:pPr>
      <w:r>
        <w:rPr>
          <w:color w:val="333333"/>
        </w:rPr>
        <w:t>Should AHI be calculated weekly for high-touch Enterprise accounts and monthly for Mid-Market, or should cadence be uniform across segments?</w:t>
      </w:r>
    </w:p>
    <w:sectPr w:rsidR="00BB1D38" w:rsidSect="006B7C3E">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A6434A"/>
    <w:multiLevelType w:val="hybridMultilevel"/>
    <w:tmpl w:val="51465400"/>
    <w:lvl w:ilvl="0" w:tplc="08E4646A">
      <w:start w:val="1"/>
      <w:numFmt w:val="bullet"/>
      <w:lvlText w:val="•"/>
      <w:lvlJc w:val="left"/>
      <w:pPr>
        <w:ind w:left="720" w:hanging="360"/>
      </w:pPr>
    </w:lvl>
    <w:lvl w:ilvl="1" w:tplc="AC6AF492">
      <w:numFmt w:val="decimal"/>
      <w:lvlText w:val=""/>
      <w:lvlJc w:val="left"/>
    </w:lvl>
    <w:lvl w:ilvl="2" w:tplc="2E3E5CD6">
      <w:numFmt w:val="decimal"/>
      <w:lvlText w:val=""/>
      <w:lvlJc w:val="left"/>
    </w:lvl>
    <w:lvl w:ilvl="3" w:tplc="E6D2928A">
      <w:numFmt w:val="decimal"/>
      <w:lvlText w:val=""/>
      <w:lvlJc w:val="left"/>
    </w:lvl>
    <w:lvl w:ilvl="4" w:tplc="22706368">
      <w:numFmt w:val="decimal"/>
      <w:lvlText w:val=""/>
      <w:lvlJc w:val="left"/>
    </w:lvl>
    <w:lvl w:ilvl="5" w:tplc="1162404C">
      <w:numFmt w:val="decimal"/>
      <w:lvlText w:val=""/>
      <w:lvlJc w:val="left"/>
    </w:lvl>
    <w:lvl w:ilvl="6" w:tplc="EFAAE94A">
      <w:numFmt w:val="decimal"/>
      <w:lvlText w:val=""/>
      <w:lvlJc w:val="left"/>
    </w:lvl>
    <w:lvl w:ilvl="7" w:tplc="65F4DFA4">
      <w:numFmt w:val="decimal"/>
      <w:lvlText w:val=""/>
      <w:lvlJc w:val="left"/>
    </w:lvl>
    <w:lvl w:ilvl="8" w:tplc="47887C66">
      <w:numFmt w:val="decimal"/>
      <w:lvlText w:val=""/>
      <w:lvlJc w:val="left"/>
    </w:lvl>
  </w:abstractNum>
  <w:abstractNum w:abstractNumId="1" w15:restartNumberingAfterBreak="0">
    <w:nsid w:val="0FC5346C"/>
    <w:multiLevelType w:val="hybridMultilevel"/>
    <w:tmpl w:val="B9AA56C6"/>
    <w:lvl w:ilvl="0" w:tplc="73A8599C">
      <w:start w:val="1"/>
      <w:numFmt w:val="bullet"/>
      <w:lvlText w:val="●"/>
      <w:lvlJc w:val="left"/>
      <w:pPr>
        <w:ind w:left="720" w:hanging="360"/>
      </w:pPr>
    </w:lvl>
    <w:lvl w:ilvl="1" w:tplc="4AF88CD2">
      <w:start w:val="1"/>
      <w:numFmt w:val="bullet"/>
      <w:lvlText w:val="○"/>
      <w:lvlJc w:val="left"/>
      <w:pPr>
        <w:ind w:left="1440" w:hanging="360"/>
      </w:pPr>
    </w:lvl>
    <w:lvl w:ilvl="2" w:tplc="E500B338">
      <w:start w:val="1"/>
      <w:numFmt w:val="bullet"/>
      <w:lvlText w:val="■"/>
      <w:lvlJc w:val="left"/>
      <w:pPr>
        <w:ind w:left="2160" w:hanging="360"/>
      </w:pPr>
    </w:lvl>
    <w:lvl w:ilvl="3" w:tplc="F2844B26">
      <w:start w:val="1"/>
      <w:numFmt w:val="bullet"/>
      <w:lvlText w:val="●"/>
      <w:lvlJc w:val="left"/>
      <w:pPr>
        <w:ind w:left="2880" w:hanging="360"/>
      </w:pPr>
    </w:lvl>
    <w:lvl w:ilvl="4" w:tplc="5EEE2950">
      <w:start w:val="1"/>
      <w:numFmt w:val="bullet"/>
      <w:lvlText w:val="○"/>
      <w:lvlJc w:val="left"/>
      <w:pPr>
        <w:ind w:left="3600" w:hanging="360"/>
      </w:pPr>
    </w:lvl>
    <w:lvl w:ilvl="5" w:tplc="3C1ECA04">
      <w:start w:val="1"/>
      <w:numFmt w:val="bullet"/>
      <w:lvlText w:val="■"/>
      <w:lvlJc w:val="left"/>
      <w:pPr>
        <w:ind w:left="4320" w:hanging="360"/>
      </w:pPr>
    </w:lvl>
    <w:lvl w:ilvl="6" w:tplc="A002F746">
      <w:start w:val="1"/>
      <w:numFmt w:val="bullet"/>
      <w:lvlText w:val="●"/>
      <w:lvlJc w:val="left"/>
      <w:pPr>
        <w:ind w:left="5040" w:hanging="360"/>
      </w:pPr>
    </w:lvl>
    <w:lvl w:ilvl="7" w:tplc="FBCAF940">
      <w:start w:val="1"/>
      <w:numFmt w:val="bullet"/>
      <w:lvlText w:val="●"/>
      <w:lvlJc w:val="left"/>
      <w:pPr>
        <w:ind w:left="5760" w:hanging="360"/>
      </w:pPr>
    </w:lvl>
    <w:lvl w:ilvl="8" w:tplc="9844D42A">
      <w:start w:val="1"/>
      <w:numFmt w:val="bullet"/>
      <w:lvlText w:val="●"/>
      <w:lvlJc w:val="left"/>
      <w:pPr>
        <w:ind w:left="6480" w:hanging="360"/>
      </w:pPr>
    </w:lvl>
  </w:abstractNum>
  <w:abstractNum w:abstractNumId="2" w15:restartNumberingAfterBreak="0">
    <w:nsid w:val="194360DC"/>
    <w:multiLevelType w:val="hybridMultilevel"/>
    <w:tmpl w:val="51ACC69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32C5673A"/>
    <w:multiLevelType w:val="hybridMultilevel"/>
    <w:tmpl w:val="DC0434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343F1A79"/>
    <w:multiLevelType w:val="hybridMultilevel"/>
    <w:tmpl w:val="B1F6BF5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42AE4B01"/>
    <w:multiLevelType w:val="hybridMultilevel"/>
    <w:tmpl w:val="6A0481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9533551"/>
    <w:multiLevelType w:val="hybridMultilevel"/>
    <w:tmpl w:val="1F3CB6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4F955786"/>
    <w:multiLevelType w:val="hybridMultilevel"/>
    <w:tmpl w:val="0DC47B8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71B633F7"/>
    <w:multiLevelType w:val="hybridMultilevel"/>
    <w:tmpl w:val="91C0DE8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365205440">
    <w:abstractNumId w:val="1"/>
    <w:lvlOverride w:ilvl="0">
      <w:startOverride w:val="1"/>
    </w:lvlOverride>
  </w:num>
  <w:num w:numId="2" w16cid:durableId="1363283263">
    <w:abstractNumId w:val="0"/>
    <w:lvlOverride w:ilvl="0">
      <w:startOverride w:val="1"/>
    </w:lvlOverride>
  </w:num>
  <w:num w:numId="3" w16cid:durableId="1816214605">
    <w:abstractNumId w:val="2"/>
  </w:num>
  <w:num w:numId="4" w16cid:durableId="460348344">
    <w:abstractNumId w:val="8"/>
  </w:num>
  <w:num w:numId="5" w16cid:durableId="973098056">
    <w:abstractNumId w:val="4"/>
  </w:num>
  <w:num w:numId="6" w16cid:durableId="1798378581">
    <w:abstractNumId w:val="3"/>
  </w:num>
  <w:num w:numId="7" w16cid:durableId="1497842310">
    <w:abstractNumId w:val="7"/>
  </w:num>
  <w:num w:numId="8" w16cid:durableId="1725833252">
    <w:abstractNumId w:val="5"/>
  </w:num>
  <w:num w:numId="9" w16cid:durableId="466944962">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1D38"/>
    <w:rsid w:val="003D37C9"/>
    <w:rsid w:val="00673604"/>
    <w:rsid w:val="006B7C3E"/>
    <w:rsid w:val="00BB1D38"/>
    <w:rsid w:val="00D545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DDAF55C"/>
  <w15:docId w15:val="{17DD8A1E-CDB1-B64F-A581-37BBC88FE2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sz w:val="32"/>
      <w:szCs w:val="32"/>
    </w:rPr>
  </w:style>
  <w:style w:type="paragraph" w:styleId="Heading2">
    <w:name w:val="heading 2"/>
    <w:uiPriority w:val="9"/>
    <w:unhideWhenUsed/>
    <w:qFormat/>
    <w:pPr>
      <w:spacing w:before="280" w:after="8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17</Pages>
  <Words>6759</Words>
  <Characters>38532</Characters>
  <Application>Microsoft Office Word</Application>
  <DocSecurity>0</DocSecurity>
  <Lines>321</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Anumeha Rai</cp:lastModifiedBy>
  <cp:revision>2</cp:revision>
  <dcterms:created xsi:type="dcterms:W3CDTF">2026-06-27T22:44:00Z</dcterms:created>
  <dcterms:modified xsi:type="dcterms:W3CDTF">2026-06-28T06:25:00Z</dcterms:modified>
</cp:coreProperties>
</file>