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1B3F6B"/>
          <w:sz w:val="40"/>
          <w:szCs w:val="40"/>
        </w:rPr>
        <w:t xml:space="preserve">AHI Case Study — End-to-End Walkthrough</w:t>
      </w:r>
    </w:p>
    <w:p>
      <w:pPr>
        <w:spacing w:after="400" w:before="0"/>
      </w:pPr>
      <w:r>
        <w:rPr>
          <w:rFonts w:ascii="Arial" w:cs="Arial" w:eastAsia="Arial" w:hAnsi="Arial"/>
          <w:color w:val="666666"/>
          <w:sz w:val="22"/>
          <w:szCs w:val="22"/>
        </w:rPr>
        <w:t xml:space="preserve">Palo Alto Networks · Principal IT PM, Data Analytics · June 2026</w:t>
      </w:r>
    </w:p>
    <w:p>
      <w:pPr>
        <w:pBdr>
          <w:bottom w:val="single" w:color="CCCCCC" w:sz="6" w:space="1"/>
        </w:pBdr>
        <w:spacing w:after="200" w:before="200"/>
      </w:pPr>
    </w:p>
    <w:p>
      <w:pPr>
        <w:pStyle w:val="Heading1"/>
        <w:spacing w:after="200" w:before="400"/>
      </w:pPr>
      <w:r>
        <w:rPr>
          <w:rFonts w:ascii="Arial" w:cs="Arial" w:eastAsia="Arial" w:hAnsi="Arial"/>
          <w:b/>
          <w:bCs/>
          <w:sz w:val="32"/>
          <w:szCs w:val="32"/>
        </w:rPr>
        <w:t xml:space="preserve">Step 1 — Designed the metric (spec)</w:t>
      </w:r>
    </w:p>
    <w:p>
      <w:pPr>
        <w:spacing w:after="80" w:before="80"/>
      </w:pPr>
      <w:r>
        <w:rPr>
          <w:rFonts w:ascii="Arial" w:cs="Arial" w:eastAsia="Arial" w:hAnsi="Arial"/>
          <w:sz w:val="22"/>
          <w:szCs w:val="22"/>
        </w:rPr>
        <w:t xml:space="preserve">Before writing a single line of code, I wrote a 14-section product specification defining the Account Health Index — a composite score from 0 to 100 combining five signals: consumption, deployment, platform stability, contract expansion, and engagement trend. The spec defined the formula, weights, edge case handling, evaluation framework, and compensation translation. Spec came before code — that's the PM discipline.</w:t>
      </w:r>
    </w:p>
    <w:p>
      <w:pPr>
        <w:spacing w:after="80" w:before="120"/>
      </w:pPr>
      <w:r>
        <w:rPr>
          <w:rFonts w:ascii="Arial" w:cs="Arial" w:eastAsia="Arial" w:hAnsi="Arial"/>
          <w:b/>
          <w:bCs/>
          <w:i/>
          <w:iCs/>
          <w:sz w:val="22"/>
          <w:szCs w:val="22"/>
        </w:rPr>
        <w:t xml:space="preserve">Technology: </w:t>
      </w:r>
      <w:r>
        <w:rPr>
          <w:rFonts w:ascii="Arial" w:cs="Arial" w:eastAsia="Arial" w:hAnsi="Arial"/>
          <w:i/>
          <w:iCs/>
          <w:sz w:val="22"/>
          <w:szCs w:val="22"/>
        </w:rPr>
        <w:t xml:space="preserve">Markdown, Claude</w:t>
      </w:r>
    </w:p>
    <w:p>
      <w:pPr>
        <w:pBdr>
          <w:bottom w:val="single" w:color="CCCCCC" w:sz="6" w:space="1"/>
        </w:pBdr>
        <w:spacing w:after="200" w:before="200"/>
      </w:pPr>
    </w:p>
    <w:p>
      <w:pPr>
        <w:pStyle w:val="Heading1"/>
        <w:spacing w:after="200" w:before="400"/>
      </w:pPr>
      <w:r>
        <w:rPr>
          <w:rFonts w:ascii="Arial" w:cs="Arial" w:eastAsia="Arial" w:hAnsi="Arial"/>
          <w:b/>
          <w:bCs/>
          <w:sz w:val="32"/>
          <w:szCs w:val="32"/>
        </w:rPr>
        <w:t xml:space="preserve">Step 2 — Assumptions</w:t>
      </w:r>
    </w:p>
    <w:p>
      <w:pPr>
        <w:spacing w:after="80" w:before="80"/>
      </w:pPr>
      <w:r>
        <w:rPr>
          <w:rFonts w:ascii="Arial" w:cs="Arial" w:eastAsia="Arial" w:hAnsi="Arial"/>
          <w:sz w:val="22"/>
          <w:szCs w:val="22"/>
        </w:rPr>
        <w:t xml:space="preserve">Before generating data, I documented all assumptions explicitly. In production these would be validated against real PAN data during the 90-day shadow period.</w:t>
      </w:r>
    </w:p>
    <w:p>
      <w:pPr>
        <w:pStyle w:val="Heading2"/>
        <w:spacing w:after="160" w:before="300"/>
      </w:pPr>
      <w:r>
        <w:rPr>
          <w:rFonts w:ascii="Arial" w:cs="Arial" w:eastAsia="Arial" w:hAnsi="Arial"/>
          <w:b/>
          <w:bCs/>
          <w:sz w:val="26"/>
          <w:szCs w:val="26"/>
        </w:rPr>
        <w:t xml:space="preserve">Data assumptions</w:t>
      </w:r>
    </w:p>
    <w:p>
      <w:pPr>
        <w:pStyle w:val="ListParagraph"/>
        <w:numPr>
          <w:ilvl w:val="0"/>
          <w:numId w:val="2"/>
        </w:numPr>
        <w:spacing w:after="60" w:before="60"/>
      </w:pPr>
      <w:r>
        <w:rPr>
          <w:rFonts w:ascii="Arial" w:cs="Arial" w:eastAsia="Arial" w:hAnsi="Arial"/>
          <w:sz w:val="22"/>
          <w:szCs w:val="22"/>
        </w:rPr>
        <w:t xml:space="preserve">1,000 accounts chosen as a representative enterprise portfolio size</w:t>
      </w:r>
    </w:p>
    <w:p>
      <w:pPr>
        <w:pStyle w:val="ListParagraph"/>
        <w:numPr>
          <w:ilvl w:val="0"/>
          <w:numId w:val="2"/>
        </w:numPr>
        <w:spacing w:after="60" w:before="60"/>
      </w:pPr>
      <w:r>
        <w:rPr>
          <w:rFonts w:ascii="Arial" w:cs="Arial" w:eastAsia="Arial" w:hAnsi="Arial"/>
          <w:sz w:val="22"/>
          <w:szCs w:val="22"/>
        </w:rPr>
        <w:t xml:space="preserve">50 CSMs — roughly 20 accounts per CSM book</w:t>
      </w:r>
    </w:p>
    <w:p>
      <w:pPr>
        <w:pStyle w:val="ListParagraph"/>
        <w:numPr>
          <w:ilvl w:val="0"/>
          <w:numId w:val="2"/>
        </w:numPr>
        <w:spacing w:after="60" w:before="60"/>
      </w:pPr>
      <w:r>
        <w:rPr>
          <w:rFonts w:ascii="Arial" w:cs="Arial" w:eastAsia="Arial" w:hAnsi="Arial"/>
          <w:sz w:val="22"/>
          <w:szCs w:val="22"/>
        </w:rPr>
        <w:t xml:space="preserve">12-month measurement period — January through December 2025</w:t>
      </w:r>
    </w:p>
    <w:p>
      <w:pPr>
        <w:pStyle w:val="ListParagraph"/>
        <w:numPr>
          <w:ilvl w:val="0"/>
          <w:numId w:val="2"/>
        </w:numPr>
        <w:spacing w:after="60" w:before="60"/>
      </w:pPr>
      <w:r>
        <w:rPr>
          <w:rFonts w:ascii="Arial" w:cs="Arial" w:eastAsia="Arial" w:hAnsi="Arial"/>
          <w:sz w:val="22"/>
          <w:szCs w:val="22"/>
        </w:rPr>
        <w:t xml:space="preserve">Edge case prevalence rates chosen as realistic estimates, not pulled from real PAN data:</w:t>
      </w:r>
    </w:p>
    <w:p>
      <w:pPr>
        <w:pStyle w:val="ListParagraph"/>
        <w:numPr>
          <w:ilvl w:val="0"/>
          <w:numId w:val="3"/>
        </w:numPr>
        <w:spacing w:after="40" w:before="40"/>
      </w:pPr>
      <w:r>
        <w:rPr>
          <w:rFonts w:ascii="Arial" w:cs="Arial" w:eastAsia="Arial" w:hAnsi="Arial"/>
          <w:sz w:val="22"/>
          <w:szCs w:val="22"/>
        </w:rPr>
        <w:t xml:space="preserve">5% spike-and-drop accounts</w:t>
      </w:r>
    </w:p>
    <w:p>
      <w:pPr>
        <w:pStyle w:val="ListParagraph"/>
        <w:numPr>
          <w:ilvl w:val="0"/>
          <w:numId w:val="3"/>
        </w:numPr>
        <w:spacing w:after="40" w:before="40"/>
      </w:pPr>
      <w:r>
        <w:rPr>
          <w:rFonts w:ascii="Arial" w:cs="Arial" w:eastAsia="Arial" w:hAnsi="Arial"/>
          <w:sz w:val="22"/>
          <w:szCs w:val="22"/>
        </w:rPr>
        <w:t xml:space="preserve">10% shelfware accounts</w:t>
      </w:r>
    </w:p>
    <w:p>
      <w:pPr>
        <w:pStyle w:val="ListParagraph"/>
        <w:numPr>
          <w:ilvl w:val="0"/>
          <w:numId w:val="3"/>
        </w:numPr>
        <w:spacing w:after="40" w:before="40"/>
      </w:pPr>
      <w:r>
        <w:rPr>
          <w:rFonts w:ascii="Arial" w:cs="Arial" w:eastAsia="Arial" w:hAnsi="Arial"/>
          <w:sz w:val="22"/>
          <w:szCs w:val="22"/>
        </w:rPr>
        <w:t xml:space="preserve">15% consistent overage accounts</w:t>
      </w:r>
    </w:p>
    <w:p>
      <w:pPr>
        <w:pStyle w:val="ListParagraph"/>
        <w:numPr>
          <w:ilvl w:val="0"/>
          <w:numId w:val="3"/>
        </w:numPr>
        <w:spacing w:after="40" w:before="40"/>
      </w:pPr>
      <w:r>
        <w:rPr>
          <w:rFonts w:ascii="Arial" w:cs="Arial" w:eastAsia="Arial" w:hAnsi="Arial"/>
          <w:sz w:val="22"/>
          <w:szCs w:val="22"/>
        </w:rPr>
        <w:t xml:space="preserve">40 mid-year expansion accounts</w:t>
      </w:r>
    </w:p>
    <w:p>
      <w:pPr>
        <w:pStyle w:val="ListParagraph"/>
        <w:numPr>
          <w:ilvl w:val="0"/>
          <w:numId w:val="3"/>
        </w:numPr>
        <w:spacing w:after="40" w:before="40"/>
      </w:pPr>
      <w:r>
        <w:rPr>
          <w:rFonts w:ascii="Arial" w:cs="Arial" w:eastAsia="Arial" w:hAnsi="Arial"/>
          <w:sz w:val="22"/>
          <w:szCs w:val="22"/>
        </w:rPr>
        <w:t xml:space="preserve">300 orphaned and rogue usage rows</w:t>
      </w:r>
    </w:p>
    <w:p>
      <w:pPr>
        <w:pStyle w:val="ListParagraph"/>
        <w:numPr>
          <w:ilvl w:val="0"/>
          <w:numId w:val="2"/>
        </w:numPr>
        <w:spacing w:after="60" w:before="60"/>
      </w:pPr>
      <w:r>
        <w:rPr>
          <w:rFonts w:ascii="Arial" w:cs="Arial" w:eastAsia="Arial" w:hAnsi="Arial"/>
          <w:sz w:val="22"/>
          <w:szCs w:val="22"/>
        </w:rPr>
        <w:t xml:space="preserve">"High ARR" for shelfware defined as above portfolio median (~$2M+)</w:t>
      </w:r>
    </w:p>
    <w:p>
      <w:pPr>
        <w:pStyle w:val="ListParagraph"/>
        <w:numPr>
          <w:ilvl w:val="0"/>
          <w:numId w:val="2"/>
        </w:numPr>
        <w:spacing w:after="60" w:before="60"/>
      </w:pPr>
      <w:r>
        <w:rPr>
          <w:rFonts w:ascii="Arial" w:cs="Arial" w:eastAsia="Arial" w:hAnsi="Arial"/>
          <w:sz w:val="22"/>
          <w:szCs w:val="22"/>
        </w:rPr>
        <w:t xml:space="preserve">Spike-and-drop threshold: month one consuming 90%+ of annual credits then dropping to near-zero</w:t>
      </w:r>
    </w:p>
    <w:p>
      <w:pPr>
        <w:pStyle w:val="Heading2"/>
        <w:spacing w:after="160" w:before="300"/>
      </w:pPr>
      <w:r>
        <w:rPr>
          <w:rFonts w:ascii="Arial" w:cs="Arial" w:eastAsia="Arial" w:hAnsi="Arial"/>
          <w:b/>
          <w:bCs/>
          <w:sz w:val="26"/>
          <w:szCs w:val="26"/>
        </w:rPr>
        <w:t xml:space="preserve">Metric design assumptions</w:t>
      </w:r>
    </w:p>
    <w:p>
      <w:pPr>
        <w:pStyle w:val="ListParagraph"/>
        <w:numPr>
          <w:ilvl w:val="0"/>
          <w:numId w:val="2"/>
        </w:numPr>
        <w:spacing w:after="60" w:before="60"/>
      </w:pPr>
      <w:r>
        <w:rPr>
          <w:rFonts w:ascii="Arial" w:cs="Arial" w:eastAsia="Arial" w:hAnsi="Arial"/>
          <w:sz w:val="22"/>
          <w:szCs w:val="22"/>
        </w:rPr>
        <w:t xml:space="preserve">Healthy threshold set at AHI ≥ 80, grounded in PAN’s reported 120% NRR for platform customers from Q4 FY2025 and Q2 FY2026 earnings calls</w:t>
      </w:r>
    </w:p>
    <w:p>
      <w:pPr>
        <w:pStyle w:val="ListParagraph"/>
        <w:numPr>
          <w:ilvl w:val="0"/>
          <w:numId w:val="2"/>
        </w:numPr>
        <w:spacing w:after="60" w:before="60"/>
      </w:pPr>
      <w:r>
        <w:rPr>
          <w:rFonts w:ascii="Arial" w:cs="Arial" w:eastAsia="Arial" w:hAnsi="Arial"/>
          <w:sz w:val="22"/>
          <w:szCs w:val="22"/>
        </w:rPr>
        <w:t xml:space="preserve">Weights are v1 hypotheses — not statistically derived — to be recalibrated during the 90-day shadow period before comp is attached</w:t>
      </w:r>
    </w:p>
    <w:p>
      <w:pPr>
        <w:pStyle w:val="ListParagraph"/>
        <w:numPr>
          <w:ilvl w:val="0"/>
          <w:numId w:val="2"/>
        </w:numPr>
        <w:spacing w:after="60" w:before="60"/>
      </w:pPr>
      <w:r>
        <w:rPr>
          <w:rFonts w:ascii="Arial" w:cs="Arial" w:eastAsia="Arial" w:hAnsi="Arial"/>
          <w:sz w:val="22"/>
          <w:szCs w:val="22"/>
        </w:rPr>
        <w:t xml:space="preserve">Overage penalty threshold at 120% of committed credits</w:t>
      </w:r>
    </w:p>
    <w:p>
      <w:pPr>
        <w:pStyle w:val="ListParagraph"/>
        <w:numPr>
          <w:ilvl w:val="0"/>
          <w:numId w:val="2"/>
        </w:numPr>
        <w:spacing w:after="60" w:before="60"/>
      </w:pPr>
      <w:r>
        <w:rPr>
          <w:rFonts w:ascii="Arial" w:cs="Arial" w:eastAsia="Arial" w:hAnsi="Arial"/>
          <w:sz w:val="22"/>
          <w:szCs w:val="22"/>
        </w:rPr>
        <w:t xml:space="preserve">Overage penalty multiplier at 0.85×</w:t>
      </w:r>
    </w:p>
    <w:p>
      <w:pPr>
        <w:pStyle w:val="ListParagraph"/>
        <w:numPr>
          <w:ilvl w:val="0"/>
          <w:numId w:val="2"/>
        </w:numPr>
        <w:spacing w:after="60" w:before="60"/>
      </w:pPr>
      <w:r>
        <w:rPr>
          <w:rFonts w:ascii="Arial" w:cs="Arial" w:eastAsia="Arial" w:hAnsi="Arial"/>
          <w:sz w:val="22"/>
          <w:szCs w:val="22"/>
        </w:rPr>
        <w:t xml:space="preserve">Spike-and-drop trend score multiplier at 0.5× — not zero — to preserve directional signal</w:t>
      </w:r>
    </w:p>
    <w:p>
      <w:pPr>
        <w:pStyle w:val="ListParagraph"/>
        <w:numPr>
          <w:ilvl w:val="0"/>
          <w:numId w:val="2"/>
        </w:numPr>
        <w:spacing w:after="60" w:before="60"/>
      </w:pPr>
      <w:r>
        <w:rPr>
          <w:rFonts w:ascii="Arial" w:cs="Arial" w:eastAsia="Arial" w:hAnsi="Arial"/>
          <w:sz w:val="22"/>
          <w:szCs w:val="22"/>
        </w:rPr>
        <w:t xml:space="preserve">Platform Stability proxied by health color (Green/Yellow/Red) in synthetic data — in production would use support ticket data weighted by severity and age</w:t>
      </w:r>
    </w:p>
    <w:p>
      <w:pPr>
        <w:pStyle w:val="Heading2"/>
        <w:spacing w:after="160" w:before="300"/>
      </w:pPr>
      <w:r>
        <w:rPr>
          <w:rFonts w:ascii="Arial" w:cs="Arial" w:eastAsia="Arial" w:hAnsi="Arial"/>
          <w:b/>
          <w:bCs/>
          <w:sz w:val="26"/>
          <w:szCs w:val="26"/>
        </w:rPr>
        <w:t xml:space="preserve">Pipeline assumptions</w:t>
      </w:r>
    </w:p>
    <w:p>
      <w:pPr>
        <w:pStyle w:val="ListParagraph"/>
        <w:numPr>
          <w:ilvl w:val="0"/>
          <w:numId w:val="2"/>
        </w:numPr>
        <w:spacing w:after="60" w:before="60"/>
      </w:pPr>
      <w:r>
        <w:rPr>
          <w:rFonts w:ascii="Arial" w:cs="Arial" w:eastAsia="Arial" w:hAnsi="Arial"/>
          <w:sz w:val="22"/>
          <w:szCs w:val="22"/>
        </w:rPr>
        <w:t xml:space="preserve">Monthly calculation cadence — weekly cadence for Enterprise accounts could be considered in v2</w:t>
      </w:r>
    </w:p>
    <w:p>
      <w:pPr>
        <w:pStyle w:val="ListParagraph"/>
        <w:numPr>
          <w:ilvl w:val="0"/>
          <w:numId w:val="2"/>
        </w:numPr>
        <w:spacing w:after="60" w:before="60"/>
      </w:pPr>
      <w:r>
        <w:rPr>
          <w:rFonts w:ascii="Arial" w:cs="Arial" w:eastAsia="Arial" w:hAnsi="Arial"/>
          <w:sz w:val="22"/>
          <w:szCs w:val="22"/>
        </w:rPr>
        <w:t xml:space="preserve">ARR-weighted rollup to CSM level — larger accounts carry proportionally more weight on the CSM’s score</w:t>
      </w:r>
    </w:p>
    <w:p>
      <w:pPr>
        <w:pStyle w:val="ListParagraph"/>
        <w:numPr>
          <w:ilvl w:val="0"/>
          <w:numId w:val="2"/>
        </w:numPr>
        <w:spacing w:after="60" w:before="60"/>
      </w:pPr>
      <w:r>
        <w:rPr>
          <w:rFonts w:ascii="Arial" w:cs="Arial" w:eastAsia="Arial" w:hAnsi="Arial"/>
          <w:sz w:val="22"/>
          <w:szCs w:val="22"/>
        </w:rPr>
        <w:t xml:space="preserve">Isolation Forest contamination rate set at 5% — matches the seeded spike-and-drop prevalence in the dataset</w:t>
      </w:r>
    </w:p>
    <w:p>
      <w:pPr>
        <w:pBdr>
          <w:bottom w:val="single" w:color="CCCCCC" w:sz="6" w:space="1"/>
        </w:pBdr>
        <w:spacing w:after="200" w:before="200"/>
      </w:pPr>
    </w:p>
    <w:p>
      <w:pPr>
        <w:pStyle w:val="Heading1"/>
        <w:spacing w:after="200" w:before="400"/>
      </w:pPr>
      <w:r>
        <w:rPr>
          <w:rFonts w:ascii="Arial" w:cs="Arial" w:eastAsia="Arial" w:hAnsi="Arial"/>
          <w:b/>
          <w:bCs/>
          <w:sz w:val="32"/>
          <w:szCs w:val="32"/>
        </w:rPr>
        <w:t xml:space="preserve">Step 3 — Generated synthetic data (Python + Claude)</w:t>
      </w:r>
    </w:p>
    <w:p>
      <w:pPr>
        <w:spacing w:after="80" w:before="80"/>
      </w:pPr>
      <w:r>
        <w:rPr>
          <w:rFonts w:ascii="Arial" w:cs="Arial" w:eastAsia="Arial" w:hAnsi="Arial"/>
          <w:sz w:val="22"/>
          <w:szCs w:val="22"/>
        </w:rPr>
        <w:t xml:space="preserve">Since PAN’s real customer data isn’t available for a case study, I generated synthetic data — fake but realistic customer records that behave like real ones. PAN processes over 500,000 events daily across its customer base. The synthetic dataset mirrors that scale and complexity — 1,000 enterprise accounts, 50 CSMs, 1,200 contracts, and 214,000 daily usage events across a full 12-month period.</w:t>
      </w:r>
    </w:p>
    <w:p>
      <w:pPr>
        <w:spacing w:after="80" w:before="80"/>
      </w:pPr>
      <w:r>
        <w:rPr>
          <w:rFonts w:ascii="Arial" w:cs="Arial" w:eastAsia="Arial" w:hAnsi="Arial"/>
          <w:sz w:val="22"/>
          <w:szCs w:val="22"/>
        </w:rPr>
        <w:t xml:space="preserve">I used Claude as my AI coding partner to write a Python script that invented 1,000 fake companies with realistic names, assigned each one a CSM, created contracts with committed credit amounts, generated daily usage logs showing how much each account consumed each day, and created health records showing whether each account was in good or bad standing technically.</w:t>
      </w:r>
    </w:p>
    <w:p>
      <w:pPr>
        <w:pStyle w:val="Heading2"/>
        <w:spacing w:after="160" w:before="300"/>
      </w:pPr>
      <w:r>
        <w:rPr>
          <w:rFonts w:ascii="Arial" w:cs="Arial" w:eastAsia="Arial" w:hAnsi="Arial"/>
          <w:b/>
          <w:bCs/>
          <w:sz w:val="26"/>
          <w:szCs w:val="26"/>
        </w:rPr>
        <w:t xml:space="preserve">Why I planted deliberate edge cases</w:t>
      </w:r>
    </w:p>
    <w:p>
      <w:pPr>
        <w:spacing w:after="80" w:before="80"/>
      </w:pPr>
      <w:r>
        <w:rPr>
          <w:rFonts w:ascii="Arial" w:cs="Arial" w:eastAsia="Arial" w:hAnsi="Arial"/>
          <w:sz w:val="22"/>
          <w:szCs w:val="22"/>
        </w:rPr>
        <w:t xml:space="preserve">The brief specified five problem scenarios that any real customer portfolio contains and that any North Star metric must handle correctly. I deliberately planted each one at realistic rates:</w:t>
      </w:r>
    </w:p>
    <w:p>
      <w:pPr>
        <w:pStyle w:val="ListParagraph"/>
        <w:numPr>
          <w:ilvl w:val="0"/>
          <w:numId w:val="2"/>
        </w:numPr>
        <w:spacing w:after="60" w:before="60"/>
      </w:pPr>
      <w:r>
        <w:rPr>
          <w:rFonts w:ascii="Arial" w:cs="Arial" w:eastAsia="Arial" w:hAnsi="Arial"/>
          <w:sz w:val="22"/>
          <w:szCs w:val="22"/>
        </w:rPr>
        <w:t xml:space="preserve">5% spike-and-drop accounts — consumed 90%+ of annual credits in month one then went silent</w:t>
      </w:r>
    </w:p>
    <w:p>
      <w:pPr>
        <w:pStyle w:val="ListParagraph"/>
        <w:numPr>
          <w:ilvl w:val="0"/>
          <w:numId w:val="2"/>
        </w:numPr>
        <w:spacing w:after="60" w:before="60"/>
      </w:pPr>
      <w:r>
        <w:rPr>
          <w:rFonts w:ascii="Arial" w:cs="Arial" w:eastAsia="Arial" w:hAnsi="Arial"/>
          <w:sz w:val="22"/>
          <w:szCs w:val="22"/>
        </w:rPr>
        <w:t xml:space="preserve">10% shelfware accounts — signed large contracts but never used the product at all</w:t>
      </w:r>
    </w:p>
    <w:p>
      <w:pPr>
        <w:pStyle w:val="ListParagraph"/>
        <w:numPr>
          <w:ilvl w:val="0"/>
          <w:numId w:val="2"/>
        </w:numPr>
        <w:spacing w:after="60" w:before="60"/>
      </w:pPr>
      <w:r>
        <w:rPr>
          <w:rFonts w:ascii="Arial" w:cs="Arial" w:eastAsia="Arial" w:hAnsi="Arial"/>
          <w:sz w:val="22"/>
          <w:szCs w:val="22"/>
        </w:rPr>
        <w:t xml:space="preserve">15% consistent overage accounts — consistently consuming more than their committed credits</w:t>
      </w:r>
    </w:p>
    <w:p>
      <w:pPr>
        <w:pStyle w:val="ListParagraph"/>
        <w:numPr>
          <w:ilvl w:val="0"/>
          <w:numId w:val="2"/>
        </w:numPr>
        <w:spacing w:after="60" w:before="60"/>
      </w:pPr>
      <w:r>
        <w:rPr>
          <w:rFonts w:ascii="Arial" w:cs="Arial" w:eastAsia="Arial" w:hAnsi="Arial"/>
          <w:sz w:val="22"/>
          <w:szCs w:val="22"/>
        </w:rPr>
        <w:t xml:space="preserve">40 mid-year expansion accounts — upgraded their contract partway through the year</w:t>
      </w:r>
    </w:p>
    <w:p>
      <w:pPr>
        <w:pStyle w:val="ListParagraph"/>
        <w:numPr>
          <w:ilvl w:val="0"/>
          <w:numId w:val="2"/>
        </w:numPr>
        <w:spacing w:after="60" w:before="60"/>
      </w:pPr>
      <w:r>
        <w:rPr>
          <w:rFonts w:ascii="Arial" w:cs="Arial" w:eastAsia="Arial" w:hAnsi="Arial"/>
          <w:sz w:val="22"/>
          <w:szCs w:val="22"/>
        </w:rPr>
        <w:t xml:space="preserve">300 orphaned and rogue usage rows — usage logs with no matching customer or impossible dates</w:t>
      </w:r>
    </w:p>
    <w:p>
      <w:pPr>
        <w:pStyle w:val="Heading2"/>
        <w:spacing w:after="160" w:before="300"/>
      </w:pPr>
      <w:r>
        <w:rPr>
          <w:rFonts w:ascii="Arial" w:cs="Arial" w:eastAsia="Arial" w:hAnsi="Arial"/>
          <w:b/>
          <w:bCs/>
          <w:sz w:val="26"/>
          <w:szCs w:val="26"/>
        </w:rPr>
        <w:t xml:space="preserve">Why I co-designed the data with the metric</w:t>
      </w:r>
    </w:p>
    <w:p>
      <w:pPr>
        <w:spacing w:after="80" w:before="80"/>
      </w:pPr>
      <w:r>
        <w:rPr>
          <w:rFonts w:ascii="Arial" w:cs="Arial" w:eastAsia="Arial" w:hAnsi="Arial"/>
          <w:sz w:val="22"/>
          <w:szCs w:val="22"/>
        </w:rPr>
        <w:t xml:space="preserve">Most people build a metric first and test it against whatever data they have. The problem is you have no control over what’s in the data. I did the opposite — I designed the metric first, identified every scenario it needed to handle, then built a dataset containing exactly those scenarios at controlled rates.</w:t>
      </w:r>
    </w:p>
    <w:p>
      <w:pPr>
        <w:spacing w:after="80" w:before="80"/>
      </w:pPr>
      <w:r>
        <w:rPr>
          <w:rFonts w:ascii="Arial" w:cs="Arial" w:eastAsia="Arial" w:hAnsi="Arial"/>
          <w:sz w:val="22"/>
          <w:szCs w:val="22"/>
        </w:rPr>
        <w:t xml:space="preserve">For example: I needed 50 spike-and-drop accounts to verify the anomaly detection was working. I needed 100 shelfware accounts to verify Consumption and Deployment both scored near zero. After running the pipeline I could check every one of those accounts and confirm the metric handled them exactly as the spec said it should.</w:t>
      </w:r>
    </w:p>
    <w:p>
      <w:pPr>
        <w:spacing w:after="80" w:before="120"/>
      </w:pPr>
      <w:r>
        <w:rPr>
          <w:rFonts w:ascii="Arial" w:cs="Arial" w:eastAsia="Arial" w:hAnsi="Arial"/>
          <w:b/>
          <w:bCs/>
          <w:i/>
          <w:iCs/>
          <w:sz w:val="22"/>
          <w:szCs w:val="22"/>
        </w:rPr>
        <w:t xml:space="preserve">Technology: </w:t>
      </w:r>
      <w:r>
        <w:rPr>
          <w:rFonts w:ascii="Arial" w:cs="Arial" w:eastAsia="Arial" w:hAnsi="Arial"/>
          <w:i/>
          <w:iCs/>
          <w:sz w:val="22"/>
          <w:szCs w:val="22"/>
        </w:rPr>
        <w:t xml:space="preserve">Python, Claude</w:t>
      </w:r>
    </w:p>
    <w:p>
      <w:pPr>
        <w:pBdr>
          <w:bottom w:val="single" w:color="CCCCCC" w:sz="6" w:space="1"/>
        </w:pBdr>
        <w:spacing w:after="200" w:before="200"/>
      </w:pPr>
    </w:p>
    <w:p>
      <w:pPr>
        <w:pStyle w:val="Heading1"/>
        <w:spacing w:after="200" w:before="400"/>
      </w:pPr>
      <w:r>
        <w:rPr>
          <w:rFonts w:ascii="Arial" w:cs="Arial" w:eastAsia="Arial" w:hAnsi="Arial"/>
          <w:b/>
          <w:bCs/>
          <w:sz w:val="32"/>
          <w:szCs w:val="32"/>
        </w:rPr>
        <w:t xml:space="preserve">Step 4 — Loaded data into Google BigQuery</w:t>
      </w:r>
    </w:p>
    <w:p>
      <w:pPr>
        <w:spacing w:after="80" w:before="80"/>
      </w:pPr>
      <w:r>
        <w:rPr>
          <w:rFonts w:ascii="Arial" w:cs="Arial" w:eastAsia="Arial" w:hAnsi="Arial"/>
          <w:sz w:val="22"/>
          <w:szCs w:val="22"/>
        </w:rPr>
        <w:t xml:space="preserve">I used BigQuery’s free Sandbox tier to create a project called pan-ahi-casestudy and a dataset called ahi_case_study. I uploaded all five CSV files as tables with manually defined schemas and verified row counts — 1,000 accounts, 50 CSMs, 1,200 contracts, 50,000 health records, 214,000 usage logs.</w:t>
      </w:r>
    </w:p>
    <w:p>
      <w:pPr>
        <w:spacing w:after="80" w:before="120"/>
      </w:pPr>
      <w:r>
        <w:rPr>
          <w:rFonts w:ascii="Arial" w:cs="Arial" w:eastAsia="Arial" w:hAnsi="Arial"/>
          <w:b/>
          <w:bCs/>
          <w:i/>
          <w:iCs/>
          <w:sz w:val="22"/>
          <w:szCs w:val="22"/>
        </w:rPr>
        <w:t xml:space="preserve">Technology: </w:t>
      </w:r>
      <w:r>
        <w:rPr>
          <w:rFonts w:ascii="Arial" w:cs="Arial" w:eastAsia="Arial" w:hAnsi="Arial"/>
          <w:i/>
          <w:iCs/>
          <w:sz w:val="22"/>
          <w:szCs w:val="22"/>
        </w:rPr>
        <w:t xml:space="preserve">Google BigQuery Sandbox</w:t>
      </w:r>
    </w:p>
    <w:p>
      <w:pPr>
        <w:pBdr>
          <w:bottom w:val="single" w:color="CCCCCC" w:sz="6" w:space="1"/>
        </w:pBdr>
        <w:spacing w:after="200" w:before="200"/>
      </w:pPr>
    </w:p>
    <w:p>
      <w:pPr>
        <w:pStyle w:val="Heading1"/>
        <w:spacing w:after="200" w:before="400"/>
      </w:pPr>
      <w:r>
        <w:rPr>
          <w:rFonts w:ascii="Arial" w:cs="Arial" w:eastAsia="Arial" w:hAnsi="Arial"/>
          <w:b/>
          <w:bCs/>
          <w:sz w:val="32"/>
          <w:szCs w:val="32"/>
        </w:rPr>
        <w:t xml:space="preserve">Step 5 — Ran automated data quality tests</w:t>
      </w:r>
    </w:p>
    <w:p>
      <w:pPr>
        <w:spacing w:after="80" w:before="80"/>
      </w:pPr>
      <w:r>
        <w:rPr>
          <w:rFonts w:ascii="Arial" w:cs="Arial" w:eastAsia="Arial" w:hAnsi="Arial"/>
          <w:sz w:val="22"/>
          <w:szCs w:val="22"/>
        </w:rPr>
        <w:t xml:space="preserve">Before any AHI scores are calculated, six SQL assertions run against the live BigQuery tables. Any failure halts the pipeline before bad data reaches the metric.</w:t>
      </w:r>
    </w:p>
    <w:p>
      <w:pPr>
        <w:spacing w:after="120" w:before="200"/>
      </w:pPr>
      <w:r>
        <w:rPr>
          <w:rFonts w:ascii="Arial" w:cs="Arial" w:eastAsia="Arial" w:hAnsi="Arial"/>
          <w:b/>
          <w:bCs/>
          <w:sz w:val="24"/>
          <w:szCs w:val="24"/>
        </w:rPr>
        <w:t xml:space="preserve">Test 1 — Orphaned Usage Check</w:t>
      </w:r>
    </w:p>
    <w:p>
      <w:pPr>
        <w:spacing w:after="80" w:before="80"/>
      </w:pPr>
      <w:r>
        <w:rPr>
          <w:rFonts w:ascii="Arial" w:cs="Arial" w:eastAsia="Arial" w:hAnsi="Arial"/>
          <w:sz w:val="22"/>
          <w:szCs w:val="22"/>
        </w:rPr>
        <w:t xml:space="preserve">Are there usage logs referencing a customer that doesn’t exist in the Accounts table? Caught 150 deliberately seeded GHOST_ accounts — zero unexpected orphans.</w:t>
      </w:r>
    </w:p>
    <w:p>
      <w:pPr>
        <w:spacing w:after="120" w:before="200"/>
      </w:pPr>
      <w:r>
        <w:rPr>
          <w:rFonts w:ascii="Arial" w:cs="Arial" w:eastAsia="Arial" w:hAnsi="Arial"/>
          <w:b/>
          <w:bCs/>
          <w:sz w:val="24"/>
          <w:szCs w:val="24"/>
        </w:rPr>
        <w:t xml:space="preserve">Test 2 — Overlapping Contracts Check</w:t>
      </w:r>
    </w:p>
    <w:p>
      <w:pPr>
        <w:spacing w:after="80" w:before="80"/>
      </w:pPr>
      <w:r>
        <w:rPr>
          <w:rFonts w:ascii="Arial" w:cs="Arial" w:eastAsia="Arial" w:hAnsi="Arial"/>
          <w:sz w:val="22"/>
          <w:szCs w:val="22"/>
        </w:rPr>
        <w:t xml:space="preserve">Do any accounts have multiple active contracts where the second is not a legitimate expansion? Returned zero rows — all 40 overlaps are verified mid-year expansions.</w:t>
      </w:r>
    </w:p>
    <w:p>
      <w:pPr>
        <w:spacing w:after="120" w:before="200"/>
      </w:pPr>
      <w:r>
        <w:rPr>
          <w:rFonts w:ascii="Arial" w:cs="Arial" w:eastAsia="Arial" w:hAnsi="Arial"/>
          <w:b/>
          <w:bCs/>
          <w:sz w:val="24"/>
          <w:szCs w:val="24"/>
        </w:rPr>
        <w:t xml:space="preserve">Test 3 — Negative Consumption Check</w:t>
      </w:r>
    </w:p>
    <w:p>
      <w:pPr>
        <w:spacing w:after="80" w:before="80"/>
      </w:pPr>
      <w:r>
        <w:rPr>
          <w:rFonts w:ascii="Arial" w:cs="Arial" w:eastAsia="Arial" w:hAnsi="Arial"/>
          <w:sz w:val="22"/>
          <w:szCs w:val="22"/>
        </w:rPr>
        <w:t xml:space="preserve">Are there any negative compute credit values? Returned zero rows.</w:t>
      </w:r>
    </w:p>
    <w:p>
      <w:pPr>
        <w:spacing w:after="120" w:before="200"/>
      </w:pPr>
      <w:r>
        <w:rPr>
          <w:rFonts w:ascii="Arial" w:cs="Arial" w:eastAsia="Arial" w:hAnsi="Arial"/>
          <w:b/>
          <w:bCs/>
          <w:sz w:val="24"/>
          <w:szCs w:val="24"/>
        </w:rPr>
        <w:t xml:space="preserve">Test 4 — Future Usage Check</w:t>
      </w:r>
    </w:p>
    <w:p>
      <w:pPr>
        <w:spacing w:after="80" w:before="80"/>
      </w:pPr>
      <w:r>
        <w:rPr>
          <w:rFonts w:ascii="Arial" w:cs="Arial" w:eastAsia="Arial" w:hAnsi="Arial"/>
          <w:sz w:val="22"/>
          <w:szCs w:val="22"/>
        </w:rPr>
        <w:t xml:space="preserve">Are there usage logs dated beyond December 31 2025? Caught 150 deliberately seeded rogue-date rows with 2026 dates.</w:t>
      </w:r>
    </w:p>
    <w:p>
      <w:pPr>
        <w:spacing w:after="120" w:before="200"/>
      </w:pPr>
      <w:r>
        <w:rPr>
          <w:rFonts w:ascii="Arial" w:cs="Arial" w:eastAsia="Arial" w:hAnsi="Arial"/>
          <w:b/>
          <w:bCs/>
          <w:sz w:val="24"/>
          <w:szCs w:val="24"/>
        </w:rPr>
        <w:t xml:space="preserve">Test 5 — Contract Date Usage Check</w:t>
      </w:r>
    </w:p>
    <w:p>
      <w:pPr>
        <w:spacing w:after="80" w:before="80"/>
      </w:pPr>
      <w:r>
        <w:rPr>
          <w:rFonts w:ascii="Arial" w:cs="Arial" w:eastAsia="Arial" w:hAnsi="Arial"/>
          <w:sz w:val="22"/>
          <w:szCs w:val="22"/>
        </w:rPr>
        <w:t xml:space="preserve">Is any usage log outside the account’s active contract period? Caught the same 150 ghost accounts with no matching contract.</w:t>
      </w:r>
    </w:p>
    <w:p>
      <w:pPr>
        <w:spacing w:after="120" w:before="200"/>
      </w:pPr>
      <w:r>
        <w:rPr>
          <w:rFonts w:ascii="Arial" w:cs="Arial" w:eastAsia="Arial" w:hAnsi="Arial"/>
          <w:b/>
          <w:bCs/>
          <w:sz w:val="24"/>
          <w:szCs w:val="24"/>
        </w:rPr>
        <w:t xml:space="preserve">Test 6 — NULL Account ID Check</w:t>
      </w:r>
    </w:p>
    <w:p>
      <w:pPr>
        <w:spacing w:after="80" w:before="80"/>
      </w:pPr>
      <w:r>
        <w:rPr>
          <w:rFonts w:ascii="Arial" w:cs="Arial" w:eastAsia="Arial" w:hAnsi="Arial"/>
          <w:sz w:val="22"/>
          <w:szCs w:val="22"/>
        </w:rPr>
        <w:t xml:space="preserve">Are there NULL account IDs in any table? Returned zero rows — every row in every table has a valid account ID.</w:t>
      </w:r>
    </w:p>
    <w:p>
      <w:pPr>
        <w:spacing w:after="80" w:before="80"/>
      </w:pPr>
      <w:r>
        <w:rPr>
          <w:rFonts w:ascii="Arial" w:cs="Arial" w:eastAsia="Arial" w:hAnsi="Arial"/>
          <w:sz w:val="22"/>
          <w:szCs w:val="22"/>
        </w:rPr>
        <w:t xml:space="preserve">Result: three tests returned zero rows, three flagged exactly the 450 deliberately seeded edge case rows. Pipeline status: safe to run.</w:t>
      </w:r>
    </w:p>
    <w:p>
      <w:pPr>
        <w:spacing w:after="80" w:before="120"/>
      </w:pPr>
      <w:r>
        <w:rPr>
          <w:rFonts w:ascii="Arial" w:cs="Arial" w:eastAsia="Arial" w:hAnsi="Arial"/>
          <w:b/>
          <w:bCs/>
          <w:i/>
          <w:iCs/>
          <w:sz w:val="22"/>
          <w:szCs w:val="22"/>
        </w:rPr>
        <w:t xml:space="preserve">Technology: </w:t>
      </w:r>
      <w:r>
        <w:rPr>
          <w:rFonts w:ascii="Arial" w:cs="Arial" w:eastAsia="Arial" w:hAnsi="Arial"/>
          <w:i/>
          <w:iCs/>
          <w:sz w:val="22"/>
          <w:szCs w:val="22"/>
        </w:rPr>
        <w:t xml:space="preserve">BigQuery SQL, Python</w:t>
      </w:r>
    </w:p>
    <w:p>
      <w:pPr>
        <w:pBdr>
          <w:bottom w:val="single" w:color="CCCCCC" w:sz="6" w:space="1"/>
        </w:pBdr>
        <w:spacing w:after="200" w:before="200"/>
      </w:pPr>
    </w:p>
    <w:p>
      <w:pPr>
        <w:pStyle w:val="Heading1"/>
        <w:spacing w:after="200" w:before="400"/>
      </w:pPr>
      <w:r>
        <w:rPr>
          <w:rFonts w:ascii="Arial" w:cs="Arial" w:eastAsia="Arial" w:hAnsi="Arial"/>
          <w:b/>
          <w:bCs/>
          <w:sz w:val="32"/>
          <w:szCs w:val="32"/>
        </w:rPr>
        <w:t xml:space="preserve">Step 6 — Built the AHI SQL pipeline in BigQuery</w:t>
      </w:r>
    </w:p>
    <w:p>
      <w:pPr>
        <w:spacing w:after="80" w:before="80"/>
      </w:pPr>
      <w:r>
        <w:rPr>
          <w:rFonts w:ascii="Arial" w:cs="Arial" w:eastAsia="Arial" w:hAnsi="Arial"/>
          <w:sz w:val="22"/>
          <w:szCs w:val="22"/>
        </w:rPr>
        <w:t xml:space="preserve">A six-step SQL pipeline that reads from the five source tables and produces two output tables — one at account level, one at CSM level.</w:t>
      </w:r>
    </w:p>
    <w:p>
      <w:pPr>
        <w:pStyle w:val="Heading2"/>
        <w:spacing w:after="160" w:before="300"/>
      </w:pPr>
      <w:r>
        <w:rPr>
          <w:rFonts w:ascii="Arial" w:cs="Arial" w:eastAsia="Arial" w:hAnsi="Arial"/>
          <w:b/>
          <w:bCs/>
          <w:sz w:val="26"/>
          <w:szCs w:val="26"/>
        </w:rPr>
        <w:t xml:space="preserve">Step 1 — Clean the contract data</w:t>
      </w:r>
    </w:p>
    <w:p>
      <w:pPr>
        <w:spacing w:after="80" w:before="80"/>
      </w:pPr>
      <w:r>
        <w:rPr>
          <w:rFonts w:ascii="Arial" w:cs="Arial" w:eastAsia="Arial" w:hAnsi="Arial"/>
          <w:sz w:val="22"/>
          <w:szCs w:val="22"/>
        </w:rPr>
        <w:t xml:space="preserve">Determines the correct committed monthly credits for each account for each month — using the original credits before expansion and the expanded credits after.</w:t>
      </w:r>
    </w:p>
    <w:p>
      <w:pPr>
        <w:spacing w:after="80" w:before="80"/>
      </w:pPr>
      <w:r>
        <w:rPr>
          <w:rFonts w:ascii="Arial" w:cs="Arial" w:eastAsia="Arial" w:hAnsi="Arial"/>
          <w:sz w:val="22"/>
          <w:szCs w:val="22"/>
        </w:rPr>
        <w:t xml:space="preserve">Output: one row per account per month with the correct committed credits denominator.</w:t>
      </w:r>
    </w:p>
    <w:p>
      <w:pPr>
        <w:pStyle w:val="Heading2"/>
        <w:spacing w:after="160" w:before="300"/>
      </w:pPr>
      <w:r>
        <w:rPr>
          <w:rFonts w:ascii="Arial" w:cs="Arial" w:eastAsia="Arial" w:hAnsi="Arial"/>
          <w:b/>
          <w:bCs/>
          <w:sz w:val="26"/>
          <w:szCs w:val="26"/>
        </w:rPr>
        <w:t xml:space="preserve">Step 2 — Aggregate daily usage to monthly</w:t>
      </w:r>
    </w:p>
    <w:p>
      <w:pPr>
        <w:spacing w:after="80" w:before="80"/>
      </w:pPr>
      <w:r>
        <w:rPr>
          <w:rFonts w:ascii="Arial" w:cs="Arial" w:eastAsia="Arial" w:hAnsi="Arial"/>
          <w:sz w:val="22"/>
          <w:szCs w:val="22"/>
        </w:rPr>
        <w:t xml:space="preserve">Aggregates 214,000 daily usage rows to monthly level per account, excluding the 300 orphaned and rogue rows identified by the DQ tests.</w:t>
      </w:r>
    </w:p>
    <w:p>
      <w:pPr>
        <w:spacing w:after="80" w:before="80"/>
      </w:pPr>
      <w:r>
        <w:rPr>
          <w:rFonts w:ascii="Arial" w:cs="Arial" w:eastAsia="Arial" w:hAnsi="Arial"/>
          <w:sz w:val="22"/>
          <w:szCs w:val="22"/>
        </w:rPr>
        <w:t xml:space="preserve">Output: one row per account per month with total credits consumed and active days.</w:t>
      </w:r>
    </w:p>
    <w:p>
      <w:pPr>
        <w:pStyle w:val="Heading2"/>
        <w:spacing w:after="160" w:before="300"/>
      </w:pPr>
      <w:r>
        <w:rPr>
          <w:rFonts w:ascii="Arial" w:cs="Arial" w:eastAsia="Arial" w:hAnsi="Arial"/>
          <w:b/>
          <w:bCs/>
          <w:sz w:val="26"/>
          <w:szCs w:val="26"/>
        </w:rPr>
        <w:t xml:space="preserve">Step 3 — Calculate engagement trend</w:t>
      </w:r>
    </w:p>
    <w:p>
      <w:pPr>
        <w:spacing w:after="80" w:before="80"/>
      </w:pPr>
      <w:r>
        <w:rPr>
          <w:rFonts w:ascii="Arial" w:cs="Arial" w:eastAsia="Arial" w:hAnsi="Arial"/>
          <w:sz w:val="22"/>
          <w:szCs w:val="22"/>
        </w:rPr>
        <w:t xml:space="preserve">Calculates a linear regression slope across each account’s 12 months of usage data and converts it to a score from 0 to 100. Isolation Forest anomaly detection flags spike-and-drop accounts, whose trend score is multiplied by 0.5.</w:t>
      </w:r>
    </w:p>
    <w:p>
      <w:pPr>
        <w:spacing w:after="80" w:before="80"/>
      </w:pPr>
      <w:r>
        <w:rPr>
          <w:rFonts w:ascii="Arial" w:cs="Arial" w:eastAsia="Arial" w:hAnsi="Arial"/>
          <w:sz w:val="22"/>
          <w:szCs w:val="22"/>
        </w:rPr>
        <w:t xml:space="preserve">Output: one row per account with a trend score and anomaly flag.</w:t>
      </w:r>
    </w:p>
    <w:p>
      <w:pPr>
        <w:pStyle w:val="Heading2"/>
        <w:spacing w:after="160" w:before="300"/>
      </w:pPr>
      <w:r>
        <w:rPr>
          <w:rFonts w:ascii="Arial" w:cs="Arial" w:eastAsia="Arial" w:hAnsi="Arial"/>
          <w:b/>
          <w:bCs/>
          <w:sz w:val="26"/>
          <w:szCs w:val="26"/>
        </w:rPr>
        <w:t xml:space="preserve">Step 4 — Score all five AHI dimensions</w:t>
      </w:r>
    </w:p>
    <w:p>
      <w:pPr>
        <w:spacing w:after="80" w:before="80"/>
      </w:pPr>
      <w:r>
        <w:rPr>
          <w:rFonts w:ascii="Arial" w:cs="Arial" w:eastAsia="Arial" w:hAnsi="Arial"/>
          <w:sz w:val="22"/>
          <w:szCs w:val="22"/>
        </w:rPr>
        <w:t xml:space="preserve">Calculates a score from 0 to 100 for each dimension:</w:t>
      </w:r>
    </w:p>
    <w:p>
      <w:pPr>
        <w:pStyle w:val="ListParagraph"/>
        <w:numPr>
          <w:ilvl w:val="0"/>
          <w:numId w:val="2"/>
        </w:numPr>
        <w:spacing w:after="60" w:before="60"/>
      </w:pPr>
      <w:r>
        <w:rPr>
          <w:rFonts w:ascii="Arial" w:cs="Arial" w:eastAsia="Arial" w:hAnsi="Arial"/>
          <w:sz w:val="22"/>
          <w:szCs w:val="22"/>
        </w:rPr>
        <w:t xml:space="preserve">Consumption Health: actual credits ÷ committed credits, capped at 110%, penalized if over 120%</w:t>
      </w:r>
    </w:p>
    <w:p>
      <w:pPr>
        <w:pStyle w:val="ListParagraph"/>
        <w:numPr>
          <w:ilvl w:val="0"/>
          <w:numId w:val="2"/>
        </w:numPr>
        <w:spacing w:after="60" w:before="60"/>
      </w:pPr>
      <w:r>
        <w:rPr>
          <w:rFonts w:ascii="Arial" w:cs="Arial" w:eastAsia="Arial" w:hAnsi="Arial"/>
          <w:sz w:val="22"/>
          <w:szCs w:val="22"/>
        </w:rPr>
        <w:t xml:space="preserve">Deployment Depth: active days ÷ days in month</w:t>
      </w:r>
    </w:p>
    <w:p>
      <w:pPr>
        <w:pStyle w:val="ListParagraph"/>
        <w:numPr>
          <w:ilvl w:val="0"/>
          <w:numId w:val="2"/>
        </w:numPr>
        <w:spacing w:after="60" w:before="60"/>
      </w:pPr>
      <w:r>
        <w:rPr>
          <w:rFonts w:ascii="Arial" w:cs="Arial" w:eastAsia="Arial" w:hAnsi="Arial"/>
          <w:sz w:val="22"/>
          <w:szCs w:val="22"/>
        </w:rPr>
        <w:t xml:space="preserve">Platform Stability: Green health days score 100, Yellow 60, Red 20 — averaged across the month</w:t>
      </w:r>
    </w:p>
    <w:p>
      <w:pPr>
        <w:pStyle w:val="ListParagraph"/>
        <w:numPr>
          <w:ilvl w:val="0"/>
          <w:numId w:val="2"/>
        </w:numPr>
        <w:spacing w:after="60" w:before="60"/>
      </w:pPr>
      <w:r>
        <w:rPr>
          <w:rFonts w:ascii="Arial" w:cs="Arial" w:eastAsia="Arial" w:hAnsi="Arial"/>
          <w:sz w:val="22"/>
          <w:szCs w:val="22"/>
        </w:rPr>
        <w:t xml:space="preserve">Contract Expansion: current ARR ÷ original ARR</w:t>
      </w:r>
    </w:p>
    <w:p>
      <w:pPr>
        <w:pStyle w:val="ListParagraph"/>
        <w:numPr>
          <w:ilvl w:val="0"/>
          <w:numId w:val="2"/>
        </w:numPr>
        <w:spacing w:after="60" w:before="60"/>
      </w:pPr>
      <w:r>
        <w:rPr>
          <w:rFonts w:ascii="Arial" w:cs="Arial" w:eastAsia="Arial" w:hAnsi="Arial"/>
          <w:sz w:val="22"/>
          <w:szCs w:val="22"/>
        </w:rPr>
        <w:t xml:space="preserve">Engagement Trend: slope score from Step 3 with anomaly multiplier applied</w:t>
      </w:r>
    </w:p>
    <w:p>
      <w:pPr>
        <w:spacing w:after="80" w:before="80"/>
      </w:pPr>
      <w:r>
        <w:rPr>
          <w:rFonts w:ascii="Arial" w:cs="Arial" w:eastAsia="Arial" w:hAnsi="Arial"/>
          <w:sz w:val="22"/>
          <w:szCs w:val="22"/>
        </w:rPr>
        <w:t xml:space="preserve">Output: five dimension scores per account per month.</w:t>
      </w:r>
    </w:p>
    <w:p>
      <w:pPr>
        <w:pStyle w:val="Heading2"/>
        <w:spacing w:after="160" w:before="300"/>
      </w:pPr>
      <w:r>
        <w:rPr>
          <w:rFonts w:ascii="Arial" w:cs="Arial" w:eastAsia="Arial" w:hAnsi="Arial"/>
          <w:b/>
          <w:bCs/>
          <w:sz w:val="26"/>
          <w:szCs w:val="26"/>
        </w:rPr>
        <w:t xml:space="preserve">Step 5 — Calculate composite AHI score</w:t>
      </w:r>
    </w:p>
    <w:p>
      <w:pPr>
        <w:spacing w:after="80" w:before="80"/>
      </w:pPr>
      <w:r>
        <w:rPr>
          <w:rFonts w:ascii="Arial" w:cs="Arial" w:eastAsia="Arial" w:hAnsi="Arial"/>
          <w:sz w:val="22"/>
          <w:szCs w:val="22"/>
        </w:rPr>
        <w:t xml:space="preserve">Combines the five dimension scores using the weighted formula:</w:t>
      </w:r>
    </w:p>
    <w:p>
      <w:pPr>
        <w:spacing w:after="120" w:before="120"/>
        <w:ind w:left="720"/>
      </w:pPr>
      <w:r>
        <w:rPr>
          <w:rFonts w:ascii="Courier New" w:cs="Courier New" w:eastAsia="Courier New" w:hAnsi="Courier New"/>
          <w:sz w:val="22"/>
          <w:szCs w:val="22"/>
        </w:rPr>
        <w:t xml:space="preserve">AHI = (Consumption × 0.25) + (Deployment × 0.25) + (Stability × 0.20) + (Expansion × 0.15) + (Trend × 0.15)</w:t>
      </w:r>
    </w:p>
    <w:p>
      <w:pPr>
        <w:spacing w:after="80" w:before="80"/>
      </w:pPr>
      <w:r>
        <w:rPr>
          <w:rFonts w:ascii="Arial" w:cs="Arial" w:eastAsia="Arial" w:hAnsi="Arial"/>
          <w:sz w:val="22"/>
          <w:szCs w:val="22"/>
        </w:rPr>
        <w:t xml:space="preserve">Assigns a health status label — Healthy, Monitor, At Risk, Critical, or Churning.</w:t>
      </w:r>
    </w:p>
    <w:p>
      <w:pPr>
        <w:spacing w:after="80" w:before="80"/>
      </w:pPr>
      <w:r>
        <w:rPr>
          <w:rFonts w:ascii="Arial" w:cs="Arial" w:eastAsia="Arial" w:hAnsi="Arial"/>
          <w:sz w:val="22"/>
          <w:szCs w:val="22"/>
        </w:rPr>
        <w:t xml:space="preserve">Output: account_ahi_monthly — 12,000 rows, one per account per month.</w:t>
      </w:r>
    </w:p>
    <w:p>
      <w:pPr>
        <w:pStyle w:val="Heading2"/>
        <w:spacing w:after="160" w:before="300"/>
      </w:pPr>
      <w:r>
        <w:rPr>
          <w:rFonts w:ascii="Arial" w:cs="Arial" w:eastAsia="Arial" w:hAnsi="Arial"/>
          <w:b/>
          <w:bCs/>
          <w:sz w:val="26"/>
          <w:szCs w:val="26"/>
        </w:rPr>
        <w:t xml:space="preserve">Step 6 — Roll up to CSM level</w:t>
      </w:r>
    </w:p>
    <w:p>
      <w:pPr>
        <w:spacing w:after="80" w:before="80"/>
      </w:pPr>
      <w:r>
        <w:rPr>
          <w:rFonts w:ascii="Arial" w:cs="Arial" w:eastAsia="Arial" w:hAnsi="Arial"/>
          <w:sz w:val="22"/>
          <w:szCs w:val="22"/>
        </w:rPr>
        <w:t xml:space="preserve">Calculates one AHI score per CSM per month using an ARR-weighted average. Also produces accounts at risk, ARR at risk, upsell opportunities, and anomaly account counts per CSM.</w:t>
      </w:r>
    </w:p>
    <w:p>
      <w:pPr>
        <w:spacing w:after="80" w:before="80"/>
      </w:pPr>
      <w:r>
        <w:rPr>
          <w:rFonts w:ascii="Arial" w:cs="Arial" w:eastAsia="Arial" w:hAnsi="Arial"/>
          <w:sz w:val="22"/>
          <w:szCs w:val="22"/>
        </w:rPr>
        <w:t xml:space="preserve">Output: csm_ahi_monthly — 600 rows, one per CSM per month.</w:t>
      </w:r>
    </w:p>
    <w:p>
      <w:pPr>
        <w:spacing w:after="80" w:before="120"/>
      </w:pPr>
      <w:r>
        <w:rPr>
          <w:rFonts w:ascii="Arial" w:cs="Arial" w:eastAsia="Arial" w:hAnsi="Arial"/>
          <w:b/>
          <w:bCs/>
          <w:i/>
          <w:iCs/>
          <w:sz w:val="22"/>
          <w:szCs w:val="22"/>
        </w:rPr>
        <w:t xml:space="preserve">Technology: </w:t>
      </w:r>
      <w:r>
        <w:rPr>
          <w:rFonts w:ascii="Arial" w:cs="Arial" w:eastAsia="Arial" w:hAnsi="Arial"/>
          <w:i/>
          <w:iCs/>
          <w:sz w:val="22"/>
          <w:szCs w:val="22"/>
        </w:rPr>
        <w:t xml:space="preserve">BigQuery SQL, Isolation Forest</w:t>
      </w:r>
    </w:p>
    <w:p>
      <w:pPr>
        <w:pBdr>
          <w:bottom w:val="single" w:color="CCCCCC" w:sz="6" w:space="1"/>
        </w:pBdr>
        <w:spacing w:after="200" w:before="200"/>
      </w:pPr>
    </w:p>
    <w:p>
      <w:pPr>
        <w:pStyle w:val="Heading1"/>
        <w:spacing w:after="200" w:before="400"/>
      </w:pPr>
      <w:r>
        <w:rPr>
          <w:rFonts w:ascii="Arial" w:cs="Arial" w:eastAsia="Arial" w:hAnsi="Arial"/>
          <w:b/>
          <w:bCs/>
          <w:sz w:val="32"/>
          <w:szCs w:val="32"/>
        </w:rPr>
        <w:t xml:space="preserve">Step 7 — Built a live dashboard connected to BigQuery</w:t>
      </w:r>
    </w:p>
    <w:p>
      <w:pPr>
        <w:spacing w:after="80" w:before="80"/>
      </w:pPr>
      <w:r>
        <w:rPr>
          <w:rFonts w:ascii="Arial" w:cs="Arial" w:eastAsia="Arial" w:hAnsi="Arial"/>
          <w:sz w:val="22"/>
          <w:szCs w:val="22"/>
        </w:rPr>
        <w:t xml:space="preserve">A single-page web dashboard with three views:</w:t>
      </w:r>
    </w:p>
    <w:p>
      <w:pPr>
        <w:pStyle w:val="ListParagraph"/>
        <w:numPr>
          <w:ilvl w:val="0"/>
          <w:numId w:val="2"/>
        </w:numPr>
        <w:spacing w:after="60" w:before="60"/>
      </w:pPr>
      <w:r>
        <w:rPr>
          <w:rFonts w:ascii="Arial" w:cs="Arial" w:eastAsia="Arial" w:hAnsi="Arial"/>
          <w:sz w:val="22"/>
          <w:szCs w:val="22"/>
        </w:rPr>
        <w:t xml:space="preserve">Executive view — portfolio AHI, ARR at risk, health status distribution chart, AHI by region chart, regional summary table. Built for the VP CS audience — answers "how healthy is the portfolio?"</w:t>
      </w:r>
    </w:p>
    <w:p>
      <w:pPr>
        <w:pStyle w:val="ListParagraph"/>
        <w:numPr>
          <w:ilvl w:val="0"/>
          <w:numId w:val="2"/>
        </w:numPr>
        <w:spacing w:after="60" w:before="60"/>
      </w:pPr>
      <w:r>
        <w:rPr>
          <w:rFonts w:ascii="Arial" w:cs="Arial" w:eastAsia="Arial" w:hAnsi="Arial"/>
          <w:sz w:val="22"/>
          <w:szCs w:val="22"/>
        </w:rPr>
        <w:t xml:space="preserve">CSM leaderboard — 50 CSMs ranked worst first, filterable by region and segment. Built for CS managers — answers "which books need attention?"</w:t>
      </w:r>
    </w:p>
    <w:p>
      <w:pPr>
        <w:pStyle w:val="ListParagraph"/>
        <w:numPr>
          <w:ilvl w:val="0"/>
          <w:numId w:val="2"/>
        </w:numPr>
        <w:spacing w:after="60" w:before="60"/>
      </w:pPr>
      <w:r>
        <w:rPr>
          <w:rFonts w:ascii="Arial" w:cs="Arial" w:eastAsia="Arial" w:hAnsi="Arial"/>
          <w:sz w:val="22"/>
          <w:szCs w:val="22"/>
        </w:rPr>
        <w:t xml:space="preserve">Account detail — 1,000 accounts with dimension score bars, status badges, overage and anomaly flags, filterable by status and industry. Built for CSMs — answers "why is this account struggling?"</w:t>
      </w:r>
    </w:p>
    <w:p>
      <w:pPr>
        <w:spacing w:after="80" w:before="80"/>
      </w:pPr>
      <w:r>
        <w:rPr>
          <w:rFonts w:ascii="Arial" w:cs="Arial" w:eastAsia="Arial" w:hAnsi="Arial"/>
          <w:sz w:val="22"/>
          <w:szCs w:val="22"/>
        </w:rPr>
        <w:t xml:space="preserve">The dashboard connects to BigQuery through a Node.js authentication proxy running locally. The proxy holds Google service account credentials and exposes three API endpoints. Every number on the dashboard is a live query result from BigQuery — not hardcoded. The green "Live · BigQuery" badge in the top right confirms the connection is active.</w:t>
      </w:r>
    </w:p>
    <w:p>
      <w:pPr>
        <w:spacing w:after="80" w:before="120"/>
      </w:pPr>
      <w:r>
        <w:rPr>
          <w:rFonts w:ascii="Arial" w:cs="Arial" w:eastAsia="Arial" w:hAnsi="Arial"/>
          <w:b/>
          <w:bCs/>
          <w:i/>
          <w:iCs/>
          <w:sz w:val="22"/>
          <w:szCs w:val="22"/>
        </w:rPr>
        <w:t xml:space="preserve">Technology: </w:t>
      </w:r>
      <w:r>
        <w:rPr>
          <w:rFonts w:ascii="Arial" w:cs="Arial" w:eastAsia="Arial" w:hAnsi="Arial"/>
          <w:i/>
          <w:iCs/>
          <w:sz w:val="22"/>
          <w:szCs w:val="22"/>
        </w:rPr>
        <w:t xml:space="preserve">HTML, Chart.js, Node.js, Google Cloud service account</w:t>
      </w:r>
    </w:p>
    <w:p>
      <w:pPr>
        <w:pBdr>
          <w:bottom w:val="single" w:color="CCCCCC" w:sz="6" w:space="1"/>
        </w:pBdr>
        <w:spacing w:after="200" w:before="200"/>
      </w:pPr>
    </w:p>
    <w:p>
      <w:pPr>
        <w:pStyle w:val="Heading1"/>
        <w:spacing w:after="200" w:before="400"/>
      </w:pPr>
      <w:r>
        <w:rPr>
          <w:rFonts w:ascii="Arial" w:cs="Arial" w:eastAsia="Arial" w:hAnsi="Arial"/>
          <w:b/>
          <w:bCs/>
          <w:sz w:val="32"/>
          <w:szCs w:val="32"/>
        </w:rPr>
        <w:t xml:space="preserve">Step 8 — Packaged everything in GitHub</w:t>
      </w:r>
    </w:p>
    <w:p>
      <w:pPr>
        <w:spacing w:after="80" w:before="80"/>
      </w:pPr>
      <w:r>
        <w:rPr>
          <w:rFonts w:ascii="Arial" w:cs="Arial" w:eastAsia="Arial" w:hAnsi="Arial"/>
          <w:sz w:val="22"/>
          <w:szCs w:val="22"/>
        </w:rPr>
        <w:t xml:space="preserve">I organized all the code into four folders matching the brief requirements:</w:t>
      </w:r>
    </w:p>
    <w:p>
      <w:pPr>
        <w:pStyle w:val="ListParagraph"/>
        <w:numPr>
          <w:ilvl w:val="0"/>
          <w:numId w:val="2"/>
        </w:numPr>
        <w:spacing w:after="60" w:before="60"/>
      </w:pPr>
      <w:r>
        <w:rPr>
          <w:rFonts w:ascii="Arial" w:cs="Arial" w:eastAsia="Arial" w:hAnsi="Arial"/>
          <w:sz w:val="22"/>
          <w:szCs w:val="22"/>
        </w:rPr>
        <w:t xml:space="preserve">/data_generation — Python data generation script</w:t>
      </w:r>
    </w:p>
    <w:p>
      <w:pPr>
        <w:pStyle w:val="ListParagraph"/>
        <w:numPr>
          <w:ilvl w:val="0"/>
          <w:numId w:val="2"/>
        </w:numPr>
        <w:spacing w:after="60" w:before="60"/>
      </w:pPr>
      <w:r>
        <w:rPr>
          <w:rFonts w:ascii="Arial" w:cs="Arial" w:eastAsia="Arial" w:hAnsi="Arial"/>
          <w:sz w:val="22"/>
          <w:szCs w:val="22"/>
        </w:rPr>
        <w:t xml:space="preserve">/specs — 14-section product spec</w:t>
      </w:r>
    </w:p>
    <w:p>
      <w:pPr>
        <w:pStyle w:val="ListParagraph"/>
        <w:numPr>
          <w:ilvl w:val="0"/>
          <w:numId w:val="2"/>
        </w:numPr>
        <w:spacing w:after="60" w:before="60"/>
      </w:pPr>
      <w:r>
        <w:rPr>
          <w:rFonts w:ascii="Arial" w:cs="Arial" w:eastAsia="Arial" w:hAnsi="Arial"/>
          <w:sz w:val="22"/>
          <w:szCs w:val="22"/>
        </w:rPr>
        <w:t xml:space="preserve">/pipeline_and_tests — BigQuery SQL pipeline, DQ tests, Python pipeline runner</w:t>
      </w:r>
    </w:p>
    <w:p>
      <w:pPr>
        <w:pStyle w:val="ListParagraph"/>
        <w:numPr>
          <w:ilvl w:val="0"/>
          <w:numId w:val="2"/>
        </w:numPr>
        <w:spacing w:after="60" w:before="60"/>
      </w:pPr>
      <w:r>
        <w:rPr>
          <w:rFonts w:ascii="Arial" w:cs="Arial" w:eastAsia="Arial" w:hAnsi="Arial"/>
          <w:sz w:val="22"/>
          <w:szCs w:val="22"/>
        </w:rPr>
        <w:t xml:space="preserve">/dashboard — dashboard HTML and Node.js proxy</w:t>
      </w:r>
    </w:p>
    <w:p>
      <w:pPr>
        <w:spacing w:after="80" w:before="80"/>
      </w:pPr>
      <w:r>
        <w:rPr>
          <w:rFonts w:ascii="Arial" w:cs="Arial" w:eastAsia="Arial" w:hAnsi="Arial"/>
          <w:sz w:val="22"/>
          <w:szCs w:val="22"/>
        </w:rPr>
        <w:t xml:space="preserve">Made the repository public so PAN can open the link and browse every file. Wrote a README explaining the architecture and how to run the dashboard locally.</w:t>
      </w:r>
    </w:p>
    <w:p>
      <w:pPr>
        <w:spacing w:after="80" w:before="120"/>
      </w:pPr>
      <w:r>
        <w:rPr>
          <w:rFonts w:ascii="Arial" w:cs="Arial" w:eastAsia="Arial" w:hAnsi="Arial"/>
          <w:b/>
          <w:bCs/>
          <w:i/>
          <w:iCs/>
          <w:sz w:val="22"/>
          <w:szCs w:val="22"/>
        </w:rPr>
        <w:t xml:space="preserve">Technology: </w:t>
      </w:r>
      <w:r>
        <w:rPr>
          <w:rFonts w:ascii="Arial" w:cs="Arial" w:eastAsia="Arial" w:hAnsi="Arial"/>
          <w:i/>
          <w:iCs/>
          <w:sz w:val="22"/>
          <w:szCs w:val="22"/>
        </w:rPr>
        <w:t xml:space="preserve">GitHub</w:t>
      </w:r>
    </w:p>
    <w:p>
      <w:pPr>
        <w:pBdr>
          <w:bottom w:val="single" w:color="CCCCCC" w:sz="6" w:space="1"/>
        </w:pBdr>
        <w:spacing w:after="200" w:before="200"/>
      </w:pPr>
    </w:p>
    <w:p>
      <w:pPr>
        <w:pStyle w:val="Heading1"/>
        <w:spacing w:after="200" w:before="400"/>
      </w:pPr>
      <w:r>
        <w:rPr>
          <w:rFonts w:ascii="Arial" w:cs="Arial" w:eastAsia="Arial" w:hAnsi="Arial"/>
          <w:b/>
          <w:bCs/>
          <w:sz w:val="32"/>
          <w:szCs w:val="32"/>
        </w:rPr>
        <w:t xml:space="preserve">The full data flow when the dashboard is running</w:t>
      </w:r>
    </w:p>
    <w:p>
      <w:pPr>
        <w:spacing w:after="200" w:before="120"/>
        <w:ind w:left="720"/>
      </w:pPr>
      <w:r>
        <w:rPr>
          <w:rFonts w:ascii="Courier New" w:cs="Courier New" w:eastAsia="Courier New" w:hAnsi="Courier New"/>
          <w:sz w:val="20"/>
          <w:szCs w:val="20"/>
        </w:rPr>
        <w:t xml:space="preserve">Chrome (dashboard.html)
  ↓ requests data
Node.js proxy (localhost:3001)
  ↓ authenticates with Google credentials
Google BigQuery (pan-ahi-casestudy)
  ↓ queries account_ahi_monthly and csm_ahi_monthly
Returns live results
  ↓ back through proxy to dashboard
Numbers appear on screen</w:t>
      </w:r>
    </w:p>
    <w:p>
      <w:pPr>
        <w:pBdr>
          <w:bottom w:val="single" w:color="CCCCCC" w:sz="6" w:space="1"/>
        </w:pBdr>
        <w:spacing w:after="200" w:before="200"/>
      </w:pPr>
    </w:p>
    <w:p>
      <w:pPr>
        <w:spacing w:after="0" w:before="200"/>
      </w:pPr>
      <w:r>
        <w:rPr>
          <w:rFonts w:ascii="Arial" w:cs="Arial" w:eastAsia="Arial" w:hAnsi="Arial"/>
          <w:i/>
          <w:iCs/>
          <w:color w:val="444444"/>
          <w:sz w:val="22"/>
          <w:szCs w:val="22"/>
        </w:rPr>
        <w:t xml:space="preserve">Built end-to-end in one day. AI-first throughout — Claude as implementation partner for every step from spec to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1B3F6B"/>
      <w:sz w:val="32"/>
      <w:szCs w:val="32"/>
    </w:rPr>
  </w:style>
  <w:style w:type="paragraph" w:styleId="Heading2">
    <w:name w:val="Heading 2"/>
    <w:basedOn w:val="Normal"/>
    <w:next w:val="Normal"/>
    <w:pPr>
      <w:spacing w:after="160" w:before="300"/>
      <w:outlineLvl w:val="1"/>
    </w:pPr>
    <w:rPr>
      <w:rFonts w:ascii="Arial" w:cs="Arial" w:eastAsia="Arial" w:hAnsi="Arial"/>
      <w:b/>
      <w:bCs/>
      <w:color w:val="1B3F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2026-06-28T02:05:43.435Z</dcterms:created>
  <dcterms:modified xsi:type="dcterms:W3CDTF">2026-06-28T02:05:43.435Z</dcterms:modified>
</cp:coreProperties>
</file>

<file path=docProps/custom.xml><?xml version="1.0" encoding="utf-8"?>
<Properties xmlns="http://schemas.openxmlformats.org/officeDocument/2006/custom-properties" xmlns:vt="http://schemas.openxmlformats.org/officeDocument/2006/docPropsVTypes"/>
</file>