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33BE" w14:textId="48F5B90B" w:rsidR="00242086" w:rsidRPr="00242086" w:rsidRDefault="00242086" w:rsidP="0024208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14:ligatures w14:val="none"/>
        </w:rPr>
        <w:t xml:space="preserve">FAQ </w:t>
      </w:r>
    </w:p>
    <w:p w14:paraId="511E9848" w14:textId="77777777" w:rsidR="00242086" w:rsidRPr="00242086" w:rsidRDefault="00242086" w:rsidP="0024208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6"/>
          <w:szCs w:val="36"/>
          <w14:ligatures w14:val="none"/>
        </w:rPr>
      </w:pPr>
    </w:p>
    <w:p w14:paraId="753B54FB" w14:textId="77777777" w:rsidR="00242086" w:rsidRPr="00242086" w:rsidRDefault="00242086" w:rsidP="00242086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General Questions</w:t>
      </w:r>
    </w:p>
    <w:p w14:paraId="00381A32" w14:textId="77777777" w:rsidR="00242086" w:rsidRPr="00242086" w:rsidRDefault="00242086" w:rsidP="00242086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Q: What is IHEP?</w:t>
      </w:r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A: IHEP is a scalable system for integrating behavioral health care delivery into primary care practices using the Collaborative Care Model. We partner with EHRs, providers, and behavioral health organizations to deploy a team-based approach (PCP + care manager + psychiatrist) that improves outcomes and reduces costs.</w:t>
      </w:r>
    </w:p>
    <w:p w14:paraId="0351B122" w14:textId="77777777" w:rsidR="00242086" w:rsidRPr="00242086" w:rsidRDefault="00242086" w:rsidP="00242086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Q: Why should our organization partner with IHEP?</w:t>
      </w:r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A: Financial: $6.50 ROI per $1 invested, $1,600–$2,400 annual savings per patient. Clinical: Evidence-based, faster symptom remission, better adherence. Operational: Turnkey care model, no custom integration. Strategic: Position as behavioral health leader, align with payer incentives, improve quality metrics.</w:t>
      </w:r>
    </w:p>
    <w:p w14:paraId="700504F8" w14:textId="77777777" w:rsidR="00242086" w:rsidRPr="00242086" w:rsidRDefault="00242086" w:rsidP="00242086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Q: Is IHEP only for large health systems?</w:t>
      </w:r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A: No. IHEP works with organizations of all sizes: independent practices, FQHCs, behavioral health groups, and large systems. We scale our support based on your size.</w:t>
      </w:r>
    </w:p>
    <w:p w14:paraId="0B9C9F56" w14:textId="77777777" w:rsidR="00242086" w:rsidRPr="00242086" w:rsidRDefault="00242086" w:rsidP="00242086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Q: What is the Collaborative Care Model (</w:t>
      </w:r>
      <w:proofErr w:type="spellStart"/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CoCM</w:t>
      </w:r>
      <w:proofErr w:type="spellEnd"/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)?</w:t>
      </w:r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A: A structured team-based model where a PCP, care manager, and consulting psychiatrist work together. Care manager does screening and ongoing monitoring; psychiatrist provides consultation; PCP retains authority. Reimbursable via CPT codes 99492, 99493, 99494.</w:t>
      </w:r>
    </w:p>
    <w:p w14:paraId="12996675" w14:textId="77777777" w:rsidR="00242086" w:rsidRPr="00242086" w:rsidRDefault="00242086" w:rsidP="00242086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Q: How much does IHEP cost to implement?</w:t>
      </w:r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A: Costs vary by size and scope. Typical: Interop platform $500–$5,000/month, registry $1,000–$3,000/month, patient engagement $500–$2,000/month. Staffing: care manager $45K–$65K/year per FTE (1 per 50 patients); psychiatrist $200K–$300K/year (shared across 50–150 patients). Most practices achieve ROI by month 12.</w:t>
      </w:r>
    </w:p>
    <w:p w14:paraId="21FC6388" w14:textId="77777777" w:rsidR="00242086" w:rsidRPr="00242086" w:rsidRDefault="00242086" w:rsidP="00242086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Q: How long does implementation take?</w:t>
      </w:r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A: </w:t>
      </w: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6–16 weeks</w:t>
      </w:r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from first contact to full scale: Planning 2–4 weeks, tech setup 6–12 weeks, pilot 8–12 weeks, scale 3–12 months.</w:t>
      </w:r>
    </w:p>
    <w:p w14:paraId="6A8327C1" w14:textId="77777777" w:rsidR="00242086" w:rsidRPr="00242086" w:rsidRDefault="00242086" w:rsidP="00242086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Q: Do we need to replace our EHR?</w:t>
      </w:r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A: No. IHEP integrates with your existing EHR (Epic, Cerner, Athena, etc.) via modern standards (FHIR, HL7).</w:t>
      </w:r>
    </w:p>
    <w:p w14:paraId="26A29B81" w14:textId="77777777" w:rsidR="00242086" w:rsidRPr="00242086" w:rsidRDefault="00242086">
      <w:pPr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br w:type="page"/>
      </w:r>
    </w:p>
    <w:p w14:paraId="4498FEAA" w14:textId="1DC4EC1B" w:rsidR="00242086" w:rsidRPr="00242086" w:rsidRDefault="00242086" w:rsidP="00242086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lastRenderedPageBreak/>
        <w:t>Technology &amp; Integration Questions</w:t>
      </w:r>
    </w:p>
    <w:p w14:paraId="3C6E9AA5" w14:textId="77777777" w:rsidR="00242086" w:rsidRPr="00242086" w:rsidRDefault="00242086" w:rsidP="00242086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Q: What EHRs does IHEP support?</w:t>
      </w:r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A: All major EHRs (Epic, Cerner, Athena, Medidata, NextGen, etc.). If your EHR lacks modern APIs, we support HL7 v2, direct messaging, or legacy connectors.</w:t>
      </w:r>
    </w:p>
    <w:p w14:paraId="7A2F9271" w14:textId="77777777" w:rsidR="00242086" w:rsidRPr="00242086" w:rsidRDefault="00242086" w:rsidP="00242086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Q: What interoperability platforms does IHEP recommend?</w:t>
      </w:r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 A: 1upHealth (modern FHIR), </w:t>
      </w:r>
      <w:proofErr w:type="spellStart"/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Smartlink</w:t>
      </w:r>
      <w:proofErr w:type="spellEnd"/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 (flexible), </w:t>
      </w:r>
      <w:proofErr w:type="spellStart"/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NexHealth</w:t>
      </w:r>
      <w:proofErr w:type="spellEnd"/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 (all-in-one), </w:t>
      </w:r>
      <w:proofErr w:type="spellStart"/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HiXConnect</w:t>
      </w:r>
      <w:proofErr w:type="spellEnd"/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 (Salesforce). We recommend based on your EHR and use case.</w:t>
      </w:r>
    </w:p>
    <w:p w14:paraId="0E11E57A" w14:textId="77777777" w:rsidR="00242086" w:rsidRPr="00242086" w:rsidRDefault="00242086" w:rsidP="00242086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Q: How is patient data shared across IHEP partners?</w:t>
      </w:r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A: Consent-driven, minimum necessary, Part 2 compliant. Patients explicitly consent; data sharing limited to what's needed for care coordination. Role-based access and audit logging enforce policies.</w:t>
      </w:r>
    </w:p>
    <w:p w14:paraId="5F9D2680" w14:textId="77777777" w:rsidR="00242086" w:rsidRPr="00242086" w:rsidRDefault="00242086" w:rsidP="00242086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Compliance Questions</w:t>
      </w:r>
    </w:p>
    <w:p w14:paraId="2ADAEAA5" w14:textId="77777777" w:rsidR="00242086" w:rsidRPr="00242086" w:rsidRDefault="00242086" w:rsidP="00242086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Q: Is IHEP HIPAA compliant?</w:t>
      </w:r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A: Yes. All partners maintain HIPAA through BAAs, technical safeguards (encryption, access controls), administrative safeguards (policies, breach procedures), and annual compliance audits.</w:t>
      </w:r>
    </w:p>
    <w:p w14:paraId="2B68963B" w14:textId="77777777" w:rsidR="00242086" w:rsidRPr="00242086" w:rsidRDefault="00242086" w:rsidP="00242086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Q: What is 42 CFR Part 2 and does IHEP support it?</w:t>
      </w:r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A: Federal regulation providing stricter confidentiality for SUD treatment. IHEP supports Part 2 through specialized consent forms, redisclosure controls, technical segmentation, and staff training.</w:t>
      </w:r>
    </w:p>
    <w:p w14:paraId="66582A8D" w14:textId="77777777" w:rsidR="00242086" w:rsidRPr="00242086" w:rsidRDefault="00242086" w:rsidP="00242086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Q: Do we need to sign a Data Sharing Agreement?</w:t>
      </w:r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A: Yes. Before launch, you and IHEP sign a DSA clarifying: what data is shared, how it's used, consent requirements, audit rights, liability, and compliance obligations.</w:t>
      </w:r>
    </w:p>
    <w:p w14:paraId="5F654A3F" w14:textId="77777777" w:rsidR="00242086" w:rsidRPr="00242086" w:rsidRDefault="00242086" w:rsidP="00242086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Q: What if there's a data breach?</w:t>
      </w:r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A: IHEP has breach response protocol: notification (24–72 hours), investigation, mitigation (credit monitoring), documentation. Cyber insurance typically covers costs.</w:t>
      </w:r>
    </w:p>
    <w:p w14:paraId="43291B2D" w14:textId="77777777" w:rsidR="00242086" w:rsidRPr="00242086" w:rsidRDefault="00242086">
      <w:pPr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br w:type="page"/>
      </w:r>
    </w:p>
    <w:p w14:paraId="4BDE49B9" w14:textId="47347995" w:rsidR="00242086" w:rsidRPr="00242086" w:rsidRDefault="00242086" w:rsidP="00242086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Clinical &amp; Operational Questions</w:t>
      </w:r>
    </w:p>
    <w:p w14:paraId="29BF1B32" w14:textId="77777777" w:rsidR="00242086" w:rsidRPr="00242086" w:rsidRDefault="00242086" w:rsidP="00242086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Q: What behavioral health conditions does IHEP treat?</w:t>
      </w:r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A: Primary: depression, anxiety, substance use disorders. Also: PTSD, adjustment disorders, behavioral health support for chronic disease.</w:t>
      </w:r>
    </w:p>
    <w:p w14:paraId="2383109A" w14:textId="77777777" w:rsidR="00242086" w:rsidRPr="00242086" w:rsidRDefault="00242086" w:rsidP="00242086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Q: Do we need to hire new staff?</w:t>
      </w:r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A: Typically: 1 care manager per 50 patients, 1 psychiatrist per 100–150 patients (shared). Many start by dedicating existing staff or using telehealth psychiatrists to avoid hiring.</w:t>
      </w:r>
    </w:p>
    <w:p w14:paraId="7620A9B3" w14:textId="77777777" w:rsidR="00242086" w:rsidRPr="00242086" w:rsidRDefault="00242086" w:rsidP="00242086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Q: How do we bill for Collaborative Care?</w:t>
      </w:r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A: CPT codes 99492 ($50–$120), 99493 ($40–$100), 99494 ($80–$150). Patient must be screened; documented care plan; monthly contact; care manager and psychiatrist involvement. IHEP helps optimize billing and appeals.</w:t>
      </w:r>
    </w:p>
    <w:p w14:paraId="5E1B3C59" w14:textId="77777777" w:rsidR="00242086" w:rsidRPr="00242086" w:rsidRDefault="00242086" w:rsidP="00242086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Q: How do we measure success?</w:t>
      </w:r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A: Clinical: PHQ-9 reduction, medication adherence. Utilization: ED visits, inpatient admissions (target 20–30% reduction). Engagement: portal adoption, appointment adherence, NPS. Financial: ROI, revenue per patient.</w:t>
      </w:r>
    </w:p>
    <w:p w14:paraId="125F14F7" w14:textId="77777777" w:rsidR="00242086" w:rsidRPr="00242086" w:rsidRDefault="00242086">
      <w:pPr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br w:type="page"/>
      </w:r>
    </w:p>
    <w:p w14:paraId="55E719FE" w14:textId="1B046338" w:rsidR="00242086" w:rsidRPr="00242086" w:rsidRDefault="00242086" w:rsidP="00242086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Financial &amp; Partnership Questions</w:t>
      </w:r>
    </w:p>
    <w:p w14:paraId="1DDD0230" w14:textId="77777777" w:rsidR="00242086" w:rsidRPr="00242086" w:rsidRDefault="00242086" w:rsidP="00242086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Q: What does ROI look like over time?</w:t>
      </w:r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A: Typical practice (100–150 patients): Months 1–3 -$20K–$50K, Months 4–9 break-even, Months 10–12 +$50K–$150K, Year 2+ +$100K–$300K+. ROI drivers: CPT reimbursement, ED/inpatient savings, risk contracts.</w:t>
      </w:r>
    </w:p>
    <w:p w14:paraId="42A9A7E8" w14:textId="77777777" w:rsidR="00242086" w:rsidRPr="00242086" w:rsidRDefault="00242086" w:rsidP="00242086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Q: Can we partner with IHEP if we don't have in-house psychiatrists?</w:t>
      </w:r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 A: Yes. Three staffing models: (1) hire part-time psychiatrist, (2) contract with behavioral health group or telemedicine (Teladoc, </w:t>
      </w:r>
      <w:proofErr w:type="spellStart"/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evolvedMD</w:t>
      </w:r>
      <w:proofErr w:type="spellEnd"/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), (3) IHEP connects you with consulting psychiatrist network.</w:t>
      </w:r>
    </w:p>
    <w:p w14:paraId="019B392A" w14:textId="77777777" w:rsidR="00242086" w:rsidRPr="00242086" w:rsidRDefault="00242086" w:rsidP="00242086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Q: What happens if patient volumes are lower than expected?</w:t>
      </w:r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A: Costs scale with volume. Interop platform usually pay-per-patient. Care manager can be part-time initially. Psychiatrist cost proportional to volume.</w:t>
      </w:r>
    </w:p>
    <w:p w14:paraId="3AECB77B" w14:textId="77777777" w:rsidR="00242086" w:rsidRPr="00242086" w:rsidRDefault="00242086" w:rsidP="00242086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Q: Can we white-label IHEP?</w:t>
      </w:r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A: Yes. IHEP can be branded under your name while IHEP manages technology/compliance backend. Pricing negotiated case-by-case.</w:t>
      </w:r>
    </w:p>
    <w:p w14:paraId="2647BE81" w14:textId="77777777" w:rsidR="00242086" w:rsidRPr="00242086" w:rsidRDefault="00242086" w:rsidP="00242086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Getting Started</w:t>
      </w:r>
    </w:p>
    <w:p w14:paraId="2964317B" w14:textId="77777777" w:rsidR="00242086" w:rsidRPr="00242086" w:rsidRDefault="00242086" w:rsidP="00242086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Q: How do we express interest?</w:t>
      </w:r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 A: Contact IHEP partnership team </w:t>
      </w:r>
      <w:proofErr w:type="gramStart"/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with:</w:t>
      </w:r>
      <w:proofErr w:type="gramEnd"/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 organization name, location, EHR, patient population, goals.</w:t>
      </w:r>
    </w:p>
    <w:p w14:paraId="03CB14A1" w14:textId="77777777" w:rsidR="00242086" w:rsidRPr="00242086" w:rsidRDefault="00242086" w:rsidP="00242086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Q: What's the next step after initial contact?</w:t>
      </w:r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A: Discovery call (Week 1), deep-dive technical/clinical/compliance assessment (Weeks 2–4), compliance review (Weeks 4–8), technical planning (Weeks 6–12), pilot launch (Weeks 12–16), scale (Month 4+).</w:t>
      </w:r>
    </w:p>
    <w:p w14:paraId="20E308E8" w14:textId="77777777" w:rsidR="00242086" w:rsidRPr="00242086" w:rsidRDefault="00242086" w:rsidP="00242086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Q: Is there a cost to explore partnership?</w:t>
      </w:r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A: No. Discovery and assessment are at no cost. You incur costs only at pilot launch.</w:t>
      </w:r>
    </w:p>
    <w:p w14:paraId="40D96A66" w14:textId="77777777" w:rsidR="00242086" w:rsidRPr="00242086" w:rsidRDefault="00242086" w:rsidP="00242086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242086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Q: Can we see a demo or speak with current partners?</w:t>
      </w:r>
      <w:r w:rsidRPr="00242086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A: Yes. IHEP arranges live demos, reference calls with 2–3 similar partners, and pilot agreements.</w:t>
      </w:r>
    </w:p>
    <w:p w14:paraId="6FD394C8" w14:textId="77777777" w:rsidR="00242086" w:rsidRPr="00242086" w:rsidRDefault="00242086" w:rsidP="00242086">
      <w:pPr>
        <w:spacing w:after="0" w:line="240" w:lineRule="auto"/>
        <w:rPr>
          <w:rFonts w:ascii="Times New Roman" w:eastAsia="Times New Roman" w:hAnsi="Times New Roman" w:cs="Times New Roman"/>
          <w:color w:val="404040" w:themeColor="text1" w:themeTint="BF"/>
          <w:kern w:val="0"/>
          <w14:ligatures w14:val="none"/>
        </w:rPr>
      </w:pPr>
    </w:p>
    <w:p w14:paraId="5486F4BE" w14:textId="77777777" w:rsidR="001F2E22" w:rsidRPr="00242086" w:rsidRDefault="001F2E22">
      <w:pPr>
        <w:rPr>
          <w:color w:val="404040" w:themeColor="text1" w:themeTint="BF"/>
        </w:rPr>
      </w:pPr>
    </w:p>
    <w:sectPr w:rsidR="001F2E22" w:rsidRPr="00242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086"/>
    <w:rsid w:val="00133B90"/>
    <w:rsid w:val="001F1A83"/>
    <w:rsid w:val="001F2E22"/>
    <w:rsid w:val="0021465A"/>
    <w:rsid w:val="00242086"/>
    <w:rsid w:val="00846760"/>
    <w:rsid w:val="00F52C0B"/>
    <w:rsid w:val="00F632D6"/>
    <w:rsid w:val="00FD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7FB8E"/>
  <w15:chartTrackingRefBased/>
  <w15:docId w15:val="{ED13EA7C-C6B9-2A46-AEF4-C30E6695F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2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2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2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2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0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2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42086"/>
    <w:rPr>
      <w:b/>
      <w:bCs/>
    </w:rPr>
  </w:style>
  <w:style w:type="character" w:customStyle="1" w:styleId="apple-converted-space">
    <w:name w:val="apple-converted-space"/>
    <w:basedOn w:val="DefaultParagraphFont"/>
    <w:rsid w:val="002420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895</Words>
  <Characters>5168</Characters>
  <Application>Microsoft Office Word</Application>
  <DocSecurity>0</DocSecurity>
  <Lines>92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    FAQ </vt:lpstr>
      <vt:lpstr>    </vt:lpstr>
      <vt:lpstr>        General Questions</vt:lpstr>
      <vt:lpstr>        Technology &amp; Integration Questions</vt:lpstr>
      <vt:lpstr>        Compliance Questions</vt:lpstr>
      <vt:lpstr>        Clinical &amp; Operational Questions</vt:lpstr>
      <vt:lpstr>        Financial &amp; Partnership Questions</vt:lpstr>
      <vt:lpstr>        Getting Started</vt:lpstr>
    </vt:vector>
  </TitlesOfParts>
  <Manager/>
  <Company>Trade Momentum LLC</Company>
  <LinksUpToDate>false</LinksUpToDate>
  <CharactersWithSpaces>6001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IHEP FAQ</dc:title>
  <dc:subject>50+ Commonly Asked Questions</dc:subject>
  <dc:creator>Jason M Jarmacz</dc:creator>
  <cp:keywords/>
  <dc:description/>
  <cp:lastModifiedBy>Jason Jarmacz</cp:lastModifiedBy>
  <cp:revision>2</cp:revision>
  <dcterms:created xsi:type="dcterms:W3CDTF">2026-01-08T21:31:00Z</dcterms:created>
  <dcterms:modified xsi:type="dcterms:W3CDTF">2026-01-08T21:31:00Z</dcterms:modified>
  <cp:category>Life Sciences</cp:category>
</cp:coreProperties>
</file>