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FBA7" w14:textId="77B2FE11" w:rsidR="001113D7" w:rsidRPr="001113D7" w:rsidRDefault="001113D7" w:rsidP="001113D7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14:ligatures w14:val="none"/>
        </w:rPr>
        <w:t>IHEP PARTNERSHIP PROSPECTUS</w:t>
      </w:r>
    </w:p>
    <w:p w14:paraId="4D302550" w14:textId="77777777" w:rsidR="001113D7" w:rsidRPr="001113D7" w:rsidRDefault="001113D7" w:rsidP="001113D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Executive Summary</w:t>
      </w:r>
    </w:p>
    <w:p w14:paraId="4B143A44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The Integrated Behavioral Health &amp; Electronic Health Record Partnership Program (IHEP) seeks to partner with primary care providers, behavioral health organizations, and electronic health record (EHR) technology vendors to deploy a scalable, interoperable system for integrated behavioral health care delivery.</w:t>
      </w:r>
    </w:p>
    <w:p w14:paraId="620C1220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Evidence-Based Outcomes:</w:t>
      </w:r>
    </w:p>
    <w:p w14:paraId="04204426" w14:textId="77777777" w:rsidR="001113D7" w:rsidRPr="001113D7" w:rsidRDefault="001113D7" w:rsidP="00111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$6.50 return for every $1 invested</w:t>
      </w:r>
    </w:p>
    <w:p w14:paraId="64E31635" w14:textId="77777777" w:rsidR="001113D7" w:rsidRPr="001113D7" w:rsidRDefault="001113D7" w:rsidP="001113D7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54% reduction in emergency department visits</w:t>
      </w:r>
    </w:p>
    <w:p w14:paraId="76D7D621" w14:textId="77777777" w:rsidR="001113D7" w:rsidRPr="001113D7" w:rsidRDefault="001113D7" w:rsidP="001113D7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49% reduction in inpatient psychiatric admissions</w:t>
      </w:r>
    </w:p>
    <w:p w14:paraId="513E98E3" w14:textId="77777777" w:rsidR="001113D7" w:rsidRPr="001113D7" w:rsidRDefault="001113D7" w:rsidP="001113D7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7x faster remission from depression compared to usual care</w:t>
      </w:r>
    </w:p>
    <w:p w14:paraId="697C21B1" w14:textId="77777777" w:rsidR="001113D7" w:rsidRPr="001113D7" w:rsidRDefault="001113D7" w:rsidP="001113D7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$1,600–$2,400 in annual savings per patient</w:t>
      </w:r>
    </w:p>
    <w:p w14:paraId="5A256C59" w14:textId="77777777" w:rsidR="001113D7" w:rsidRPr="001113D7" w:rsidRDefault="001113D7" w:rsidP="001113D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The Market Need</w:t>
      </w:r>
    </w:p>
    <w:p w14:paraId="68BA857F" w14:textId="77777777" w:rsidR="001113D7" w:rsidRPr="001113D7" w:rsidRDefault="001113D7" w:rsidP="00111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Over </w:t>
      </w: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60% of U.S. counties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have severe shortages of psychiatric providers</w:t>
      </w:r>
    </w:p>
    <w:p w14:paraId="56A039F1" w14:textId="77777777" w:rsidR="001113D7" w:rsidRPr="001113D7" w:rsidRDefault="001113D7" w:rsidP="001113D7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Patients with behavioral health comorbidities incur </w:t>
      </w: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2–6x higher medical costs</w:t>
      </w:r>
    </w:p>
    <w:p w14:paraId="5BDBC677" w14:textId="77777777" w:rsidR="001113D7" w:rsidRPr="001113D7" w:rsidRDefault="001113D7" w:rsidP="001113D7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Behavioral health–related ED visits: </w:t>
      </w: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$5.3B (2024) → $17.5B (2040)</w:t>
      </w:r>
    </w:p>
    <w:p w14:paraId="19599CFF" w14:textId="77777777" w:rsidR="001113D7" w:rsidRPr="001113D7" w:rsidRDefault="001113D7" w:rsidP="001113D7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Primary care providers want training and support to manage behavioral health</w:t>
      </w:r>
    </w:p>
    <w:p w14:paraId="1DE8AD58" w14:textId="77777777" w:rsidR="001113D7" w:rsidRPr="001113D7" w:rsidRDefault="001113D7" w:rsidP="001113D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The Solution: Collaborative Care Model</w:t>
      </w:r>
    </w:p>
    <w:p w14:paraId="024EC01F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IHEP embeds behavioral health directly into primary care through:</w:t>
      </w:r>
    </w:p>
    <w:p w14:paraId="222D0CC0" w14:textId="77777777" w:rsidR="001113D7" w:rsidRPr="001113D7" w:rsidRDefault="001113D7" w:rsidP="00111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Care Manager: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Screening, patient education, medication monitoring, follow-up</w:t>
      </w:r>
    </w:p>
    <w:p w14:paraId="354EF107" w14:textId="77777777" w:rsidR="001113D7" w:rsidRPr="001113D7" w:rsidRDefault="001113D7" w:rsidP="001113D7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Consulting Psychiatrist: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Diagnostic consultation, medication guidance (10–15% time per patient)</w:t>
      </w:r>
    </w:p>
    <w:p w14:paraId="30816AC4" w14:textId="77777777" w:rsidR="001113D7" w:rsidRPr="001113D7" w:rsidRDefault="001113D7" w:rsidP="001113D7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Primary Care Provider: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Retains coordination and prescribing authority</w:t>
      </w:r>
    </w:p>
    <w:p w14:paraId="6FE9B725" w14:textId="77777777" w:rsidR="001113D7" w:rsidRPr="001113D7" w:rsidRDefault="001113D7" w:rsidP="001113D7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Team-based approach: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Multiplies psychiatric capacity (8x more patients per psychiatrist)</w:t>
      </w:r>
    </w:p>
    <w:p w14:paraId="199446EB" w14:textId="77777777" w:rsidR="001113D7" w:rsidRDefault="001113D7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7423ED64" w14:textId="7080D5BA" w:rsidR="001113D7" w:rsidRPr="001113D7" w:rsidRDefault="001113D7" w:rsidP="001113D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lastRenderedPageBreak/>
        <w:t>Value by Partner Type</w:t>
      </w:r>
    </w:p>
    <w:p w14:paraId="21570533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Primary Care Providers:</w:t>
      </w:r>
    </w:p>
    <w:p w14:paraId="226F3059" w14:textId="77777777" w:rsidR="001113D7" w:rsidRPr="001113D7" w:rsidRDefault="001113D7" w:rsidP="00111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Behavioral health expert within days (not months)</w:t>
      </w:r>
    </w:p>
    <w:p w14:paraId="1E9E905D" w14:textId="77777777" w:rsidR="001113D7" w:rsidRPr="001113D7" w:rsidRDefault="001113D7" w:rsidP="001113D7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Increased reimbursement via CPT codes 99492, 99493, 99494</w:t>
      </w:r>
    </w:p>
    <w:p w14:paraId="441504F2" w14:textId="77777777" w:rsidR="001113D7" w:rsidRPr="001113D7" w:rsidRDefault="001113D7" w:rsidP="001113D7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Reduced provider burnout</w:t>
      </w:r>
    </w:p>
    <w:p w14:paraId="756B847D" w14:textId="77777777" w:rsidR="001113D7" w:rsidRPr="001113D7" w:rsidRDefault="001113D7" w:rsidP="001113D7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Improved patient outcomes and satisfaction</w:t>
      </w:r>
    </w:p>
    <w:p w14:paraId="38C6A1AD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Behavioral Health Providers:</w:t>
      </w:r>
    </w:p>
    <w:p w14:paraId="373543D6" w14:textId="77777777" w:rsidR="001113D7" w:rsidRPr="001113D7" w:rsidRDefault="001113D7" w:rsidP="00111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8x patient capacity multiplier per psychiatrist</w:t>
      </w:r>
    </w:p>
    <w:p w14:paraId="1178485B" w14:textId="77777777" w:rsidR="001113D7" w:rsidRPr="001113D7" w:rsidRDefault="001113D7" w:rsidP="001113D7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Sustainable reimbursement (CPT codes + risk contracts)</w:t>
      </w:r>
    </w:p>
    <w:p w14:paraId="4E7C75D8" w14:textId="77777777" w:rsidR="001113D7" w:rsidRPr="001113D7" w:rsidRDefault="001113D7" w:rsidP="001113D7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Access to primary care networks</w:t>
      </w:r>
    </w:p>
    <w:p w14:paraId="17C1AE72" w14:textId="77777777" w:rsidR="001113D7" w:rsidRPr="001113D7" w:rsidRDefault="001113D7" w:rsidP="001113D7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Integrated data with patient care context</w:t>
      </w:r>
    </w:p>
    <w:p w14:paraId="7C4E101F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EHR Vendors:</w:t>
      </w:r>
    </w:p>
    <w:p w14:paraId="59CD64C1" w14:textId="77777777" w:rsidR="001113D7" w:rsidRPr="001113D7" w:rsidRDefault="001113D7" w:rsidP="00111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IHEP-certification demonstrates behavioral health leadership</w:t>
      </w:r>
    </w:p>
    <w:p w14:paraId="379F24BE" w14:textId="77777777" w:rsidR="001113D7" w:rsidRPr="001113D7" w:rsidRDefault="001113D7" w:rsidP="001113D7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Reference customers for sales</w:t>
      </w:r>
    </w:p>
    <w:p w14:paraId="6F5164B0" w14:textId="77777777" w:rsidR="001113D7" w:rsidRPr="001113D7" w:rsidRDefault="001113D7" w:rsidP="001113D7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Joint roadmap for FHIR/interoperability compliance</w:t>
      </w:r>
    </w:p>
    <w:p w14:paraId="6358613D" w14:textId="77777777" w:rsidR="001113D7" w:rsidRDefault="001113D7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2090A1B6" w14:textId="68717312" w:rsidR="001113D7" w:rsidRPr="001113D7" w:rsidRDefault="001113D7" w:rsidP="001113D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Technology Architecture</w:t>
      </w:r>
    </w:p>
    <w:p w14:paraId="67987AA3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Five Core Components:</w:t>
      </w:r>
    </w:p>
    <w:p w14:paraId="5FA5AFE8" w14:textId="77777777" w:rsidR="001113D7" w:rsidRPr="001113D7" w:rsidRDefault="001113D7" w:rsidP="00111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EHR Layer: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Integration with partner's existing system (Epic, Cerner, Athena, etc.)</w:t>
      </w:r>
    </w:p>
    <w:p w14:paraId="725A3850" w14:textId="77777777" w:rsidR="001113D7" w:rsidRPr="001113D7" w:rsidRDefault="001113D7" w:rsidP="001113D7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Interoperability Hub: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Standards-based (FHIR/HL7) data exchange without custom integrations</w:t>
      </w:r>
    </w:p>
    <w:p w14:paraId="0A2F3786" w14:textId="77777777" w:rsidR="001113D7" w:rsidRPr="001113D7" w:rsidRDefault="001113D7" w:rsidP="001113D7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Patient Engagement Suite: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Portal, telehealth, assessments, scheduling</w:t>
      </w:r>
    </w:p>
    <w:p w14:paraId="5071B6B7" w14:textId="77777777" w:rsidR="001113D7" w:rsidRPr="001113D7" w:rsidRDefault="001113D7" w:rsidP="001113D7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Behavioral Health Registry: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Population-level outcome tracking and alerts</w:t>
      </w:r>
    </w:p>
    <w:p w14:paraId="357B7CAC" w14:textId="77777777" w:rsidR="001113D7" w:rsidRPr="001113D7" w:rsidRDefault="001113D7" w:rsidP="001113D7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Compliance &amp; Consent Management: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HIPAA, 42 CFR Part 2 enforcement</w:t>
      </w:r>
    </w:p>
    <w:p w14:paraId="5D6AA56E" w14:textId="304E1FB7" w:rsidR="001113D7" w:rsidRPr="001113D7" w:rsidRDefault="001113D7" w:rsidP="001113D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Recommended Technology Partners</w:t>
      </w:r>
    </w:p>
    <w:p w14:paraId="5F5949B8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Interoperability Platforms:</w:t>
      </w:r>
    </w:p>
    <w:p w14:paraId="7F6E1319" w14:textId="77777777" w:rsidR="001113D7" w:rsidRPr="001113D7" w:rsidRDefault="001113D7" w:rsidP="00111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1upHealth: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Modern FHIR architecture; ideal for custom analytics</w:t>
      </w:r>
    </w:p>
    <w:p w14:paraId="3CDF9E91" w14:textId="77777777" w:rsidR="001113D7" w:rsidRPr="001113D7" w:rsidRDefault="001113D7" w:rsidP="001113D7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proofErr w:type="spellStart"/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Smartlink</w:t>
      </w:r>
      <w:proofErr w:type="spellEnd"/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Flexible connectivity (APIs, HL7, legacy systems)</w:t>
      </w:r>
    </w:p>
    <w:p w14:paraId="69D2FD82" w14:textId="77777777" w:rsidR="001113D7" w:rsidRPr="001113D7" w:rsidRDefault="001113D7" w:rsidP="001113D7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proofErr w:type="spellStart"/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NexHealth</w:t>
      </w:r>
      <w:proofErr w:type="spellEnd"/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All-in-one (scheduling + engagement + integration)</w:t>
      </w:r>
    </w:p>
    <w:p w14:paraId="5E546673" w14:textId="77777777" w:rsidR="001113D7" w:rsidRPr="001113D7" w:rsidRDefault="001113D7" w:rsidP="001113D7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proofErr w:type="spellStart"/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HiXConnect</w:t>
      </w:r>
      <w:proofErr w:type="spellEnd"/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Salesforce-integrated platform</w:t>
      </w:r>
    </w:p>
    <w:p w14:paraId="66EB3E24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Behavioral Health Integration:</w:t>
      </w:r>
    </w:p>
    <w:p w14:paraId="69BBC849" w14:textId="77777777" w:rsidR="001113D7" w:rsidRPr="001113D7" w:rsidRDefault="001113D7" w:rsidP="00111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proofErr w:type="spellStart"/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evolvedMD</w:t>
      </w:r>
      <w:proofErr w:type="spellEnd"/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</w:t>
      </w:r>
      <w:proofErr w:type="spellStart"/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CoCM</w:t>
      </w:r>
      <w:proofErr w:type="spellEnd"/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-specific workflows, registry, patient app</w:t>
      </w:r>
    </w:p>
    <w:p w14:paraId="63FF9739" w14:textId="77777777" w:rsidR="001113D7" w:rsidRPr="001113D7" w:rsidRDefault="001113D7" w:rsidP="001113D7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Precise Behavioral:</w:t>
      </w: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 Virtual psychiatry + collaborative care service</w:t>
      </w:r>
    </w:p>
    <w:p w14:paraId="56FE26CE" w14:textId="77777777" w:rsidR="001113D7" w:rsidRDefault="001113D7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5F594577" w14:textId="509749FC" w:rsidR="001113D7" w:rsidRPr="001113D7" w:rsidRDefault="001113D7" w:rsidP="001113D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SWOT Analysis</w:t>
      </w:r>
    </w:p>
    <w:p w14:paraId="7ECAC550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Strengths:</w:t>
      </w:r>
    </w:p>
    <w:p w14:paraId="44007B28" w14:textId="77777777" w:rsidR="001113D7" w:rsidRPr="001113D7" w:rsidRDefault="001113D7" w:rsidP="00111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Evidence-based (100+ RCTs)</w:t>
      </w:r>
    </w:p>
    <w:p w14:paraId="6181995A" w14:textId="77777777" w:rsidR="001113D7" w:rsidRPr="001113D7" w:rsidRDefault="001113D7" w:rsidP="001113D7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National policy tailwind (CMS, Medicaid, payers incentivizing integration)</w:t>
      </w:r>
    </w:p>
    <w:p w14:paraId="43E4FA25" w14:textId="77777777" w:rsidR="001113D7" w:rsidRPr="001113D7" w:rsidRDefault="001113D7" w:rsidP="001113D7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FHIR standards enabling rapid, scalable partner onboarding</w:t>
      </w:r>
    </w:p>
    <w:p w14:paraId="425D3F39" w14:textId="77777777" w:rsidR="001113D7" w:rsidRPr="001113D7" w:rsidRDefault="001113D7" w:rsidP="001113D7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Clear ROI story ($6.50 per $1 invested)</w:t>
      </w:r>
    </w:p>
    <w:p w14:paraId="0E4F491F" w14:textId="77777777" w:rsidR="001113D7" w:rsidRPr="001113D7" w:rsidRDefault="001113D7" w:rsidP="001113D7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Modular architecture (partners choose best-of-breed tools)</w:t>
      </w:r>
    </w:p>
    <w:p w14:paraId="12B4F4D2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Weaknesses:</w:t>
      </w:r>
    </w:p>
    <w:p w14:paraId="4320C580" w14:textId="77777777" w:rsidR="001113D7" w:rsidRPr="001113D7" w:rsidRDefault="001113D7" w:rsidP="00111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Vendor dependency (reliance on external interop/registry partners)</w:t>
      </w:r>
    </w:p>
    <w:p w14:paraId="5B459597" w14:textId="77777777" w:rsidR="001113D7" w:rsidRPr="001113D7" w:rsidRDefault="001113D7" w:rsidP="001113D7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Compliance complexity (HIPAA, Part 2, state privacy)</w:t>
      </w:r>
    </w:p>
    <w:p w14:paraId="1788B6BF" w14:textId="77777777" w:rsidR="001113D7" w:rsidRPr="001113D7" w:rsidRDefault="001113D7" w:rsidP="001113D7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Limited negotiating power </w:t>
      </w:r>
      <w:proofErr w:type="gramStart"/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early-stage</w:t>
      </w:r>
      <w:proofErr w:type="gramEnd"/>
    </w:p>
    <w:p w14:paraId="72D77EA6" w14:textId="77777777" w:rsidR="001113D7" w:rsidRPr="001113D7" w:rsidRDefault="001113D7" w:rsidP="001113D7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Staffing model dependency (care manager/psychiatrist shortages)</w:t>
      </w:r>
    </w:p>
    <w:p w14:paraId="50228829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Opportunities:</w:t>
      </w:r>
    </w:p>
    <w:p w14:paraId="57CE6F46" w14:textId="77777777" w:rsidR="001113D7" w:rsidRPr="001113D7" w:rsidRDefault="001113D7" w:rsidP="00111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Psychiatric provider shortage (60% of counties)</w:t>
      </w:r>
    </w:p>
    <w:p w14:paraId="258FBD3A" w14:textId="77777777" w:rsidR="001113D7" w:rsidRPr="001113D7" w:rsidRDefault="001113D7" w:rsidP="001113D7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ED utilization crisis ($5.3B → $17.5B)</w:t>
      </w:r>
    </w:p>
    <w:p w14:paraId="165B2A06" w14:textId="77777777" w:rsidR="001113D7" w:rsidRPr="001113D7" w:rsidRDefault="001113D7" w:rsidP="001113D7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 xml:space="preserve">Telehealth adoption and remote </w:t>
      </w:r>
      <w:proofErr w:type="spellStart"/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CoCM</w:t>
      </w:r>
      <w:proofErr w:type="spellEnd"/>
    </w:p>
    <w:p w14:paraId="4267D463" w14:textId="77777777" w:rsidR="001113D7" w:rsidRPr="001113D7" w:rsidRDefault="001113D7" w:rsidP="001113D7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Value-based care momentum (bundled, capitated payments)</w:t>
      </w:r>
    </w:p>
    <w:p w14:paraId="244BBA40" w14:textId="77777777" w:rsidR="001113D7" w:rsidRPr="001113D7" w:rsidRDefault="001113D7" w:rsidP="001113D7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Health equity funding (federal, philanthropic)</w:t>
      </w:r>
    </w:p>
    <w:p w14:paraId="0834EC64" w14:textId="77777777" w:rsidR="001113D7" w:rsidRPr="001113D7" w:rsidRDefault="001113D7" w:rsidP="001113D7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Payer partnerships and risk contracts</w:t>
      </w:r>
    </w:p>
    <w:p w14:paraId="715D6236" w14:textId="77777777" w:rsidR="001113D7" w:rsidRPr="001113D7" w:rsidRDefault="001113D7" w:rsidP="001113D7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Data analytics &amp; AI for predictive risk modeling</w:t>
      </w:r>
    </w:p>
    <w:p w14:paraId="268DA010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Threats:</w:t>
      </w:r>
    </w:p>
    <w:p w14:paraId="2242559D" w14:textId="77777777" w:rsidR="001113D7" w:rsidRPr="001113D7" w:rsidRDefault="001113D7" w:rsidP="00111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Incumbent competition (large health systems, EHR vendors)</w:t>
      </w:r>
    </w:p>
    <w:p w14:paraId="65DB2CAB" w14:textId="77777777" w:rsidR="001113D7" w:rsidRPr="001113D7" w:rsidRDefault="001113D7" w:rsidP="001113D7">
      <w:pPr>
        <w:numPr>
          <w:ilvl w:val="0"/>
          <w:numId w:val="1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Regulatory uncertainty (HIPAA, Part 2 changes)</w:t>
      </w:r>
    </w:p>
    <w:p w14:paraId="244D84A6" w14:textId="77777777" w:rsidR="001113D7" w:rsidRPr="001113D7" w:rsidRDefault="001113D7" w:rsidP="001113D7">
      <w:pPr>
        <w:numPr>
          <w:ilvl w:val="0"/>
          <w:numId w:val="1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Cyber/data breach risk</w:t>
      </w:r>
    </w:p>
    <w:p w14:paraId="4CE696B1" w14:textId="77777777" w:rsidR="001113D7" w:rsidRPr="001113D7" w:rsidRDefault="001113D7" w:rsidP="001113D7">
      <w:pPr>
        <w:numPr>
          <w:ilvl w:val="0"/>
          <w:numId w:val="1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Payer consolidation and narrow networks</w:t>
      </w:r>
    </w:p>
    <w:p w14:paraId="452FDB98" w14:textId="77777777" w:rsidR="001113D7" w:rsidRPr="001113D7" w:rsidRDefault="001113D7" w:rsidP="001113D7">
      <w:pPr>
        <w:numPr>
          <w:ilvl w:val="0"/>
          <w:numId w:val="1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Staffing burnout and turnover</w:t>
      </w:r>
    </w:p>
    <w:p w14:paraId="58082125" w14:textId="77777777" w:rsidR="001113D7" w:rsidRPr="001113D7" w:rsidRDefault="001113D7" w:rsidP="001113D7">
      <w:pPr>
        <w:numPr>
          <w:ilvl w:val="0"/>
          <w:numId w:val="14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Technology integration failures</w:t>
      </w:r>
    </w:p>
    <w:p w14:paraId="43D80B27" w14:textId="77777777" w:rsidR="001113D7" w:rsidRDefault="001113D7">
      <w:pP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br w:type="page"/>
      </w:r>
    </w:p>
    <w:p w14:paraId="4AEC7ADB" w14:textId="6F239A01" w:rsidR="001113D7" w:rsidRPr="001113D7" w:rsidRDefault="001113D7" w:rsidP="001113D7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:sz w:val="30"/>
          <w:szCs w:val="30"/>
          <w14:ligatures w14:val="none"/>
        </w:rPr>
        <w:t>Compliance Framework</w:t>
      </w:r>
    </w:p>
    <w:p w14:paraId="6D320B68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HIPAA &amp; HITECH:</w:t>
      </w:r>
    </w:p>
    <w:p w14:paraId="33EC8B8B" w14:textId="77777777" w:rsidR="001113D7" w:rsidRPr="001113D7" w:rsidRDefault="001113D7" w:rsidP="00111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All partners sign Business Associate Agreements (BAAs)</w:t>
      </w:r>
    </w:p>
    <w:p w14:paraId="14B22997" w14:textId="77777777" w:rsidR="001113D7" w:rsidRPr="001113D7" w:rsidRDefault="001113D7" w:rsidP="001113D7">
      <w:pPr>
        <w:numPr>
          <w:ilvl w:val="0"/>
          <w:numId w:val="1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Technical safeguards (encryption in transit/at rest, access controls, audit logging)</w:t>
      </w:r>
    </w:p>
    <w:p w14:paraId="11F25462" w14:textId="77777777" w:rsidR="001113D7" w:rsidRPr="001113D7" w:rsidRDefault="001113D7" w:rsidP="001113D7">
      <w:pPr>
        <w:numPr>
          <w:ilvl w:val="0"/>
          <w:numId w:val="1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Breach notification (24 hours to individuals, 60 days to HHS)</w:t>
      </w:r>
    </w:p>
    <w:p w14:paraId="189BF4DE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42 CFR Part 2 (SUD Records):</w:t>
      </w:r>
    </w:p>
    <w:p w14:paraId="320DA425" w14:textId="77777777" w:rsidR="001113D7" w:rsidRPr="001113D7" w:rsidRDefault="001113D7" w:rsidP="00111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Stricter confidentiality for federally assisted SUD programs</w:t>
      </w:r>
    </w:p>
    <w:p w14:paraId="505EDB75" w14:textId="77777777" w:rsidR="001113D7" w:rsidRPr="001113D7" w:rsidRDefault="001113D7" w:rsidP="001113D7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Consent for use/disclosure narrower than HIPAA</w:t>
      </w:r>
    </w:p>
    <w:p w14:paraId="6216044C" w14:textId="77777777" w:rsidR="001113D7" w:rsidRPr="001113D7" w:rsidRDefault="001113D7" w:rsidP="001113D7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Redisclosure controls (no downstream sharing without consent)</w:t>
      </w:r>
    </w:p>
    <w:p w14:paraId="01AFCDED" w14:textId="77777777" w:rsidR="001113D7" w:rsidRPr="001113D7" w:rsidRDefault="001113D7" w:rsidP="001113D7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Updated 2024 rule allows single consent for treatment, payment, operations</w:t>
      </w:r>
    </w:p>
    <w:p w14:paraId="507BA94E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State Privacy Laws:</w:t>
      </w:r>
    </w:p>
    <w:p w14:paraId="331AF59F" w14:textId="77777777" w:rsidR="001113D7" w:rsidRPr="001113D7" w:rsidRDefault="001113D7" w:rsidP="00111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Jurisdiction-specific obligations (PA Privacy Act, NY SHIELD, etc.)</w:t>
      </w:r>
    </w:p>
    <w:p w14:paraId="2C4DAEE7" w14:textId="77777777" w:rsidR="001113D7" w:rsidRPr="001113D7" w:rsidRDefault="001113D7" w:rsidP="001113D7">
      <w:pPr>
        <w:numPr>
          <w:ilvl w:val="0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Additional behavioral health confidentiality protections</w:t>
      </w:r>
    </w:p>
    <w:p w14:paraId="3B3B9B1A" w14:textId="77777777" w:rsidR="001113D7" w:rsidRPr="001113D7" w:rsidRDefault="001113D7" w:rsidP="001113D7">
      <w:pPr>
        <w:spacing w:after="240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b/>
          <w:bCs/>
          <w:color w:val="404040" w:themeColor="text1" w:themeTint="BF"/>
          <w:kern w:val="0"/>
          <w14:ligatures w14:val="none"/>
        </w:rPr>
        <w:t>Pre-Onboarding Compliance Checklist:</w:t>
      </w:r>
    </w:p>
    <w:p w14:paraId="78B9FD59" w14:textId="77777777" w:rsidR="001113D7" w:rsidRPr="001113D7" w:rsidRDefault="001113D7" w:rsidP="00111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BAA and DSA signed</w:t>
      </w:r>
    </w:p>
    <w:p w14:paraId="1239356C" w14:textId="77777777" w:rsidR="001113D7" w:rsidRPr="001113D7" w:rsidRDefault="001113D7" w:rsidP="001113D7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42 CFR Part 2 addendum (if SUD involved)</w:t>
      </w:r>
    </w:p>
    <w:p w14:paraId="37C32DE7" w14:textId="77777777" w:rsidR="001113D7" w:rsidRPr="001113D7" w:rsidRDefault="001113D7" w:rsidP="001113D7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Cyber liability insurance verified</w:t>
      </w:r>
    </w:p>
    <w:p w14:paraId="55C4BD33" w14:textId="77777777" w:rsidR="001113D7" w:rsidRPr="001113D7" w:rsidRDefault="001113D7" w:rsidP="001113D7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Vendor risk assessments complete</w:t>
      </w:r>
    </w:p>
    <w:p w14:paraId="779B35E6" w14:textId="77777777" w:rsidR="001113D7" w:rsidRPr="001113D7" w:rsidRDefault="001113D7" w:rsidP="001113D7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Staff training on HIPAA and Part 2</w:t>
      </w:r>
    </w:p>
    <w:p w14:paraId="186FB9BC" w14:textId="77777777" w:rsidR="001113D7" w:rsidRPr="001113D7" w:rsidRDefault="001113D7" w:rsidP="001113D7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</w:pPr>
      <w:r w:rsidRPr="001113D7">
        <w:rPr>
          <w:rFonts w:ascii="Segoe UI" w:eastAsia="Times New Roman" w:hAnsi="Segoe UI" w:cs="Segoe UI"/>
          <w:color w:val="404040" w:themeColor="text1" w:themeTint="BF"/>
          <w:kern w:val="0"/>
          <w14:ligatures w14:val="none"/>
        </w:rPr>
        <w:t>Consent and privacy processes finalized</w:t>
      </w:r>
    </w:p>
    <w:p w14:paraId="33D7167C" w14:textId="77777777" w:rsidR="001F2E22" w:rsidRPr="001113D7" w:rsidRDefault="001F2E22">
      <w:pPr>
        <w:rPr>
          <w:color w:val="404040" w:themeColor="text1" w:themeTint="BF"/>
        </w:rPr>
      </w:pPr>
    </w:p>
    <w:sectPr w:rsidR="001F2E22" w:rsidRPr="00111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43AF"/>
    <w:multiLevelType w:val="multilevel"/>
    <w:tmpl w:val="C902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31E4"/>
    <w:multiLevelType w:val="multilevel"/>
    <w:tmpl w:val="6AD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6851"/>
    <w:multiLevelType w:val="multilevel"/>
    <w:tmpl w:val="97C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0431B"/>
    <w:multiLevelType w:val="multilevel"/>
    <w:tmpl w:val="3F9C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F1698"/>
    <w:multiLevelType w:val="multilevel"/>
    <w:tmpl w:val="DD3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A6176"/>
    <w:multiLevelType w:val="multilevel"/>
    <w:tmpl w:val="4D3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84DFF"/>
    <w:multiLevelType w:val="multilevel"/>
    <w:tmpl w:val="CCA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E0E79"/>
    <w:multiLevelType w:val="multilevel"/>
    <w:tmpl w:val="D6F4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35AA9"/>
    <w:multiLevelType w:val="multilevel"/>
    <w:tmpl w:val="915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C3D76"/>
    <w:multiLevelType w:val="multilevel"/>
    <w:tmpl w:val="0CB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65B3F"/>
    <w:multiLevelType w:val="multilevel"/>
    <w:tmpl w:val="8DD6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45644"/>
    <w:multiLevelType w:val="multilevel"/>
    <w:tmpl w:val="7B7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01FEF"/>
    <w:multiLevelType w:val="multilevel"/>
    <w:tmpl w:val="AAF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4041E"/>
    <w:multiLevelType w:val="multilevel"/>
    <w:tmpl w:val="4D12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311F0"/>
    <w:multiLevelType w:val="multilevel"/>
    <w:tmpl w:val="9B8C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42197"/>
    <w:multiLevelType w:val="multilevel"/>
    <w:tmpl w:val="98F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1772C"/>
    <w:multiLevelType w:val="multilevel"/>
    <w:tmpl w:val="61C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72D8A"/>
    <w:multiLevelType w:val="multilevel"/>
    <w:tmpl w:val="7ADE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120852">
    <w:abstractNumId w:val="3"/>
  </w:num>
  <w:num w:numId="2" w16cid:durableId="1488276945">
    <w:abstractNumId w:val="9"/>
  </w:num>
  <w:num w:numId="3" w16cid:durableId="899175079">
    <w:abstractNumId w:val="5"/>
  </w:num>
  <w:num w:numId="4" w16cid:durableId="797643798">
    <w:abstractNumId w:val="1"/>
  </w:num>
  <w:num w:numId="5" w16cid:durableId="603612173">
    <w:abstractNumId w:val="12"/>
  </w:num>
  <w:num w:numId="6" w16cid:durableId="1121850104">
    <w:abstractNumId w:val="7"/>
  </w:num>
  <w:num w:numId="7" w16cid:durableId="825784804">
    <w:abstractNumId w:val="16"/>
  </w:num>
  <w:num w:numId="8" w16cid:durableId="1484196993">
    <w:abstractNumId w:val="17"/>
  </w:num>
  <w:num w:numId="9" w16cid:durableId="108554561">
    <w:abstractNumId w:val="15"/>
  </w:num>
  <w:num w:numId="10" w16cid:durableId="2057007093">
    <w:abstractNumId w:val="11"/>
  </w:num>
  <w:num w:numId="11" w16cid:durableId="759759105">
    <w:abstractNumId w:val="14"/>
  </w:num>
  <w:num w:numId="12" w16cid:durableId="1067844721">
    <w:abstractNumId w:val="13"/>
  </w:num>
  <w:num w:numId="13" w16cid:durableId="123887041">
    <w:abstractNumId w:val="0"/>
  </w:num>
  <w:num w:numId="14" w16cid:durableId="659886734">
    <w:abstractNumId w:val="4"/>
  </w:num>
  <w:num w:numId="15" w16cid:durableId="507254358">
    <w:abstractNumId w:val="2"/>
  </w:num>
  <w:num w:numId="16" w16cid:durableId="61487395">
    <w:abstractNumId w:val="6"/>
  </w:num>
  <w:num w:numId="17" w16cid:durableId="1575774279">
    <w:abstractNumId w:val="8"/>
  </w:num>
  <w:num w:numId="18" w16cid:durableId="576473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D7"/>
    <w:rsid w:val="001113D7"/>
    <w:rsid w:val="00133B90"/>
    <w:rsid w:val="001E45FB"/>
    <w:rsid w:val="001F1A83"/>
    <w:rsid w:val="001F2E22"/>
    <w:rsid w:val="0021465A"/>
    <w:rsid w:val="00846760"/>
    <w:rsid w:val="00F52C0B"/>
    <w:rsid w:val="00F632D6"/>
    <w:rsid w:val="00FD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36083"/>
  <w15:chartTrackingRefBased/>
  <w15:docId w15:val="{C40AEA8C-2D16-4540-B676-81A7973B1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113D7"/>
  </w:style>
  <w:style w:type="character" w:styleId="Strong">
    <w:name w:val="Strong"/>
    <w:basedOn w:val="DefaultParagraphFont"/>
    <w:uiPriority w:val="22"/>
    <w:qFormat/>
    <w:rsid w:val="001113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602</Words>
  <Characters>4289</Characters>
  <Application>Microsoft Office Word</Application>
  <DocSecurity>0</DocSecurity>
  <Lines>108</Lines>
  <Paragraphs>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IHEP PARTNERSHIP PROSPECTUS</vt:lpstr>
      <vt:lpstr>        Executive Summary</vt:lpstr>
      <vt:lpstr>        The Market Need</vt:lpstr>
      <vt:lpstr>        The Solution: Collaborative Care Model</vt:lpstr>
      <vt:lpstr>        Value by Partner Type</vt:lpstr>
      <vt:lpstr>        Technology Architecture</vt:lpstr>
      <vt:lpstr>        Recommended Technology Partners</vt:lpstr>
      <vt:lpstr>        SWOT Analysis</vt:lpstr>
      <vt:lpstr>        Compliance Framework</vt:lpstr>
    </vt:vector>
  </TitlesOfParts>
  <Manager/>
  <Company>Trade Momentum LLC</Company>
  <LinksUpToDate>false</LinksUpToDate>
  <CharactersWithSpaces>4856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IHEP PARTNERSHIP PROSPECTUS</dc:title>
  <dc:subject>IHEP Partnership Application Directions</dc:subject>
  <dc:creator>Jason M Jarmacz</dc:creator>
  <cp:keywords/>
  <dc:description/>
  <cp:lastModifiedBy>Jason Jarmacz</cp:lastModifiedBy>
  <cp:revision>2</cp:revision>
  <dcterms:created xsi:type="dcterms:W3CDTF">2026-01-08T21:26:00Z</dcterms:created>
  <dcterms:modified xsi:type="dcterms:W3CDTF">2026-01-08T21:26:00Z</dcterms:modified>
  <cp:category>Life Sciences</cp:category>
</cp:coreProperties>
</file>