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7ACA" w14:textId="77777777" w:rsidR="001D7250" w:rsidRPr="001D7250" w:rsidRDefault="001D7250" w:rsidP="001D725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>ONE-PAGE EXECUTIVE SUMMARY</w:t>
      </w:r>
    </w:p>
    <w:p w14:paraId="5349FF18" w14:textId="77777777" w:rsidR="001D7250" w:rsidRP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IHEP: Transforming Behavioral Health Care</w:t>
      </w:r>
    </w:p>
    <w:p w14:paraId="64F1BFDC" w14:textId="77777777" w:rsid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5DA80AD" w14:textId="77777777" w:rsid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FC7211B" w14:textId="77777777" w:rsid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6E5F886" w14:textId="77777777" w:rsid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10ABF52D" w14:textId="77777777" w:rsidR="001D7250" w:rsidRDefault="001D7250" w:rsidP="001D725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</w:p>
    <w:p w14:paraId="002D250B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The Opportunity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Over 60% of U.S. counties lack adequate psychiatric providers. Behavioral health–related ED visits are projected to cost $17.5 billion by 2040. IHEP partners with primary care providers, behavioral health organizations, and EHR vendors to deploy the evidence-based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Collaborative Care Model (</w:t>
      </w:r>
      <w:proofErr w:type="spellStart"/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CoCM</w:t>
      </w:r>
      <w:proofErr w:type="spellEnd"/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)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.</w:t>
      </w:r>
    </w:p>
    <w:p w14:paraId="5EF2C2E7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The Evidence (100+ RCTs)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Outcome | Result | |---------|--------| |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Return on Investment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$6.50 per $1 invested | |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ED Visit Reduction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54% | |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Psychiatric Admission Reduction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49% | |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Annual Savings per Patient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$1,600–$2,400 | | </w:t>
      </w: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Depression Remission Speed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| 7x faster than usual care |</w:t>
      </w:r>
    </w:p>
    <w:p w14:paraId="222C02B2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How It Works</w:t>
      </w:r>
    </w:p>
    <w:p w14:paraId="0D70224F" w14:textId="77777777" w:rsidR="001D7250" w:rsidRPr="001D7250" w:rsidRDefault="001D7250" w:rsidP="001D7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Care Team: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PCP + Care Manager + Consulting Psychiatrist</w:t>
      </w:r>
    </w:p>
    <w:p w14:paraId="21E0FAA8" w14:textId="77777777" w:rsidR="001D7250" w:rsidRPr="001D7250" w:rsidRDefault="001D7250" w:rsidP="001D7250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Care Manager: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Screens, educates, coaches, monitors patients</w:t>
      </w:r>
    </w:p>
    <w:p w14:paraId="4EFCBD39" w14:textId="77777777" w:rsidR="001D7250" w:rsidRPr="001D7250" w:rsidRDefault="001D7250" w:rsidP="001D7250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Psychiatrist: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Diagnostic consultation, medication guidance (10–15% time per patient)</w:t>
      </w:r>
    </w:p>
    <w:p w14:paraId="50F40467" w14:textId="77777777" w:rsidR="001D7250" w:rsidRPr="001D7250" w:rsidRDefault="001D7250" w:rsidP="001D7250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Billing: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CPT codes 99492, 99493, 99494 ($40–$150/patient/month)</w:t>
      </w:r>
    </w:p>
    <w:p w14:paraId="3C59D54F" w14:textId="77777777" w:rsidR="001D7250" w:rsidRPr="001D7250" w:rsidRDefault="001D7250" w:rsidP="001D7250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Technology: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Standards-based interoperability (FHIR/HL7) connecting EHRs, portal, registry</w:t>
      </w:r>
    </w:p>
    <w:p w14:paraId="5D591522" w14:textId="77777777" w:rsidR="001D7250" w:rsidRPr="001D7250" w:rsidRDefault="001D7250" w:rsidP="001D7250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Compliance: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HIPAA, 42 CFR Part 2, state privacy, DEA telemedicine rules</w:t>
      </w:r>
    </w:p>
    <w:p w14:paraId="741E3F2E" w14:textId="77777777" w:rsidR="001D7250" w:rsidRDefault="001D7250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br w:type="page"/>
      </w:r>
    </w:p>
    <w:p w14:paraId="3D8CA699" w14:textId="773CD758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lastRenderedPageBreak/>
        <w:t>What Partners Get</w:t>
      </w:r>
    </w:p>
    <w:p w14:paraId="57E00EFA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Primary Care: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Behavioral health expert within days + CPT code revenue + improved outcomes + reduced burnout</w:t>
      </w:r>
    </w:p>
    <w:p w14:paraId="49AB6D07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Behavioral Health: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8x capacity multiplier + sustainable reimbursement + primary care network access</w:t>
      </w:r>
    </w:p>
    <w:p w14:paraId="50828813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EHR Vendors: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Behavioral health integration leadership + reference customers + joint interoperability roadmap</w:t>
      </w:r>
    </w:p>
    <w:p w14:paraId="3AAB1546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Implementation Timeline</w:t>
      </w:r>
    </w:p>
    <w:p w14:paraId="505BE623" w14:textId="77777777" w:rsidR="001D7250" w:rsidRPr="001D7250" w:rsidRDefault="001D7250" w:rsidP="001D7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Weeks 1–2: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Interest &amp; assessment</w:t>
      </w:r>
    </w:p>
    <w:p w14:paraId="7098A008" w14:textId="77777777" w:rsidR="001D7250" w:rsidRPr="001D7250" w:rsidRDefault="001D7250" w:rsidP="001D7250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Weeks 2–4: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Deep-dive discovery</w:t>
      </w:r>
    </w:p>
    <w:p w14:paraId="2A405283" w14:textId="77777777" w:rsidR="001D7250" w:rsidRPr="001D7250" w:rsidRDefault="001D7250" w:rsidP="001D7250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Weeks 4–8: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Compliance &amp; legal review</w:t>
      </w:r>
    </w:p>
    <w:p w14:paraId="00AA2BF5" w14:textId="77777777" w:rsidR="001D7250" w:rsidRPr="001D7250" w:rsidRDefault="001D7250" w:rsidP="001D7250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Weeks 6–12: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Technical planning &amp; setup</w:t>
      </w:r>
    </w:p>
    <w:p w14:paraId="1B650A9B" w14:textId="77777777" w:rsidR="001D7250" w:rsidRPr="001D7250" w:rsidRDefault="001D7250" w:rsidP="001D7250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Weeks 12–24: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Pilot launch &amp; optimization</w:t>
      </w:r>
    </w:p>
    <w:p w14:paraId="0E54A36C" w14:textId="77777777" w:rsidR="001D7250" w:rsidRPr="001D7250" w:rsidRDefault="001D7250" w:rsidP="001D7250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Month 4+: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Scale &amp; continuous improvement</w:t>
      </w:r>
    </w:p>
    <w:p w14:paraId="600E0D4F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Financial Model (Typical Practice: 100–150 Patients)</w:t>
      </w:r>
    </w:p>
    <w:p w14:paraId="16217232" w14:textId="77777777" w:rsidR="001D7250" w:rsidRPr="001D7250" w:rsidRDefault="001D7250" w:rsidP="001D72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Months 1–3: -$20K–$50K (startup phase)</w:t>
      </w:r>
    </w:p>
    <w:p w14:paraId="1C26A5E8" w14:textId="77777777" w:rsidR="001D7250" w:rsidRPr="001D7250" w:rsidRDefault="001D7250" w:rsidP="001D7250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Months 4–9: Break-even to positive</w:t>
      </w:r>
    </w:p>
    <w:p w14:paraId="11B78289" w14:textId="77777777" w:rsidR="001D7250" w:rsidRPr="001D7250" w:rsidRDefault="001D7250" w:rsidP="001D7250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Months 10–12: +$50K–$150K</w:t>
      </w:r>
    </w:p>
    <w:p w14:paraId="48177FA9" w14:textId="77777777" w:rsidR="001D7250" w:rsidRPr="001D7250" w:rsidRDefault="001D7250" w:rsidP="001D7250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Year 2+: +$100K–$300K+ ROI</w:t>
      </w:r>
    </w:p>
    <w:p w14:paraId="3A54797C" w14:textId="77777777" w:rsidR="001D7250" w:rsidRDefault="001D7250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br w:type="page"/>
      </w:r>
    </w:p>
    <w:p w14:paraId="48895195" w14:textId="0DF63B7A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Technology Partners</w:t>
      </w: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1upHealth (FHIR), </w:t>
      </w:r>
      <w:proofErr w:type="spellStart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Smartlink</w:t>
      </w:r>
      <w:proofErr w:type="spellEnd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(flexible connectivity), </w:t>
      </w:r>
      <w:proofErr w:type="spellStart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NexHealth</w:t>
      </w:r>
      <w:proofErr w:type="spellEnd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(all-in-one), </w:t>
      </w:r>
      <w:proofErr w:type="spellStart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HiXConnect</w:t>
      </w:r>
      <w:proofErr w:type="spellEnd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(Salesforce), </w:t>
      </w:r>
      <w:proofErr w:type="spellStart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evolvedMD</w:t>
      </w:r>
      <w:proofErr w:type="spellEnd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</w:t>
      </w:r>
      <w:proofErr w:type="spellStart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workflows), Precise Behavioral (virtual psychiatry)</w:t>
      </w:r>
    </w:p>
    <w:p w14:paraId="570B9D24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Why IHEP Now</w:t>
      </w:r>
    </w:p>
    <w:p w14:paraId="73984A03" w14:textId="77777777" w:rsidR="001D7250" w:rsidRPr="001D7250" w:rsidRDefault="001D7250" w:rsidP="001D72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Evidence-based, proven model</w:t>
      </w:r>
    </w:p>
    <w:p w14:paraId="345C506C" w14:textId="77777777" w:rsidR="001D7250" w:rsidRPr="001D7250" w:rsidRDefault="001D7250" w:rsidP="001D7250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National policy tailwind (CMS, Medicaid, payers)</w:t>
      </w:r>
    </w:p>
    <w:p w14:paraId="54861853" w14:textId="77777777" w:rsidR="001D7250" w:rsidRPr="001D7250" w:rsidRDefault="001D7250" w:rsidP="001D7250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Psychiatrist shortage creating urgent need</w:t>
      </w:r>
    </w:p>
    <w:p w14:paraId="376000DE" w14:textId="77777777" w:rsidR="001D7250" w:rsidRPr="001D7250" w:rsidRDefault="001D7250" w:rsidP="001D7250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FHIR standards enabling rapid integration</w:t>
      </w:r>
    </w:p>
    <w:p w14:paraId="790E20E2" w14:textId="77777777" w:rsidR="001D7250" w:rsidRPr="001D7250" w:rsidRDefault="001D7250" w:rsidP="001D7250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Telehealth maturity + remote care acceptance</w:t>
      </w:r>
    </w:p>
    <w:p w14:paraId="2E106EF2" w14:textId="77777777" w:rsidR="001D7250" w:rsidRPr="001D7250" w:rsidRDefault="001D7250" w:rsidP="001D7250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Next Steps</w:t>
      </w:r>
    </w:p>
    <w:p w14:paraId="477D0285" w14:textId="77777777" w:rsidR="001D7250" w:rsidRPr="001D7250" w:rsidRDefault="001D7250" w:rsidP="001D72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Contact us to express interest</w:t>
      </w:r>
    </w:p>
    <w:p w14:paraId="21D68288" w14:textId="77777777" w:rsidR="001D7250" w:rsidRPr="001D7250" w:rsidRDefault="001D7250" w:rsidP="001D7250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Schedule 30-minute discovery call</w:t>
      </w:r>
    </w:p>
    <w:p w14:paraId="3D5A698F" w14:textId="77777777" w:rsidR="001D7250" w:rsidRPr="001D7250" w:rsidRDefault="001D7250" w:rsidP="001D7250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Review technical &amp; clinical roadmap</w:t>
      </w:r>
    </w:p>
    <w:p w14:paraId="509057BC" w14:textId="77777777" w:rsidR="001D7250" w:rsidRPr="001D7250" w:rsidRDefault="001D7250" w:rsidP="001D7250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D7250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Plan 6-month implementation journey</w:t>
      </w:r>
    </w:p>
    <w:p w14:paraId="1591A987" w14:textId="77777777" w:rsidR="001F2E22" w:rsidRPr="001D7250" w:rsidRDefault="001F2E22">
      <w:pPr>
        <w:rPr>
          <w:color w:val="404040" w:themeColor="text1" w:themeTint="BF"/>
        </w:rPr>
      </w:pPr>
    </w:p>
    <w:sectPr w:rsidR="001F2E22" w:rsidRPr="001D7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C3F"/>
    <w:multiLevelType w:val="multilevel"/>
    <w:tmpl w:val="3A6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28A"/>
    <w:multiLevelType w:val="multilevel"/>
    <w:tmpl w:val="531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354F4"/>
    <w:multiLevelType w:val="multilevel"/>
    <w:tmpl w:val="D92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12704"/>
    <w:multiLevelType w:val="multilevel"/>
    <w:tmpl w:val="0D7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49E1"/>
    <w:multiLevelType w:val="multilevel"/>
    <w:tmpl w:val="E55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3488">
    <w:abstractNumId w:val="0"/>
  </w:num>
  <w:num w:numId="2" w16cid:durableId="2078356829">
    <w:abstractNumId w:val="3"/>
  </w:num>
  <w:num w:numId="3" w16cid:durableId="1935481074">
    <w:abstractNumId w:val="4"/>
  </w:num>
  <w:num w:numId="4" w16cid:durableId="1271888754">
    <w:abstractNumId w:val="2"/>
  </w:num>
  <w:num w:numId="5" w16cid:durableId="202165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50"/>
    <w:rsid w:val="00133B90"/>
    <w:rsid w:val="00184FE6"/>
    <w:rsid w:val="001D7250"/>
    <w:rsid w:val="001F1A83"/>
    <w:rsid w:val="001F2E22"/>
    <w:rsid w:val="0021465A"/>
    <w:rsid w:val="00846760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E0E4"/>
  <w15:chartTrackingRefBased/>
  <w15:docId w15:val="{07143B27-B2A6-CB4C-8848-5A1E2798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250"/>
    <w:rPr>
      <w:b/>
      <w:bCs/>
    </w:rPr>
  </w:style>
  <w:style w:type="character" w:customStyle="1" w:styleId="apple-converted-space">
    <w:name w:val="apple-converted-space"/>
    <w:basedOn w:val="DefaultParagraphFont"/>
    <w:rsid w:val="001D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2137</Characters>
  <Application>Microsoft Office Word</Application>
  <DocSecurity>0</DocSecurity>
  <Lines>59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ONE-PAGE EXECUTIVE SUMMARY</vt:lpstr>
      <vt:lpstr>        IHEP: Transforming Behavioral Health Care</vt:lpstr>
      <vt:lpstr>        </vt:lpstr>
      <vt:lpstr>        </vt:lpstr>
      <vt:lpstr>        </vt:lpstr>
      <vt:lpstr>        </vt:lpstr>
      <vt:lpstr>        </vt:lpstr>
    </vt:vector>
  </TitlesOfParts>
  <Manager/>
  <Company>Trade Momentum LLC</Company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ONE-PAGE EXECUTIVE SUMMARY</dc:title>
  <dc:subject>Transforming Behavioral Health</dc:subject>
  <dc:creator>Jason M Jarmacz</dc:creator>
  <cp:keywords/>
  <dc:description/>
  <cp:lastModifiedBy>Jason Jarmacz</cp:lastModifiedBy>
  <cp:revision>2</cp:revision>
  <dcterms:created xsi:type="dcterms:W3CDTF">2026-01-08T21:29:00Z</dcterms:created>
  <dcterms:modified xsi:type="dcterms:W3CDTF">2026-01-08T21:29:00Z</dcterms:modified>
  <cp:category>Life Sciences</cp:category>
</cp:coreProperties>
</file>