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600"/>
              <w:left w:type="dxa" w:w="400"/>
              <w:bottom w:type="dxa" w:w="600"/>
              <w:right w:type="dxa" w:w="400"/>
            </w:tcMar>
          </w:tcPr>
          <w:p>
            <w:pPr>
              <w:spacing w:after="160"/>
              <w:jc w:val="left"/>
            </w:pPr>
            <w:r>
              <w:rPr>
                <w:rFonts w:ascii="Arial" w:cs="Arial" w:eastAsia="Arial" w:hAnsi="Arial"/>
                <w:b/>
                <w:bCs/>
                <w:color w:val="CECBF6"/>
                <w:sz w:val="22"/>
                <w:szCs w:val="22"/>
              </w:rPr>
              <w:t xml:space="preserve">REGRESSION MODEL EVALUATION</w:t>
            </w:r>
          </w:p>
          <w:p>
            <w:pPr>
              <w:spacing w:after="200"/>
              <w:jc w:val="left"/>
            </w:pPr>
            <w:r>
              <w:rPr>
                <w:rFonts w:ascii="Arial" w:cs="Arial" w:eastAsia="Arial" w:hAnsi="Arial"/>
                <w:b/>
                <w:bCs/>
                <w:color w:val="FFFFFF"/>
                <w:sz w:val="48"/>
                <w:szCs w:val="48"/>
              </w:rPr>
              <w:t xml:space="preserve">Predicting Disease Burden Ratio</w:t>
            </w:r>
          </w:p>
          <w:p>
            <w:pPr>
              <w:spacing w:after="200"/>
              <w:jc w:val="left"/>
            </w:pPr>
            <w:r>
              <w:rPr>
                <w:rFonts w:ascii="Arial" w:cs="Arial" w:eastAsia="Arial" w:hAnsi="Arial"/>
                <w:color w:val="CECBF6"/>
                <w:sz w:val="36"/>
                <w:szCs w:val="36"/>
              </w:rPr>
              <w:t xml:space="preserve">from Australia's Burden of Disease Study 2024</w:t>
            </w:r>
          </w:p>
          <w:p>
            <w:pPr>
              <w:pBdr>
                <w:top w:val="single" w:color="CECBF6" w:sz="4" w:space="8"/>
              </w:pBdr>
              <w:spacing w:after="0"/>
            </w:pPr>
            <w:r>
              <w:t xml:space="preserve"/>
            </w:r>
          </w:p>
          <w:p>
            <w:pPr>
              <w:spacing w:after="120"/>
            </w:pPr>
            <w:r>
              <w:t xml:space="preserve"/>
            </w:r>
          </w:p>
          <w:p>
            <w:pPr>
              <w:spacing w:after="80"/>
            </w:pPr>
            <w:r>
              <w:rPr>
                <w:rFonts w:ascii="Arial" w:cs="Arial" w:eastAsia="Arial" w:hAnsi="Arial"/>
                <w:color w:val="AFA9EC"/>
                <w:sz w:val="20"/>
                <w:szCs w:val="20"/>
              </w:rPr>
              <w:t xml:space="preserve">Anuradha Nayak  |  Tomorrow University</w:t>
            </w:r>
          </w:p>
          <w:p>
            <w:pPr>
              <w:spacing w:after="0"/>
            </w:pPr>
            <w:r>
              <w:rPr>
                <w:rFonts w:ascii="Arial" w:cs="Arial" w:eastAsia="Arial" w:hAnsi="Arial"/>
                <w:color w:val="AFA9EC"/>
                <w:sz w:val="20"/>
                <w:szCs w:val="20"/>
              </w:rPr>
              <w:t xml:space="preserve">Data-Driven Decisions for Impact  |  2024</w:t>
            </w:r>
          </w:p>
        </w:tc>
      </w:tr>
    </w:tbl>
    <w:p>
      <w:pPr>
        <w:spacing w:after="400"/>
      </w:pPr>
      <w:r>
        <w:t xml:space="preserve"/>
      </w:r>
    </w:p>
    <w:p>
      <w:pPr>
        <w:pStyle w:val="Heading1"/>
      </w:pPr>
      <w:r>
        <w:rPr>
          <w:rFonts w:ascii="Arial" w:cs="Arial" w:eastAsia="Arial" w:hAnsi="Arial"/>
          <w:b/>
          <w:bCs/>
          <w:sz w:val="40"/>
          <w:szCs w:val="40"/>
        </w:rPr>
        <w:t xml:space="preserve">1. Project Overview &amp; Problem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Background &amp; Motivation</w:t>
            </w:r>
          </w:p>
        </w:tc>
      </w:tr>
    </w:tbl>
    <w:p>
      <w:pPr>
        <w:spacing w:after="80"/>
      </w:pPr>
      <w:r>
        <w:t xml:space="preserve"/>
      </w:r>
    </w:p>
    <w:p>
      <w:pPr>
        <w:spacing w:after="160"/>
        <w:jc w:val="left"/>
      </w:pPr>
      <w:r>
        <w:rPr>
          <w:rFonts w:ascii="Arial" w:cs="Arial" w:eastAsia="Arial" w:hAnsi="Arial"/>
          <w:b w:val="false"/>
          <w:bCs w:val="false"/>
          <w:color w:val="1A1A1A"/>
          <w:sz w:val="22"/>
          <w:szCs w:val="22"/>
        </w:rPr>
        <w:t xml:space="preserve">The Australian insurance industry faces a structural challenge: claims complexity from chronic and mental health conditions is accelerating, yet the predictive tools used for risk assessment remain largely static. Insurers typically rely on historical claims data and demographic proxies — but these lag behind the actual trajectory of disease burden in the Australian population.</w:t>
      </w:r>
    </w:p>
    <w:p>
      <w:pPr>
        <w:spacing w:after="80"/>
      </w:pPr>
      <w:r>
        <w:t xml:space="preserve"/>
      </w:r>
    </w:p>
    <w:p>
      <w:pPr>
        <w:spacing w:after="160"/>
        <w:jc w:val="left"/>
      </w:pPr>
      <w:r>
        <w:rPr>
          <w:rFonts w:ascii="Arial" w:cs="Arial" w:eastAsia="Arial" w:hAnsi="Arial"/>
          <w:b w:val="false"/>
          <w:bCs w:val="false"/>
          <w:color w:val="1A1A1A"/>
          <w:sz w:val="22"/>
          <w:szCs w:val="22"/>
        </w:rPr>
        <w:t xml:space="preserve">This project draws on the Australian Burden of Disease Study 2024 (ABDS 2024), published by the Australian Institute of Health and Welfare (AIHW), to build a regression-based model capable of predicting the chronic versus fatal nature of disease burden across demographic segments. The model is evaluated not only on statistical performance but on its potential to serve as a sustainability intelligence tool — identifying where population health risk is shifting before it reaches insurers' claims books.</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00"/>
              <w:left w:type="dxa" w:w="180"/>
              <w:bottom w:type="dxa" w:w="100"/>
              <w:right w:type="dxa" w:w="180"/>
            </w:tcMar>
          </w:tcPr>
          <w:p>
            <w:pPr>
              <w:spacing w:after="0"/>
            </w:pPr>
            <w:r>
              <w:rPr>
                <w:rFonts w:ascii="Arial" w:cs="Arial" w:eastAsia="Arial" w:hAnsi="Arial"/>
                <w:b/>
                <w:bCs/>
                <w:color w:val="993C1D"/>
                <w:sz w:val="22"/>
                <w:szCs w:val="22"/>
              </w:rPr>
              <w:t xml:space="preserve">The Core Problem</w:t>
            </w:r>
          </w:p>
        </w:tc>
      </w:tr>
    </w:tbl>
    <w:p>
      <w:pPr>
        <w:spacing w:after="80"/>
      </w:pPr>
      <w:r>
        <w:t xml:space="preserve"/>
      </w:r>
    </w:p>
    <w:p>
      <w:pPr>
        <w:spacing w:after="160"/>
        <w:jc w:val="left"/>
      </w:pPr>
      <w:r>
        <w:rPr>
          <w:rFonts w:ascii="Arial" w:cs="Arial" w:eastAsia="Arial" w:hAnsi="Arial"/>
          <w:b w:val="false"/>
          <w:bCs w:val="false"/>
          <w:color w:val="1A1A1A"/>
          <w:sz w:val="22"/>
          <w:szCs w:val="22"/>
        </w:rPr>
        <w:t xml:space="preserve">Australian insurers face three compounding gaps:</w:t>
      </w:r>
    </w:p>
    <w:p>
      <w:pPr>
        <w:spacing w:after="60"/>
      </w:pPr>
      <w:r>
        <w:t xml:space="preserve"/>
      </w:r>
    </w:p>
    <w:p>
      <w:pPr>
        <w:pStyle w:val="ListParagraph"/>
        <w:numPr>
          <w:ilvl w:val="0"/>
          <w:numId w:val="2"/>
        </w:numPr>
        <w:spacing w:after="100"/>
      </w:pPr>
      <w:r>
        <w:rPr>
          <w:rFonts w:ascii="Arial" w:cs="Arial" w:eastAsia="Arial" w:hAnsi="Arial"/>
          <w:color w:val="1A1A1A"/>
          <w:sz w:val="22"/>
          <w:szCs w:val="22"/>
        </w:rPr>
        <w:t xml:space="preserve">Risk-product misalignment: Products are designed around historical disease patterns. Obesity surpassed tobacco as Australia's leading modifiable risk factor in 2024, yet most insurance products still treat it reactively.</w:t>
      </w:r>
    </w:p>
    <w:p>
      <w:pPr>
        <w:pStyle w:val="ListParagraph"/>
        <w:numPr>
          <w:ilvl w:val="0"/>
          <w:numId w:val="2"/>
        </w:numPr>
        <w:spacing w:after="100"/>
      </w:pPr>
      <w:r>
        <w:rPr>
          <w:rFonts w:ascii="Arial" w:cs="Arial" w:eastAsia="Arial" w:hAnsi="Arial"/>
          <w:color w:val="1A1A1A"/>
          <w:sz w:val="22"/>
          <w:szCs w:val="22"/>
        </w:rPr>
        <w:t xml:space="preserve">Demographic blind spots: Mental health burden has increased 61% since 2003 and is now the leading burden for ages 5–44. Current underwriting models inadequately price this shift.</w:t>
      </w:r>
    </w:p>
    <w:p>
      <w:pPr>
        <w:pStyle w:val="ListParagraph"/>
        <w:numPr>
          <w:ilvl w:val="0"/>
          <w:numId w:val="2"/>
        </w:numPr>
        <w:spacing w:after="100"/>
      </w:pPr>
      <w:r>
        <w:rPr>
          <w:rFonts w:ascii="Arial" w:cs="Arial" w:eastAsia="Arial" w:hAnsi="Arial"/>
          <w:color w:val="1A1A1A"/>
          <w:sz w:val="22"/>
          <w:szCs w:val="22"/>
        </w:rPr>
        <w:t xml:space="preserve">Sustainability reporting gap: Under SDG 3 (Good Health and Well-being), insurers with ESG commitments must demonstrate awareness of and response to population health deterioration — but lack the analytic infrastructure to do so.</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2"/>
              <w:bottom w:val="none" w:color="FFFFFF" w:sz="0"/>
              <w:right w:val="none" w:color="FFFFFF" w:sz="0"/>
            </w:tcBorders>
            <w:shd w:fill="E1F5EE" w:val="clear"/>
            <w:tcMar>
              <w:top w:type="dxa" w:w="120"/>
              <w:left w:type="dxa" w:w="200"/>
              <w:bottom w:type="dxa" w:w="120"/>
              <w:right w:type="dxa" w:w="200"/>
            </w:tcMar>
          </w:tcPr>
          <w:p>
            <w:pPr>
              <w:spacing w:after="0"/>
            </w:pPr>
            <w:r>
              <w:rPr>
                <w:rFonts w:ascii="Arial" w:cs="Arial" w:eastAsia="Arial" w:hAnsi="Arial"/>
                <w:i/>
                <w:iCs/>
                <w:color w:val="1A1A1A"/>
                <w:sz w:val="21"/>
                <w:szCs w:val="21"/>
              </w:rPr>
              <w:t xml:space="preserve">Central question: Can population-level disease burden data predict whether a condition's impact is primarily chronic (disability/income protection relevant) or fatal (life insurance relevant) — and does this predictive gap reveal an emerging sustainability risk?</w:t>
            </w:r>
          </w:p>
        </w:tc>
      </w:tr>
    </w:tbl>
    <w:p>
      <w:pPr>
        <w:spacing w:after="200"/>
      </w:pPr>
      <w:r>
        <w:t xml:space="preserve"/>
      </w:r>
    </w:p>
    <w:p>
      <w:r>
        <w:br w:type="page"/>
      </w:r>
    </w:p>
    <w:p>
      <w:pPr>
        <w:pStyle w:val="Heading1"/>
      </w:pPr>
      <w:r>
        <w:rPr>
          <w:rFonts w:ascii="Arial" w:cs="Arial" w:eastAsia="Arial" w:hAnsi="Arial"/>
          <w:b/>
          <w:bCs/>
          <w:sz w:val="40"/>
          <w:szCs w:val="40"/>
        </w:rPr>
        <w:t xml:space="preserve">2. Hypothesis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Primary Hypothesis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34AB7" w:sz="12"/>
              <w:bottom w:val="none" w:color="FFFFFF" w:sz="0"/>
              <w:right w:val="none" w:color="FFFFFF" w:sz="0"/>
            </w:tcBorders>
            <w:shd w:fill="EEEDFE" w:val="clear"/>
            <w:tcMar>
              <w:top w:type="dxa" w:w="120"/>
              <w:left w:type="dxa" w:w="200"/>
              <w:bottom w:type="dxa" w:w="120"/>
              <w:right w:type="dxa" w:w="200"/>
            </w:tcMar>
          </w:tcPr>
          <w:p>
            <w:pPr>
              <w:spacing w:after="0"/>
            </w:pPr>
            <w:r>
              <w:rPr>
                <w:rFonts w:ascii="Arial" w:cs="Arial" w:eastAsia="Arial" w:hAnsi="Arial"/>
                <w:i/>
                <w:iCs/>
                <w:color w:val="1A1A1A"/>
                <w:sz w:val="21"/>
                <w:szCs w:val="21"/>
              </w:rPr>
              <w:t xml:space="preserve">H1: The ratio of Years Lived with Disability to total Disability-Adjusted Life Years (YLD/DALY — the "burden ratio") can be meaningfully predicted from demographic and epidemiological features available in the ABDS 2024 dataset, with tree-based and boosting models significantly outperforming linear baselines.</w:t>
            </w:r>
          </w:p>
        </w:tc>
      </w:tr>
    </w:tbl>
    <w:p>
      <w:pPr>
        <w:spacing w:after="120"/>
      </w:pPr>
      <w:r>
        <w:t xml:space="preserve"/>
      </w:r>
    </w:p>
    <w:p>
      <w:pPr>
        <w:spacing w:after="160"/>
        <w:jc w:val="left"/>
      </w:pPr>
      <w:r>
        <w:rPr>
          <w:rFonts w:ascii="Arial" w:cs="Arial" w:eastAsia="Arial" w:hAnsi="Arial"/>
          <w:b w:val="false"/>
          <w:bCs w:val="false"/>
          <w:color w:val="1A1A1A"/>
          <w:sz w:val="22"/>
          <w:szCs w:val="22"/>
        </w:rPr>
        <w:t xml:space="preserve">This hypothesis is grounded in three observable patterns from the ABDS 2024 data:</w:t>
      </w:r>
    </w:p>
    <w:p>
      <w:pPr>
        <w:spacing w:after="80"/>
      </w:pPr>
      <w:r>
        <w:t xml:space="preserve"/>
      </w:r>
    </w:p>
    <w:p>
      <w:pPr>
        <w:pStyle w:val="ListParagraph"/>
        <w:numPr>
          <w:ilvl w:val="0"/>
          <w:numId w:val="2"/>
        </w:numPr>
        <w:spacing w:after="100"/>
      </w:pPr>
      <w:r>
        <w:rPr>
          <w:rFonts w:ascii="Arial" w:cs="Arial" w:eastAsia="Arial" w:hAnsi="Arial"/>
          <w:color w:val="1A1A1A"/>
          <w:sz w:val="22"/>
          <w:szCs w:val="22"/>
        </w:rPr>
        <w:t xml:space="preserve">Disease group is strongly predictive: musculoskeletal and mental health conditions have structurally high YLD/DALY ratios (chronic burden dominates), while cardiovascular diseases and cancers show lower ratios (mortality is a significant component).</w:t>
      </w:r>
    </w:p>
    <w:p>
      <w:pPr>
        <w:pStyle w:val="ListParagraph"/>
        <w:numPr>
          <w:ilvl w:val="0"/>
          <w:numId w:val="2"/>
        </w:numPr>
        <w:spacing w:after="100"/>
      </w:pPr>
      <w:r>
        <w:rPr>
          <w:rFonts w:ascii="Arial" w:cs="Arial" w:eastAsia="Arial" w:hAnsi="Arial"/>
          <w:color w:val="1A1A1A"/>
          <w:sz w:val="22"/>
          <w:szCs w:val="22"/>
        </w:rPr>
        <w:t xml:space="preserve">Age is nonlinearly predictive: the chronic burden ratio follows a U-shaped or inverted-U pattern across age groups — peaking in mid-life for mental health and musculoskeletal conditions, declining again in older ages as fatal conditions dominate.</w:t>
      </w:r>
    </w:p>
    <w:p>
      <w:pPr>
        <w:pStyle w:val="ListParagraph"/>
        <w:numPr>
          <w:ilvl w:val="0"/>
          <w:numId w:val="2"/>
        </w:numPr>
        <w:spacing w:after="100"/>
      </w:pPr>
      <w:r>
        <w:rPr>
          <w:rFonts w:ascii="Arial" w:cs="Arial" w:eastAsia="Arial" w:hAnsi="Arial"/>
          <w:color w:val="1A1A1A"/>
          <w:sz w:val="22"/>
          <w:szCs w:val="22"/>
        </w:rPr>
        <w:t xml:space="preserve">Temporal drift is detectable: the ratio for mental health conditions has increased across the 2003–2024 study period, suggesting the linear relationship between features and target has shifted — a pattern that tree-based models should capture better than statistical regression.</w:t>
      </w:r>
    </w:p>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0"/>
            </w:pPr>
            <w:r>
              <w:rPr>
                <w:rFonts w:ascii="Arial" w:cs="Arial" w:eastAsia="Arial" w:hAnsi="Arial"/>
                <w:b/>
                <w:bCs/>
                <w:color w:val="0F6E56"/>
                <w:sz w:val="22"/>
                <w:szCs w:val="22"/>
              </w:rPr>
              <w:t xml:space="preserve">Secondary (Sustainability) Hypothesis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2"/>
              <w:bottom w:val="none" w:color="FFFFFF" w:sz="0"/>
              <w:right w:val="none" w:color="FFFFFF" w:sz="0"/>
            </w:tcBorders>
            <w:shd w:fill="E1F5EE" w:val="clear"/>
            <w:tcMar>
              <w:top w:type="dxa" w:w="120"/>
              <w:left w:type="dxa" w:w="200"/>
              <w:bottom w:type="dxa" w:w="120"/>
              <w:right w:type="dxa" w:w="200"/>
            </w:tcMar>
          </w:tcPr>
          <w:p>
            <w:pPr>
              <w:spacing w:after="0"/>
            </w:pPr>
            <w:r>
              <w:rPr>
                <w:rFonts w:ascii="Arial" w:cs="Arial" w:eastAsia="Arial" w:hAnsi="Arial"/>
                <w:i/>
                <w:iCs/>
                <w:color w:val="1A1A1A"/>
                <w:sz w:val="21"/>
                <w:szCs w:val="21"/>
              </w:rPr>
              <w:t xml:space="preserve">H2: The residual error of a well-fitted regression model — the gap between predicted and actual burden ratios — will be systematically larger for mental health and musculoskeletal conditions in 2024 than in 2003, indicating that the chronic disease burden is outpacing what historical patterns would predict. This residual drift constitutes a measurable ESG/SDG 3 signal.</w:t>
            </w:r>
          </w:p>
        </w:tc>
      </w:tr>
    </w:tbl>
    <w:p>
      <w:pPr>
        <w:spacing w:after="120"/>
      </w:pPr>
      <w:r>
        <w:t xml:space="preserve"/>
      </w:r>
    </w:p>
    <w:p>
      <w:pPr>
        <w:spacing w:after="160"/>
        <w:jc w:val="left"/>
      </w:pPr>
      <w:r>
        <w:rPr>
          <w:rFonts w:ascii="Arial" w:cs="Arial" w:eastAsia="Arial" w:hAnsi="Arial"/>
          <w:b w:val="false"/>
          <w:bCs w:val="false"/>
          <w:color w:val="1A1A1A"/>
          <w:sz w:val="22"/>
          <w:szCs w:val="22"/>
        </w:rPr>
        <w:t xml:space="preserve">This sustainability hypothesis is deliberately falsifiable. If the residuals are randomly distributed across disease groups and years, the data does not support the business case. If the residuals show systematic positive drift specifically for chronic, non-fatal conditions in recent years, this validates the claim that insurers using static risk models are systematically underestimating the growing chronic disease burden.</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t xml:space="preserve">Null Hypothesis</w:t>
            </w:r>
          </w:p>
        </w:tc>
      </w:tr>
    </w:tbl>
    <w:p>
      <w:pPr>
        <w:spacing w:after="80"/>
      </w:pPr>
      <w:r>
        <w:t xml:space="preserve"/>
      </w:r>
    </w:p>
    <w:p>
      <w:pPr>
        <w:spacing w:after="160"/>
        <w:jc w:val="left"/>
      </w:pPr>
      <w:r>
        <w:rPr>
          <w:rFonts w:ascii="Arial" w:cs="Arial" w:eastAsia="Arial" w:hAnsi="Arial"/>
          <w:b w:val="false"/>
          <w:bCs w:val="false"/>
          <w:color w:val="5F5E5A"/>
          <w:sz w:val="22"/>
          <w:szCs w:val="22"/>
        </w:rPr>
        <w:t xml:space="preserve">H0: The YLD/DALY burden ratio cannot be predicted above a naive baseline (mean prediction) from the available ABDS demographic and epidemiological features. If the best model does not significantly exceed R² &gt; 0.30, the project will report this as a negative result and explore alternative target variables.</w:t>
      </w:r>
    </w:p>
    <w:p>
      <w:pPr>
        <w:spacing w:after="200"/>
      </w:pPr>
      <w:r>
        <w:t xml:space="preserve"/>
      </w:r>
    </w:p>
    <w:p>
      <w:r>
        <w:br w:type="page"/>
      </w:r>
    </w:p>
    <w:p>
      <w:pPr>
        <w:pStyle w:val="Heading1"/>
      </w:pPr>
      <w:r>
        <w:rPr>
          <w:rFonts w:ascii="Arial" w:cs="Arial" w:eastAsia="Arial" w:hAnsi="Arial"/>
          <w:b/>
          <w:bCs/>
          <w:sz w:val="40"/>
          <w:szCs w:val="40"/>
        </w:rPr>
        <w:t xml:space="preserve">3. Dataset Description &amp; Rationale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Primary Data Source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Publisher</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Australian Institute of Health and Welfare (AIHW)</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Study</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Australian Burden of Disease Study 2024 (ABDS 2024)</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Coverage</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Australia, national estimates, 2003–2024</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Diseases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220 diseases and injuries across 17 disease groups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Risk factors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20 individual modifiable risk factors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Metrics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DALY, YLL, YLD — crude and age-standardised rates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Stratification</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Age groups (0–4 to 100+), sex (male/female), year</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Format</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Excel tables (S1–S9 supplementary sheets)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Access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Freely available: aihw.gov.au/burden-of-disease/abds-2024</w:t>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t xml:space="preserve">Sheets Used in This Analysis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Sheet</w:t>
            </w:r>
          </w:p>
        </w:tc>
        <w:tc>
          <w:tcPr>
            <w:tcW w:type="dxa" w:w="22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53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 in Analysis</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S1</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Disease_5yrs</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Primary modelling dataset: YLL, YLD, DALY by disease, age, sex, year (70,794 raw rows; 31,733 after cleaning)</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S4</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Projection_models_by_cause</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Projection method per disease — used to understand which conditions have reliable trend data</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S5</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Risk_factor_summary</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Links risk factors to disease outcomes — used to contextualise the sustainability analysis</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S8</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Risk_factor_linked_disease</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Attributable burden by risk factor — informs the preventability dimension of the sustainability layer</w:t>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0"/>
            </w:pPr>
            <w:r>
              <w:rPr>
                <w:rFonts w:ascii="Arial" w:cs="Arial" w:eastAsia="Arial" w:hAnsi="Arial"/>
                <w:b/>
                <w:bCs/>
                <w:color w:val="0F6E56"/>
                <w:sz w:val="22"/>
                <w:szCs w:val="22"/>
              </w:rPr>
              <w:t xml:space="preserve">Dataset Statistics After Cleaning</w:t>
            </w:r>
          </w:p>
        </w:tc>
      </w:tr>
    </w:tbl>
    <w:p>
      <w:pPr>
        <w:spacing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EDFE" w:val="clear"/>
            <w:tcMar>
              <w:top w:type="dxa" w:w="140"/>
              <w:left w:type="dxa" w:w="160"/>
              <w:bottom w:type="dxa" w:w="140"/>
              <w:right w:type="dxa" w:w="160"/>
            </w:tcMar>
          </w:tcPr>
          <w:p>
            <w:pPr>
              <w:spacing w:after="60"/>
              <w:jc w:val="center"/>
            </w:pPr>
            <w:r>
              <w:rPr>
                <w:rFonts w:ascii="Arial" w:cs="Arial" w:eastAsia="Arial" w:hAnsi="Arial"/>
                <w:b/>
                <w:bCs/>
                <w:color w:val="534AB7"/>
                <w:sz w:val="36"/>
                <w:szCs w:val="36"/>
              </w:rPr>
              <w:t xml:space="preserve">31,733</w:t>
            </w:r>
          </w:p>
          <w:p>
            <w:pPr>
              <w:spacing w:after="0"/>
              <w:jc w:val="center"/>
            </w:pPr>
            <w:r>
              <w:rPr>
                <w:rFonts w:ascii="Arial" w:cs="Arial" w:eastAsia="Arial" w:hAnsi="Arial"/>
                <w:color w:val="534AB7"/>
                <w:sz w:val="18"/>
                <w:szCs w:val="18"/>
              </w:rPr>
              <w:t xml:space="preserve">Modelling rows</w:t>
            </w:r>
          </w:p>
        </w:tc>
        <w:tc>
          <w:tcPr>
            <w:tcW w:type="dxa" w:w="234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60"/>
              <w:jc w:val="center"/>
            </w:pPr>
            <w:r>
              <w:rPr>
                <w:rFonts w:ascii="Arial" w:cs="Arial" w:eastAsia="Arial" w:hAnsi="Arial"/>
                <w:b/>
                <w:bCs/>
                <w:color w:val="0F6E56"/>
                <w:sz w:val="36"/>
                <w:szCs w:val="36"/>
              </w:rPr>
              <w:t xml:space="preserve">205</w:t>
            </w:r>
          </w:p>
          <w:p>
            <w:pPr>
              <w:spacing w:after="0"/>
              <w:jc w:val="center"/>
            </w:pPr>
            <w:r>
              <w:rPr>
                <w:rFonts w:ascii="Arial" w:cs="Arial" w:eastAsia="Arial" w:hAnsi="Arial"/>
                <w:color w:val="0F6E56"/>
                <w:sz w:val="18"/>
                <w:szCs w:val="18"/>
              </w:rPr>
              <w:t xml:space="preserve">Diseases covered</w:t>
            </w:r>
          </w:p>
        </w:tc>
        <w:tc>
          <w:tcPr>
            <w:tcW w:type="dxa" w:w="2340"/>
            <w:tcBorders>
              <w:top w:val="none" w:color="FFFFFF" w:sz="0"/>
              <w:left w:val="none" w:color="FFFFFF" w:sz="0"/>
              <w:bottom w:val="none" w:color="FFFFFF" w:sz="0"/>
              <w:right w:val="none" w:color="FFFFFF" w:sz="0"/>
            </w:tcBorders>
            <w:shd w:fill="FAEEDA" w:val="clear"/>
            <w:tcMar>
              <w:top w:type="dxa" w:w="140"/>
              <w:left w:type="dxa" w:w="160"/>
              <w:bottom w:type="dxa" w:w="140"/>
              <w:right w:type="dxa" w:w="160"/>
            </w:tcMar>
          </w:tcPr>
          <w:p>
            <w:pPr>
              <w:spacing w:after="60"/>
              <w:jc w:val="center"/>
            </w:pPr>
            <w:r>
              <w:rPr>
                <w:rFonts w:ascii="Arial" w:cs="Arial" w:eastAsia="Arial" w:hAnsi="Arial"/>
                <w:b/>
                <w:bCs/>
                <w:color w:val="BA7517"/>
                <w:sz w:val="36"/>
                <w:szCs w:val="36"/>
              </w:rPr>
              <w:t xml:space="preserve">17</w:t>
            </w:r>
          </w:p>
          <w:p>
            <w:pPr>
              <w:spacing w:after="0"/>
              <w:jc w:val="center"/>
            </w:pPr>
            <w:r>
              <w:rPr>
                <w:rFonts w:ascii="Arial" w:cs="Arial" w:eastAsia="Arial" w:hAnsi="Arial"/>
                <w:color w:val="BA7517"/>
                <w:sz w:val="18"/>
                <w:szCs w:val="18"/>
              </w:rPr>
              <w:t xml:space="preserve">Disease groups</w:t>
            </w:r>
          </w:p>
        </w:tc>
        <w:tc>
          <w:tcPr>
            <w:tcW w:type="dxa" w:w="2340"/>
            <w:tcBorders>
              <w:top w:val="none" w:color="FFFFFF" w:sz="0"/>
              <w:left w:val="none" w:color="FFFFFF" w:sz="0"/>
              <w:bottom w:val="none" w:color="FFFFFF" w:sz="0"/>
              <w:right w:val="none" w:color="FFFFFF" w:sz="0"/>
            </w:tcBorders>
            <w:shd w:fill="FAECE7" w:val="clear"/>
            <w:tcMar>
              <w:top w:type="dxa" w:w="140"/>
              <w:left w:type="dxa" w:w="160"/>
              <w:bottom w:type="dxa" w:w="140"/>
              <w:right w:type="dxa" w:w="160"/>
            </w:tcMar>
          </w:tcPr>
          <w:p>
            <w:pPr>
              <w:spacing w:after="60"/>
              <w:jc w:val="center"/>
            </w:pPr>
            <w:r>
              <w:rPr>
                <w:rFonts w:ascii="Arial" w:cs="Arial" w:eastAsia="Arial" w:hAnsi="Arial"/>
                <w:b/>
                <w:bCs/>
                <w:color w:val="993C1D"/>
                <w:sz w:val="36"/>
                <w:szCs w:val="36"/>
              </w:rPr>
              <w:t xml:space="preserve">5</w:t>
            </w:r>
          </w:p>
          <w:p>
            <w:pPr>
              <w:spacing w:after="0"/>
              <w:jc w:val="center"/>
            </w:pPr>
            <w:r>
              <w:rPr>
                <w:rFonts w:ascii="Arial" w:cs="Arial" w:eastAsia="Arial" w:hAnsi="Arial"/>
                <w:color w:val="993C1D"/>
                <w:sz w:val="18"/>
                <w:szCs w:val="18"/>
              </w:rPr>
              <w:t xml:space="preserve">Years (snapshots)</w:t>
            </w:r>
          </w:p>
        </w:tc>
      </w:tr>
    </w:tbl>
    <w:p>
      <w:pPr>
        <w:spacing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60"/>
              <w:jc w:val="center"/>
            </w:pPr>
            <w:r>
              <w:rPr>
                <w:rFonts w:ascii="Arial" w:cs="Arial" w:eastAsia="Arial" w:hAnsi="Arial"/>
                <w:b/>
                <w:bCs/>
                <w:color w:val="444441"/>
                <w:sz w:val="36"/>
                <w:szCs w:val="36"/>
              </w:rPr>
              <w:t xml:space="preserve">0–1.0</w:t>
            </w:r>
          </w:p>
          <w:p>
            <w:pPr>
              <w:spacing w:after="0"/>
              <w:jc w:val="center"/>
            </w:pPr>
            <w:r>
              <w:rPr>
                <w:rFonts w:ascii="Arial" w:cs="Arial" w:eastAsia="Arial" w:hAnsi="Arial"/>
                <w:color w:val="444441"/>
                <w:sz w:val="18"/>
                <w:szCs w:val="18"/>
              </w:rPr>
              <w:t xml:space="preserve">Target: burden ratio</w:t>
            </w:r>
          </w:p>
        </w:tc>
        <w:tc>
          <w:tcPr>
            <w:tcW w:type="dxa" w:w="2340"/>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60"/>
              <w:jc w:val="center"/>
            </w:pPr>
            <w:r>
              <w:rPr>
                <w:rFonts w:ascii="Arial" w:cs="Arial" w:eastAsia="Arial" w:hAnsi="Arial"/>
                <w:b/>
                <w:bCs/>
                <w:color w:val="444441"/>
                <w:sz w:val="36"/>
                <w:szCs w:val="36"/>
              </w:rPr>
              <w:t xml:space="preserve">0.574</w:t>
            </w:r>
          </w:p>
          <w:p>
            <w:pPr>
              <w:spacing w:after="0"/>
              <w:jc w:val="center"/>
            </w:pPr>
            <w:r>
              <w:rPr>
                <w:rFonts w:ascii="Arial" w:cs="Arial" w:eastAsia="Arial" w:hAnsi="Arial"/>
                <w:color w:val="444441"/>
                <w:sz w:val="18"/>
                <w:szCs w:val="18"/>
              </w:rPr>
              <w:t xml:space="preserve">Mean burden ratio</w:t>
            </w:r>
          </w:p>
        </w:tc>
        <w:tc>
          <w:tcPr>
            <w:tcW w:type="dxa" w:w="2340"/>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60"/>
              <w:jc w:val="center"/>
            </w:pPr>
            <w:r>
              <w:rPr>
                <w:rFonts w:ascii="Arial" w:cs="Arial" w:eastAsia="Arial" w:hAnsi="Arial"/>
                <w:b/>
                <w:bCs/>
                <w:color w:val="444441"/>
                <w:sz w:val="36"/>
                <w:szCs w:val="36"/>
              </w:rPr>
              <w:t xml:space="preserve">0.419</w:t>
            </w:r>
          </w:p>
          <w:p>
            <w:pPr>
              <w:spacing w:after="0"/>
              <w:jc w:val="center"/>
            </w:pPr>
            <w:r>
              <w:rPr>
                <w:rFonts w:ascii="Arial" w:cs="Arial" w:eastAsia="Arial" w:hAnsi="Arial"/>
                <w:color w:val="444441"/>
                <w:sz w:val="18"/>
                <w:szCs w:val="18"/>
              </w:rPr>
              <w:t xml:space="preserve">Target std dev</w:t>
            </w:r>
          </w:p>
        </w:tc>
        <w:tc>
          <w:tcPr>
            <w:tcW w:type="dxa" w:w="234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60"/>
              <w:jc w:val="center"/>
            </w:pPr>
            <w:r>
              <w:rPr>
                <w:rFonts w:ascii="Arial" w:cs="Arial" w:eastAsia="Arial" w:hAnsi="Arial"/>
                <w:b/>
                <w:bCs/>
                <w:color w:val="0F6E56"/>
                <w:sz w:val="36"/>
                <w:szCs w:val="36"/>
              </w:rPr>
              <w:t xml:space="preserve">0</w:t>
            </w:r>
          </w:p>
          <w:p>
            <w:pPr>
              <w:spacing w:after="0"/>
              <w:jc w:val="center"/>
            </w:pPr>
            <w:r>
              <w:rPr>
                <w:rFonts w:ascii="Arial" w:cs="Arial" w:eastAsia="Arial" w:hAnsi="Arial"/>
                <w:color w:val="0F6E56"/>
                <w:sz w:val="18"/>
                <w:szCs w:val="18"/>
              </w:rPr>
              <w:t xml:space="preserve">Null values in target</w:t>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Why This Dataset — Rationale</w:t>
            </w:r>
          </w:p>
        </w:tc>
      </w:tr>
    </w:tbl>
    <w:p>
      <w:pPr>
        <w:spacing w:after="80"/>
      </w:pPr>
      <w:r>
        <w:t xml:space="preserve"/>
      </w:r>
    </w:p>
    <w:p>
      <w:pPr>
        <w:spacing w:after="160"/>
        <w:jc w:val="left"/>
      </w:pPr>
      <w:r>
        <w:rPr>
          <w:rFonts w:ascii="Arial" w:cs="Arial" w:eastAsia="Arial" w:hAnsi="Arial"/>
          <w:b w:val="false"/>
          <w:bCs w:val="false"/>
          <w:color w:val="1A1A1A"/>
          <w:sz w:val="22"/>
          <w:szCs w:val="22"/>
        </w:rPr>
        <w:t xml:space="preserve">Four qualities make ABDS 2024 the right data source for this regression task:</w:t>
      </w:r>
    </w:p>
    <w:p>
      <w:pPr>
        <w:spacing w:after="80"/>
      </w:pPr>
      <w:r>
        <w:t xml:space="preserve"/>
      </w:r>
    </w:p>
    <w:p>
      <w:pPr>
        <w:pStyle w:val="ListParagraph"/>
        <w:numPr>
          <w:ilvl w:val="0"/>
          <w:numId w:val="2"/>
        </w:numPr>
        <w:spacing w:after="100"/>
      </w:pPr>
      <w:r>
        <w:rPr>
          <w:rFonts w:ascii="Arial" w:cs="Arial" w:eastAsia="Arial" w:hAnsi="Arial"/>
          <w:color w:val="1A1A1A"/>
          <w:sz w:val="22"/>
          <w:szCs w:val="22"/>
        </w:rPr>
        <w:t xml:space="preserve">Government-validated and peer-reviewed: published by AIHW using WHO-standardised DALY methodology, ensuring the target variable is a credible, internationally comparable measure — not a proxy.</w:t>
      </w:r>
    </w:p>
    <w:p>
      <w:pPr>
        <w:pStyle w:val="ListParagraph"/>
        <w:numPr>
          <w:ilvl w:val="0"/>
          <w:numId w:val="2"/>
        </w:numPr>
        <w:spacing w:after="100"/>
      </w:pPr>
      <w:r>
        <w:rPr>
          <w:rFonts w:ascii="Arial" w:cs="Arial" w:eastAsia="Arial" w:hAnsi="Arial"/>
          <w:color w:val="1A1A1A"/>
          <w:sz w:val="22"/>
          <w:szCs w:val="22"/>
        </w:rPr>
        <w:t xml:space="preserve">Engineerable regression target: the YLD/DALY burden ratio is a continuous, bounded variable (0–1) with genuine predictive meaning for insurance product design. It does not need to be approximated from external sources.</w:t>
      </w:r>
    </w:p>
    <w:p>
      <w:pPr>
        <w:pStyle w:val="ListParagraph"/>
        <w:numPr>
          <w:ilvl w:val="0"/>
          <w:numId w:val="2"/>
        </w:numPr>
        <w:spacing w:after="100"/>
      </w:pPr>
      <w:r>
        <w:rPr>
          <w:rFonts w:ascii="Arial" w:cs="Arial" w:eastAsia="Arial" w:hAnsi="Arial"/>
          <w:color w:val="1A1A1A"/>
          <w:sz w:val="22"/>
          <w:szCs w:val="22"/>
        </w:rPr>
        <w:t xml:space="preserve">Temporal depth: 21 years of data (2003–2024) across five snapshots enables residual drift analysis — the core mechanism of the sustainability hypothesis — without requiring panel data at the individual level.</w:t>
      </w:r>
    </w:p>
    <w:p>
      <w:pPr>
        <w:pStyle w:val="ListParagraph"/>
        <w:numPr>
          <w:ilvl w:val="0"/>
          <w:numId w:val="2"/>
        </w:numPr>
        <w:spacing w:after="100"/>
      </w:pPr>
      <w:r>
        <w:rPr>
          <w:rFonts w:ascii="Arial" w:cs="Arial" w:eastAsia="Arial" w:hAnsi="Arial"/>
          <w:color w:val="1A1A1A"/>
          <w:sz w:val="22"/>
          <w:szCs w:val="22"/>
        </w:rPr>
        <w:t xml:space="preserve">Aggregation is a feature, not a bug: each row represents a population-level cohort (disease × age × sex × year), which is precisely the unit of analysis for population health risk modelling in insurance. Individual-level data would introduce privacy and selection bias problems this dataset avoids.</w:t>
      </w:r>
    </w:p>
    <w:p>
      <w:pPr>
        <w:spacing w:after="120"/>
      </w:pPr>
      <w:r>
        <w:t xml:space="preserve"/>
      </w:r>
    </w:p>
    <w:p>
      <w:pPr>
        <w:spacing w:after="160"/>
        <w:jc w:val="left"/>
      </w:pPr>
      <w:r>
        <w:rPr>
          <w:rFonts w:ascii="Arial" w:cs="Arial" w:eastAsia="Arial" w:hAnsi="Arial"/>
          <w:b w:val="false"/>
          <w:bCs w:val="false"/>
          <w:color w:val="5F5E5A"/>
          <w:sz w:val="22"/>
          <w:szCs w:val="22"/>
        </w:rPr>
        <w:t xml:space="preserve">Key acknowledged limitation: the dataset does not include socioeconomic stratification, comorbidity data, or direct healthcare cost linkage. These gaps are addressed in Section 6 (Limitations, Ethics &amp; Impact).</w:t>
      </w:r>
    </w:p>
    <w:p>
      <w:pPr>
        <w:spacing w:after="200"/>
      </w:pPr>
      <w:r>
        <w:t xml:space="preserve"/>
      </w:r>
    </w:p>
    <w:p>
      <w:r>
        <w:br w:type="page"/>
      </w:r>
    </w:p>
    <w:p>
      <w:pPr>
        <w:pStyle w:val="Heading1"/>
      </w:pPr>
      <w:r>
        <w:rPr>
          <w:rFonts w:ascii="Arial" w:cs="Arial" w:eastAsia="Arial" w:hAnsi="Arial"/>
          <w:b/>
          <w:bCs/>
          <w:sz w:val="40"/>
          <w:szCs w:val="40"/>
        </w:rPr>
        <w:t xml:space="preserve">4. Data Preparation &amp; Exploratory Data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t xml:space="preserve">Section Status: Placeholder — to be completed after modelling run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4.1  Data Cleaning &amp; Filtering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Filter to Females / Males (exclude 'Persons' aggregate rows)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Filter to named age groups (exclude age=0 integer and 'Total' aggregate)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Remove rows where DALY = 0 to prevent division-by-zero in target engineering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Final dataset: 31,733 rows from 70,794 raw rows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4.2  Feature Engineering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burden_ratio = YLD / DALY  [target variable, continuous 0–1]</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age_num: ordinal encoding of 21 age groups (0 = 1–4, 20 = 100+)</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sex_bin: binary (1 = Males, 0 = Females)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year_norm: normalised year (0 = 2003, 1 = 2024)</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log_crude_daly_rate: log1p transform of crude DALY rate to reduce right skew</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yll_fraction: YLL / DALY (supplementary interpretive feature)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disease_group: one-hot encoded (17 groups → 17 binary columns)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4.3  EDA — Key Plots (Insert from 01_eda.png)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Target distribution histogram: bimodal — spike near 0 (fatal conditions) and near 1 (fully chronic conditions)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Burden ratio by disease group: box plots showing musculoskeletal/mental health at top, CVD/cancer lower</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Age curve: mean burden ratio peaks in mid-life, declines in oldest cohorts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Temporal trend by sex: females show slightly higher chronic burden ratio across all years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Top 10 diseases by DALY coloured by burden ratio: visualises the life vs income protection split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Feature correlation matrix: yll_fraction strongly negatively correlated with burden_ratio (expected)</w:t>
            </w:r>
          </w:p>
        </w:tc>
      </w:tr>
    </w:tbl>
    <w:p>
      <w:pPr>
        <w:spacing w:after="200"/>
      </w:pPr>
      <w:r>
        <w:t xml:space="preserve"/>
      </w:r>
    </w:p>
    <w:p>
      <w:r>
        <w:br w:type="page"/>
      </w:r>
    </w:p>
    <w:p>
      <w:pPr>
        <w:pStyle w:val="Heading1"/>
      </w:pPr>
      <w:r>
        <w:rPr>
          <w:rFonts w:ascii="Arial" w:cs="Arial" w:eastAsia="Arial" w:hAnsi="Arial"/>
          <w:b/>
          <w:bCs/>
          <w:sz w:val="40"/>
          <w:szCs w:val="40"/>
        </w:rPr>
        <w:t xml:space="preserve">5. Modelling &amp; Evaluation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t xml:space="preserve">Section Status: Placeholder — to be completed after modelling run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5.1  Model Architecture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Tier 1 — Statistical regression: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Linear Regression (OLS baseline)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Ridge Regression (L2 regularisation, alpha=1.0)</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Lasso Regression (L1 feature selection, alpha=0.001)</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Polynomial Regression (degree=2, numeric features only)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Tier 2 — Interpretable ML:</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Decision Tree Regressor (max_depth=5, min_samples_leaf=50)</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Random Forest Regressor (200 trees, max_depth=12)</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Support Vector Regressor (RBF kernel, 10k sample for speed)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Tier 3 — Boosting: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Gradient Boosting Regressor (300 estimators, learning_rate=0.05)</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XGBoost Regressor (500 estimators, early stopping)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LightGBM Regressor (500 estimators, early stopping)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5.2  Evaluation Framework</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Train/test split: 80/20, random_state=42</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Cross-validation: 5-fold KFold on training set (Tier 1 &amp; 2 models)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Metrics: R², RMSE, MAE — reported on held-out test set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Residual plots: three representative models (Linear, Random Forest,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Feature importance: top 15 features for Random Forest and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SHAP values: TreeExplainer on 2,000-row test sample (XGBoost)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5.3  Preliminary Results (from notebook run)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Best model: XGBoost  |  R² = 0.7230  |  RMSE = 0.2208  |  MAE = 0.1457</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Runner-up: LightGBM  |  R² = 0.7136  |  RMSE = 0.2245  |  MAE = 0.1496</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Baseline (Linear):   |  R² = 0.3815  |  RMSE = 0.3299  |  MAE = 0.2699</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Boosting models improve on linear baseline by ~0.34 R² points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Lasso zeroed out 4 disease groups: Endocrine, Infectious, Neurological, Respiratory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Sustainability finding: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Mental health residual 2003: -0.023 (slight overprediction)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Mental health residual 2024: +0.020 (underprediction — model misses growing chronic burden)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Drift = +0.043: the chronic burden has outpaced what historical patterns predict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5.4  Plots to Insert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03_model_comparison.png: R², RMSE, MAE bar charts across all 10 models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02_decision_tree.png: top 3 levels of decision tree visualisation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04_residuals.png: residual vs predicted + distribution for 3 models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05_feature_importance.png: top 15 features for RF and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06_shap.png: SHAP summary dot plot and mean |SHAP| bar chart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07_sustainability_residual_drift.png: temporal residuals for 4 disease groups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08_demographic_parity.png: residual bias by sex and year</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09_product_alignment.png: burden ratio heatmap by disease group and year</w:t>
            </w:r>
          </w:p>
        </w:tc>
      </w:tr>
    </w:tbl>
    <w:p>
      <w:pPr>
        <w:spacing w:after="200"/>
      </w:pPr>
      <w:r>
        <w:t xml:space="preserve"/>
      </w:r>
    </w:p>
    <w:p>
      <w:r>
        <w:br w:type="page"/>
      </w:r>
    </w:p>
    <w:p>
      <w:pPr>
        <w:pStyle w:val="Heading1"/>
      </w:pPr>
      <w:r>
        <w:rPr>
          <w:rFonts w:ascii="Arial" w:cs="Arial" w:eastAsia="Arial" w:hAnsi="Arial"/>
          <w:b/>
          <w:bCs/>
          <w:sz w:val="40"/>
          <w:szCs w:val="40"/>
        </w:rPr>
        <w:t xml:space="preserve">6. Limitations, Ethics &amp; Impact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t xml:space="preserve">Section Status: Placeholder — to be completed after modelling run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6.1  Data Limitations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Aggregation: population-level data — model predicts cohort burden, not individual risk</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Temporal sparsity: only 5 snapshot years (2003, 2011, 2015, 2018, 2024) — limits trend granularity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socioeconomic stratification: SEIFA decile, employment, or education not captured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comorbidity data: conditions treated independently — no interaction between diseases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Reporting lag: 2024 projections are model-based (not yet fully observed data)</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direct cost linkage: burden in DALYs cannot be directly converted to claims costs without assumptions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6.2  Modelling Limitations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Target distribution is bimodal (spike at 0 and 1): regression may underperform classification at extremes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Disease-level label is coarse: all 205 diseases are grouped into 17 categories for one-hot encoding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SVR trained on 10k sample only: results not directly comparable to full-dataset models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hyperparameter tuning: models use reasonable defaults — GridSearchCV or Optuna could improve results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temporal cross-validation: 5-fold KFold does not respect time ordering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6.3  Ethical Risks &amp; Mitigations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1 — Demographic discrimination: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Model uses age and sex as features. In insurance application, actuarial justification is required.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Mitigation: demographic error parity check (Section 5.3 / plot 08) validates equal model accuracy across groups.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2 — Mental health stigma:</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High burden ratio for mental health could be used to increase premiums or deny coverage.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Mitigation: results frame mental health as an opportunity for preventive product design, not exclusion.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3 — Ecological fallacy: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Cohort-level predictions must never be applied to individuals without additional individual-level evidence.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Mitigation: all outputs are explicitly labelled as population-level indicators.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4 — Regulatory compliance: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Any insurance application would require review under Privacy Act 1988, Disability Discrimination Act 1992,</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and APRA Prudential Standards for model risk governance.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6.4  Sustainability Impact &amp; SDG 3 Alignment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Primary contribution: demonstrates that chronic disease burden is measurably underestimated by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static risk models, creating a quantified basis for preventive insurance product investment.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SDG 3 alignment: residual drift analysis provides an evidence base for insurer ESG reporting 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population health trajectory — specifically mental health (Target 3.4) and NCDs (Target 3.4).</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Potential for annual refresh: ABDS is updated annually — the model can be retrained each year</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to track whether the sustainability gap is closing or widening.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Limitation of impact claim: this project does not demonstrate causal impact on claims outcomes.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The link between burden ratio shift and claims cost requires additional actuarial linkage work.</w:t>
            </w:r>
          </w:p>
        </w:tc>
      </w:tr>
    </w:tbl>
    <w:p>
      <w:pPr>
        <w:spacing w:after="20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jc w:val="right"/>
    </w:pPr>
    <w:r>
      <w:rPr>
        <w:rFonts w:ascii="Arial" w:cs="Arial" w:eastAsia="Arial" w:hAnsi="Arial"/>
        <w:color w:val="888780"/>
        <w:sz w:val="18"/>
        <w:szCs w:val="18"/>
      </w:rPr>
      <w:t xml:space="preserve">Anuradha Nayak  |  Tomorrow University  |  ABDS 2024 Regression Project  |  p.</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lvl w:ilvl="1" w15:tentative="1">
      <w:start w:val="1"/>
      <w:numFmt w:val="bullet"/>
      <w:lvlText w:val="◦"/>
      <w:lvlJc w:val="left"/>
      <w:pPr>
        <w:ind w:left="100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534AB7"/>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2026-03-26T11:19:46.872Z</dcterms:created>
  <dcterms:modified xsi:type="dcterms:W3CDTF">2026-03-26T11:19:46.873Z</dcterms:modified>
</cp:coreProperties>
</file>

<file path=docProps/custom.xml><?xml version="1.0" encoding="utf-8"?>
<Properties xmlns="http://schemas.openxmlformats.org/officeDocument/2006/custom-properties" xmlns:vt="http://schemas.openxmlformats.org/officeDocument/2006/docPropsVTypes"/>
</file>