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500"/>
              <w:left w:type="dxa" w:w="400"/>
              <w:bottom w:type="dxa" w:w="500"/>
              <w:right w:type="dxa" w:w="400"/>
            </w:tcMar>
          </w:tcPr>
          <w:p>
            <w:pPr>
              <w:spacing w:after="120"/>
              <w:jc w:val="left"/>
            </w:pPr>
            <w:r>
              <w:rPr>
                <w:rFonts w:ascii="Arial" w:cs="Arial" w:eastAsia="Arial" w:hAnsi="Arial"/>
                <w:b/>
                <w:bCs/>
                <w:i w:val="false"/>
                <w:iCs w:val="false"/>
                <w:color w:val="AFA9EC"/>
                <w:sz w:val="20"/>
                <w:szCs w:val="20"/>
              </w:rPr>
              <w:t xml:space="preserve">REGRESSION PROBLEM FRAMING</w:t>
            </w:r>
          </w:p>
          <w:p>
            <w:pPr>
              <w:spacing w:after="140"/>
              <w:jc w:val="left"/>
            </w:pPr>
            <w:r>
              <w:rPr>
                <w:rFonts w:ascii="Arial" w:cs="Arial" w:eastAsia="Arial" w:hAnsi="Arial"/>
                <w:b/>
                <w:bCs/>
                <w:i w:val="false"/>
                <w:iCs w:val="false"/>
                <w:color w:val="FFFFFF"/>
                <w:sz w:val="52"/>
                <w:szCs w:val="52"/>
              </w:rPr>
              <w:t xml:space="preserve">Predicting Disease Burden Ratio</w:t>
            </w:r>
          </w:p>
          <w:p>
            <w:pPr>
              <w:spacing w:after="200"/>
              <w:jc w:val="left"/>
            </w:pPr>
            <w:r>
              <w:rPr>
                <w:rFonts w:ascii="Arial" w:cs="Arial" w:eastAsia="Arial" w:hAnsi="Arial"/>
                <w:b w:val="false"/>
                <w:bCs w:val="false"/>
                <w:i w:val="false"/>
                <w:iCs w:val="false"/>
                <w:color w:val="CECBF6"/>
                <w:sz w:val="22"/>
                <w:szCs w:val="22"/>
              </w:rPr>
              <w:t xml:space="preserve">ABDS 2024  ·  Insurance Sustainability  ·  SDG 3</w:t>
            </w:r>
          </w:p>
          <w:p>
            <w:pPr>
              <w:pBdr>
                <w:top w:val="single" w:color="7F77DD" w:sz="4" w:space="6"/>
              </w:pBdr>
              <w:spacing w:after="0"/>
            </w:pPr>
            <w:r>
              <w:rPr>
                <w:rFonts w:ascii="Arial" w:cs="Arial" w:eastAsia="Arial" w:hAnsi="Arial"/>
                <w:b w:val="false"/>
                <w:bCs w:val="false"/>
                <w:i w:val="false"/>
                <w:iCs w:val="false"/>
                <w:color w:val="1A1A1A"/>
                <w:sz w:val="22"/>
                <w:szCs w:val="22"/>
              </w:rPr>
              <w:t xml:space="preserve"/>
            </w:r>
          </w:p>
          <w:p>
            <w:pPr>
              <w:spacing w:after="100"/>
            </w:pPr>
            <w:r>
              <w:t xml:space="preserve"/>
            </w:r>
          </w:p>
          <w:p>
            <w:pPr>
              <w:spacing w:after="0"/>
              <w:jc w:val="left"/>
            </w:pPr>
            <w:r>
              <w:rPr>
                <w:rFonts w:ascii="Arial" w:cs="Arial" w:eastAsia="Arial" w:hAnsi="Arial"/>
                <w:b w:val="false"/>
                <w:bCs w:val="false"/>
                <w:i w:val="false"/>
                <w:iCs w:val="false"/>
                <w:color w:val="AFA9EC"/>
                <w:sz w:val="19"/>
                <w:szCs w:val="19"/>
              </w:rPr>
              <w:t xml:space="preserve">Anuradha Nayak  |  Tomorrow University  |  2024</w:t>
            </w:r>
          </w:p>
        </w:tc>
      </w:tr>
    </w:tbl>
    <w:p>
      <w:pPr>
        <w:spacing w:after="3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34AB7" w:sz="16"/>
              <w:bottom w:val="none" w:color="FFFFFF" w:sz="0"/>
              <w:right w:val="none" w:color="FFFFFF" w:sz="0"/>
            </w:tcBorders>
            <w:shd w:fill="EEEDFE" w:val="clear"/>
            <w:tcMar>
              <w:top w:type="dxa" w:w="140"/>
              <w:left w:type="dxa" w:w="220"/>
              <w:bottom w:type="dxa" w:w="140"/>
              <w:right w:type="dxa" w:w="220"/>
            </w:tcMar>
          </w:tcPr>
          <w:p>
            <w:pPr>
              <w:spacing w:after="80"/>
            </w:pPr>
            <w:r>
              <w:rPr>
                <w:rFonts w:ascii="Arial" w:cs="Arial" w:eastAsia="Arial" w:hAnsi="Arial"/>
                <w:b/>
                <w:bCs/>
                <w:i w:val="false"/>
                <w:iCs w:val="false"/>
                <w:color w:val="534AB7"/>
                <w:sz w:val="22"/>
                <w:szCs w:val="22"/>
              </w:rPr>
              <w:t xml:space="preserve">How to read this document</w:t>
            </w:r>
          </w:p>
          <w:p>
            <w:pPr>
              <w:spacing w:after="0"/>
            </w:pPr>
            <w:r>
              <w:rPr>
                <w:rFonts w:ascii="Arial" w:cs="Arial" w:eastAsia="Arial" w:hAnsi="Arial"/>
                <w:b w:val="false"/>
                <w:bCs w:val="false"/>
                <w:i w:val="false"/>
                <w:iCs w:val="false"/>
                <w:color w:val="1A1A1A"/>
                <w:sz w:val="21"/>
                <w:szCs w:val="21"/>
              </w:rPr>
              <w:t xml:space="preserve">Each of the five components below answers one foundational question about why this is a valid regression problem. Together they form the complete problem framing — the argumentative backbone that justifies every modelling decision that follows.</w:t>
            </w:r>
          </w:p>
        </w:tc>
      </w:tr>
    </w:tbl>
    <w:p>
      <w:pPr>
        <w:spacing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spacing w:after="0"/>
              <w:jc w:val="center"/>
            </w:pPr>
            <w:r>
              <w:rPr>
                <w:rFonts w:ascii="Arial" w:cs="Arial" w:eastAsia="Arial" w:hAnsi="Arial"/>
                <w:b/>
                <w:bCs/>
                <w:color w:val="FFFFFF"/>
                <w:sz w:val="32"/>
                <w:szCs w:val="32"/>
              </w:rPr>
              <w:t xml:space="preserve">1</w:t>
            </w:r>
          </w:p>
        </w:tc>
        <w:tc>
          <w:tcPr>
            <w:tcW w:type="dxa" w:w="8720"/>
            <w:tcBorders>
              <w:top w:val="none" w:color="FFFFFF" w:sz="0"/>
              <w:left w:val="none" w:color="FFFFFF" w:sz="0"/>
              <w:bottom w:val="none" w:color="FFFFFF" w:sz="0"/>
              <w:right w:val="none" w:color="FFFFFF" w:sz="0"/>
            </w:tcBorders>
            <w:shd w:fill="EEEDFE" w:val="clear"/>
            <w:tcMar>
              <w:top w:type="dxa" w:w="100"/>
              <w:left w:type="dxa" w:w="200"/>
              <w:bottom w:type="dxa" w:w="100"/>
              <w:right w:type="dxa" w:w="200"/>
            </w:tcMar>
          </w:tcPr>
          <w:p>
            <w:pPr>
              <w:spacing w:after="30"/>
            </w:pPr>
            <w:r>
              <w:rPr>
                <w:rFonts w:ascii="Arial" w:cs="Arial" w:eastAsia="Arial" w:hAnsi="Arial"/>
                <w:b/>
                <w:bCs/>
                <w:color w:val="534AB7"/>
                <w:sz w:val="28"/>
                <w:szCs w:val="28"/>
              </w:rPr>
              <w:t xml:space="preserve">Goal Statement</w:t>
            </w:r>
          </w:p>
          <w:p>
            <w:pPr>
              <w:spacing w:after="0"/>
            </w:pPr>
            <w:r>
              <w:rPr>
                <w:rFonts w:ascii="Arial" w:cs="Arial" w:eastAsia="Arial" w:hAnsi="Arial"/>
                <w:i/>
                <w:iCs/>
                <w:color w:val="5F5E5A"/>
                <w:sz w:val="20"/>
                <w:szCs w:val="20"/>
              </w:rPr>
              <w:t xml:space="preserve">What sustainability outcome do we want to predict?</w:t>
            </w:r>
          </w:p>
        </w:tc>
      </w:tr>
    </w:tbl>
    <w:p>
      <w:pPr>
        <w:spacing w:after="120"/>
      </w:pPr>
      <w:r>
        <w:t xml:space="preserve"/>
      </w:r>
    </w:p>
    <w:p>
      <w:pPr>
        <w:spacing w:after="140"/>
        <w:jc w:val="left"/>
      </w:pPr>
      <w:r>
        <w:rPr>
          <w:rFonts w:ascii="Arial" w:cs="Arial" w:eastAsia="Arial" w:hAnsi="Arial"/>
          <w:b w:val="false"/>
          <w:bCs w:val="false"/>
          <w:i w:val="false"/>
          <w:iCs w:val="false"/>
          <w:color w:val="1A1A1A"/>
          <w:sz w:val="22"/>
          <w:szCs w:val="22"/>
        </w:rPr>
        <w:t xml:space="preserve">The goal of this project is to build a regression model that predicts the chronic disease burden ratio — defined as the proportion of total disease burden that is lived with rather than died from — across Australian population cohorts, and to use the gap between model predictions and observed values as a quantitative sustainability signal for the insurance industry.</w:t>
      </w:r>
    </w:p>
    <w:p>
      <w:pPr>
        <w:spacing w:after="80"/>
      </w:pPr>
      <w:r>
        <w:t xml:space="preserve"/>
      </w:r>
    </w:p>
    <w:p>
      <w:pPr>
        <w:spacing w:after="140"/>
        <w:jc w:val="left"/>
      </w:pPr>
      <w:r>
        <w:rPr>
          <w:rFonts w:ascii="Arial" w:cs="Arial" w:eastAsia="Arial" w:hAnsi="Arial"/>
          <w:b w:val="false"/>
          <w:bCs w:val="false"/>
          <w:i w:val="false"/>
          <w:iCs w:val="false"/>
          <w:color w:val="1A1A1A"/>
          <w:sz w:val="22"/>
          <w:szCs w:val="22"/>
        </w:rPr>
        <w:t xml:space="preserve">More precisely, the model aims to answer two linked questions:</w:t>
      </w:r>
    </w:p>
    <w:p>
      <w:pPr>
        <w:spacing w:after="60"/>
      </w:pPr>
      <w:r>
        <w:t xml:space="preserve"/>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Performance question: Can demographic and epidemiological features available in the ABDS 2024 data predict the YLD/DALY burden ratio with sufficient accuracy to be useful for insurance risk segmentation?</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Sustainability question: Does the prediction error — the residual — shift systematically over time for certain disease groups, indicating that the chronic disease burden is growing faster than existing risk models would anticipate?</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F6E56" w:sz="16"/>
              <w:bottom w:val="none" w:color="FFFFFF" w:sz="0"/>
              <w:right w:val="none" w:color="FFFFFF" w:sz="0"/>
            </w:tcBorders>
            <w:shd w:fill="E1F5EE" w:val="clear"/>
            <w:tcMar>
              <w:top w:type="dxa" w:w="140"/>
              <w:left w:type="dxa" w:w="220"/>
              <w:bottom w:type="dxa" w:w="140"/>
              <w:right w:type="dxa" w:w="220"/>
            </w:tcMar>
          </w:tcPr>
          <w:p>
            <w:pPr>
              <w:spacing w:after="80"/>
            </w:pPr>
            <w:r>
              <w:rPr>
                <w:rFonts w:ascii="Arial" w:cs="Arial" w:eastAsia="Arial" w:hAnsi="Arial"/>
                <w:b/>
                <w:bCs/>
                <w:i w:val="false"/>
                <w:iCs w:val="false"/>
                <w:color w:val="0F6E56"/>
                <w:sz w:val="21"/>
                <w:szCs w:val="21"/>
              </w:rPr>
              <w:t xml:space="preserve">Sustainability outcome being predicted:</w:t>
            </w:r>
          </w:p>
          <w:p>
            <w:pPr>
              <w:spacing w:after="0"/>
            </w:pPr>
            <w:r>
              <w:rPr>
                <w:rFonts w:ascii="Arial" w:cs="Arial" w:eastAsia="Arial" w:hAnsi="Arial"/>
                <w:b w:val="false"/>
                <w:bCs w:val="false"/>
                <w:i w:val="false"/>
                <w:iCs w:val="false"/>
                <w:color w:val="1A1A1A"/>
                <w:sz w:val="21"/>
                <w:szCs w:val="21"/>
              </w:rPr>
              <w:t xml:space="preserve">The degree to which each disease, demographic group, and year is characterised by long-term chronic burden (disability, ongoing care, reduced productivity) rather than acute fatal burden — and whether that degree is increasing in ways that insurance risk models are not capturing.</w:t>
            </w:r>
          </w:p>
        </w:tc>
      </w:tr>
    </w:tbl>
    <w:p>
      <w:pPr>
        <w:spacing w:after="120"/>
      </w:pPr>
      <w:r>
        <w:t xml:space="preserve"/>
      </w:r>
    </w:p>
    <w:p>
      <w:pPr>
        <w:spacing w:after="140"/>
        <w:jc w:val="left"/>
      </w:pPr>
      <w:r>
        <w:rPr>
          <w:rFonts w:ascii="Arial" w:cs="Arial" w:eastAsia="Arial" w:hAnsi="Arial"/>
          <w:b w:val="false"/>
          <w:bCs w:val="false"/>
          <w:i w:val="false"/>
          <w:iCs w:val="false"/>
          <w:color w:val="1A1A1A"/>
          <w:sz w:val="22"/>
          <w:szCs w:val="22"/>
        </w:rPr>
        <w:t xml:space="preserve">This goal connects directly to SDG 3 (Good Health and Well-being), specifically Target 3.4: reducing premature mortality from non-communicable diseases and promoting mental health and wellbeing. An insurer that can predict and track where chronic burden is rising has both a commercial incentive and a sustainability obligation to respond — through preventive product design, earlier intervention programs, and adjusted risk pricing.</w:t>
      </w:r>
    </w:p>
    <w:p>
      <w:pPr>
        <w:spacing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93C1D" w:val="clear"/>
            <w:tcMar>
              <w:top w:type="dxa" w:w="120"/>
              <w:left w:type="dxa" w:w="120"/>
              <w:bottom w:type="dxa" w:w="120"/>
              <w:right w:type="dxa" w:w="120"/>
            </w:tcMar>
            <w:vAlign w:val="center"/>
          </w:tcPr>
          <w:p>
            <w:pPr>
              <w:spacing w:after="0"/>
              <w:jc w:val="center"/>
            </w:pPr>
            <w:r>
              <w:rPr>
                <w:rFonts w:ascii="Arial" w:cs="Arial" w:eastAsia="Arial" w:hAnsi="Arial"/>
                <w:b/>
                <w:bCs/>
                <w:color w:val="FFFFFF"/>
                <w:sz w:val="32"/>
                <w:szCs w:val="32"/>
              </w:rPr>
              <w:t xml:space="preserve">2</w:t>
            </w:r>
          </w:p>
        </w:tc>
        <w:tc>
          <w:tcPr>
            <w:tcW w:type="dxa" w:w="8720"/>
            <w:tcBorders>
              <w:top w:val="none" w:color="FFFFFF" w:sz="0"/>
              <w:left w:val="none" w:color="FFFFFF" w:sz="0"/>
              <w:bottom w:val="none" w:color="FFFFFF" w:sz="0"/>
              <w:right w:val="none" w:color="FFFFFF" w:sz="0"/>
            </w:tcBorders>
            <w:shd w:fill="FAECE7" w:val="clear"/>
            <w:tcMar>
              <w:top w:type="dxa" w:w="100"/>
              <w:left w:type="dxa" w:w="200"/>
              <w:bottom w:type="dxa" w:w="100"/>
              <w:right w:type="dxa" w:w="200"/>
            </w:tcMar>
          </w:tcPr>
          <w:p>
            <w:pPr>
              <w:spacing w:after="30"/>
            </w:pPr>
            <w:r>
              <w:rPr>
                <w:rFonts w:ascii="Arial" w:cs="Arial" w:eastAsia="Arial" w:hAnsi="Arial"/>
                <w:b/>
                <w:bCs/>
                <w:color w:val="993C1D"/>
                <w:sz w:val="28"/>
                <w:szCs w:val="28"/>
              </w:rPr>
              <w:t xml:space="preserve">Context</w:t>
            </w:r>
          </w:p>
          <w:p>
            <w:pPr>
              <w:spacing w:after="0"/>
            </w:pPr>
            <w:r>
              <w:rPr>
                <w:rFonts w:ascii="Arial" w:cs="Arial" w:eastAsia="Arial" w:hAnsi="Arial"/>
                <w:i/>
                <w:iCs/>
                <w:color w:val="5F5E5A"/>
                <w:sz w:val="20"/>
                <w:szCs w:val="20"/>
              </w:rPr>
              <w:t xml:space="preserve">Why does this matter socially and environmentally?</w:t>
            </w:r>
          </w:p>
        </w:tc>
      </w:tr>
    </w:tbl>
    <w:p>
      <w:pPr>
        <w:spacing w:after="120"/>
      </w:pPr>
      <w:r>
        <w:t xml:space="preserve"/>
      </w:r>
    </w:p>
    <w:p>
      <w:pPr>
        <w:pStyle w:val="Heading3"/>
        <w:spacing w:before="180" w:after="80"/>
      </w:pPr>
      <w:r>
        <w:rPr>
          <w:rFonts w:ascii="Arial" w:cs="Arial" w:eastAsia="Arial" w:hAnsi="Arial"/>
          <w:b/>
          <w:bCs/>
          <w:color w:val="0F6E56"/>
          <w:sz w:val="24"/>
          <w:szCs w:val="24"/>
        </w:rPr>
        <w:t xml:space="preserve">The social context: Australia's shifting disease burden</w:t>
      </w:r>
    </w:p>
    <w:p>
      <w:pPr>
        <w:spacing w:after="140"/>
        <w:jc w:val="left"/>
      </w:pPr>
      <w:r>
        <w:rPr>
          <w:rFonts w:ascii="Arial" w:cs="Arial" w:eastAsia="Arial" w:hAnsi="Arial"/>
          <w:b w:val="false"/>
          <w:bCs w:val="false"/>
          <w:i w:val="false"/>
          <w:iCs w:val="false"/>
          <w:color w:val="1A1A1A"/>
          <w:sz w:val="22"/>
          <w:szCs w:val="22"/>
        </w:rPr>
        <w:t xml:space="preserve">The ABDS 2024 reveals three structural shifts in Australia's health landscape that have not yet been reflected in insurance product design or actuarial risk models:</w:t>
      </w:r>
    </w:p>
    <w:p>
      <w:pPr>
        <w:spacing w:after="80"/>
      </w:pPr>
      <w:r>
        <w:t xml:space="preserve"/>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Mental health has become the dominant burden for ages 5–44, with anxiety disorders alone increasing 61% since 2003. Yet the vast majority of insurance policies still cap psychology sessions at 10–15 annually and treat mental health as a secondary coverage category.</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Obesity overtook tobacco in 2024 as Australia's leading modifiable risk factor, now accounting for 8.3% of total disease burden. This is structurally different from tobacco — it operates through a cascade of linked conditions (cardiovascular disease, type 2 diabetes, certain cancers) rather than a single disease pathway.</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Dementia is now the second-highest disease burden nationally and rising steeply, yet long-term care insurance penetration in Australia sits below 5%. The financial exposure this creates for both individuals and insurers is not priced into the market.</w:t>
      </w:r>
    </w:p>
    <w:p>
      <w:pPr>
        <w:spacing w:after="120"/>
      </w:pPr>
      <w:r>
        <w:t xml:space="preserve"/>
      </w:r>
    </w:p>
    <w:p>
      <w:pPr>
        <w:pStyle w:val="Heading3"/>
        <w:spacing w:before="180" w:after="80"/>
      </w:pPr>
      <w:r>
        <w:rPr>
          <w:rFonts w:ascii="Arial" w:cs="Arial" w:eastAsia="Arial" w:hAnsi="Arial"/>
          <w:b/>
          <w:bCs/>
          <w:color w:val="0F6E56"/>
          <w:sz w:val="24"/>
          <w:szCs w:val="24"/>
        </w:rPr>
        <w:t xml:space="preserve">The industry context: a data-product gap</w:t>
      </w:r>
    </w:p>
    <w:p>
      <w:pPr>
        <w:spacing w:after="140"/>
        <w:jc w:val="left"/>
      </w:pPr>
      <w:r>
        <w:rPr>
          <w:rFonts w:ascii="Arial" w:cs="Arial" w:eastAsia="Arial" w:hAnsi="Arial"/>
          <w:b w:val="false"/>
          <w:bCs w:val="false"/>
          <w:i w:val="false"/>
          <w:iCs w:val="false"/>
          <w:color w:val="1A1A1A"/>
          <w:sz w:val="22"/>
          <w:szCs w:val="22"/>
        </w:rPr>
        <w:t xml:space="preserve">Australian insurers hold significant claims data but use it reactively — to price risk after conditions have emerged, not to anticipate where burden is heading. This creates what the business case frames as a data-product gap: the conditions driving the most burden are not the conditions that insurance products are designed to address.</w:t>
      </w:r>
    </w:p>
    <w:p>
      <w:pPr>
        <w:spacing w:after="80"/>
      </w:pPr>
      <w:r>
        <w:t xml:space="preserve"/>
      </w:r>
    </w:p>
    <w:p>
      <w:pPr>
        <w:spacing w:after="140"/>
        <w:jc w:val="left"/>
      </w:pPr>
      <w:r>
        <w:rPr>
          <w:rFonts w:ascii="Arial" w:cs="Arial" w:eastAsia="Arial" w:hAnsi="Arial"/>
          <w:b w:val="false"/>
          <w:bCs w:val="false"/>
          <w:i w:val="false"/>
          <w:iCs w:val="false"/>
          <w:color w:val="1A1A1A"/>
          <w:sz w:val="22"/>
          <w:szCs w:val="22"/>
        </w:rPr>
        <w:t xml:space="preserve">The ABDS 2024 dataset represents a freely available, government-validated, and annually updated source of population health intelligence that could close this gap — but it has not been systematically integrated into insurance analytics. This project is an attempt to demonstrate that integration is both technically feasible and strategically valuable.</w:t>
      </w:r>
    </w:p>
    <w:p>
      <w:pPr>
        <w:spacing w:after="120"/>
      </w:pPr>
      <w:r>
        <w:t xml:space="preserve"/>
      </w:r>
    </w:p>
    <w:p>
      <w:pPr>
        <w:pStyle w:val="Heading3"/>
        <w:spacing w:before="180" w:after="80"/>
      </w:pPr>
      <w:r>
        <w:rPr>
          <w:rFonts w:ascii="Arial" w:cs="Arial" w:eastAsia="Arial" w:hAnsi="Arial"/>
          <w:b/>
          <w:bCs/>
          <w:color w:val="0F6E56"/>
          <w:sz w:val="24"/>
          <w:szCs w:val="24"/>
        </w:rPr>
        <w:t xml:space="preserve">The sustainability context: ESG and SDG alignment</w:t>
      </w:r>
    </w:p>
    <w:p>
      <w:pPr>
        <w:spacing w:after="140"/>
        <w:jc w:val="left"/>
      </w:pPr>
      <w:r>
        <w:rPr>
          <w:rFonts w:ascii="Arial" w:cs="Arial" w:eastAsia="Arial" w:hAnsi="Arial"/>
          <w:b w:val="false"/>
          <w:bCs w:val="false"/>
          <w:i w:val="false"/>
          <w:iCs w:val="false"/>
          <w:color w:val="1A1A1A"/>
          <w:sz w:val="22"/>
          <w:szCs w:val="22"/>
        </w:rPr>
        <w:t xml:space="preserve">For insurers with ESG commitments, population health trajectory is not just a commercial risk — it is a reporting obligation. Under the UN Sustainable Development Goals, SDG 3.4 specifically targets reducing premature mortality from non-communicable diseases and promoting mental health. An insurer that can quantify the gap between its risk models and the actual SDG 3 trajectory has a measurable basis for ESG reporting and product innovation investment.</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993C1D" w:sz="16"/>
              <w:bottom w:val="none" w:color="FFFFFF" w:sz="0"/>
              <w:right w:val="none" w:color="FFFFFF" w:sz="0"/>
            </w:tcBorders>
            <w:shd w:fill="FAECE7" w:val="clear"/>
            <w:tcMar>
              <w:top w:type="dxa" w:w="140"/>
              <w:left w:type="dxa" w:w="220"/>
              <w:bottom w:type="dxa" w:w="140"/>
              <w:right w:type="dxa" w:w="220"/>
            </w:tcMar>
          </w:tcPr>
          <w:p>
            <w:pPr>
              <w:spacing w:after="80"/>
            </w:pPr>
            <w:r>
              <w:rPr>
                <w:rFonts w:ascii="Arial" w:cs="Arial" w:eastAsia="Arial" w:hAnsi="Arial"/>
                <w:b/>
                <w:bCs/>
                <w:i w:val="false"/>
                <w:iCs w:val="false"/>
                <w:color w:val="993C1D"/>
                <w:sz w:val="21"/>
                <w:szCs w:val="21"/>
              </w:rPr>
              <w:t>In concrete terms:</w:t>
            </w:r>
          </w:p>
          <w:p>
            <w:pPr>
              <w:spacing w:after="0"/>
            </w:pPr>
            <w:r>
              <w:rPr>
                <w:rFonts w:ascii="Arial" w:cs="Arial" w:eastAsia="Arial" w:hAnsi="Arial"/>
                <w:b w:val="false"/>
                <w:bCs w:val="false"/>
                <w:i w:val="false"/>
                <w:iCs w:val="false"/>
                <w:color w:val="1A1A1A"/>
                <w:sz w:val="21"/>
                <w:szCs w:val="21"/>
              </w:rPr>
              <w:t>The mental health residual drift finding from the notebook — where the model under-predicts chronic mental health burden in 2024 by +0.019 units — is not just a model evaluation artefact. Musculoskeletal disorders show even stronger drift (+0.025 in 2024). These are evidence that the chronic disease trajectory has outpaced what even a well-fitted model trained on historical patterns would predict. That gap is the ESG signal.</w:t>
            </w:r>
          </w:p>
        </w:tc>
      </w:tr>
    </w:tbl>
    <w:p>
      <w:pPr>
        <w:spacing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A7517" w:val="clear"/>
            <w:tcMar>
              <w:top w:type="dxa" w:w="120"/>
              <w:left w:type="dxa" w:w="120"/>
              <w:bottom w:type="dxa" w:w="120"/>
              <w:right w:type="dxa" w:w="120"/>
            </w:tcMar>
            <w:vAlign w:val="center"/>
          </w:tcPr>
          <w:p>
            <w:pPr>
              <w:spacing w:after="0"/>
              <w:jc w:val="center"/>
            </w:pPr>
            <w:r>
              <w:rPr>
                <w:rFonts w:ascii="Arial" w:cs="Arial" w:eastAsia="Arial" w:hAnsi="Arial"/>
                <w:b/>
                <w:bCs/>
                <w:color w:val="FFFFFF"/>
                <w:sz w:val="32"/>
                <w:szCs w:val="32"/>
              </w:rPr>
              <w:t xml:space="preserve">3</w:t>
            </w:r>
          </w:p>
        </w:tc>
        <w:tc>
          <w:tcPr>
            <w:tcW w:type="dxa" w:w="8720"/>
            <w:tcBorders>
              <w:top w:val="none" w:color="FFFFFF" w:sz="0"/>
              <w:left w:val="none" w:color="FFFFFF" w:sz="0"/>
              <w:bottom w:val="none" w:color="FFFFFF" w:sz="0"/>
              <w:right w:val="none" w:color="FFFFFF" w:sz="0"/>
            </w:tcBorders>
            <w:shd w:fill="FAEEDA" w:val="clear"/>
            <w:tcMar>
              <w:top w:type="dxa" w:w="100"/>
              <w:left w:type="dxa" w:w="200"/>
              <w:bottom w:type="dxa" w:w="100"/>
              <w:right w:type="dxa" w:w="200"/>
            </w:tcMar>
          </w:tcPr>
          <w:p>
            <w:pPr>
              <w:spacing w:after="30"/>
            </w:pPr>
            <w:r>
              <w:rPr>
                <w:rFonts w:ascii="Arial" w:cs="Arial" w:eastAsia="Arial" w:hAnsi="Arial"/>
                <w:b/>
                <w:bCs/>
                <w:color w:val="BA7517"/>
                <w:sz w:val="28"/>
                <w:szCs w:val="28"/>
              </w:rPr>
              <w:t xml:space="preserve">Target Variable</w:t>
            </w:r>
          </w:p>
          <w:p>
            <w:pPr>
              <w:spacing w:after="0"/>
            </w:pPr>
            <w:r>
              <w:rPr>
                <w:rFonts w:ascii="Arial" w:cs="Arial" w:eastAsia="Arial" w:hAnsi="Arial"/>
                <w:i/>
                <w:iCs/>
                <w:color w:val="5F5E5A"/>
                <w:sz w:val="20"/>
                <w:szCs w:val="20"/>
              </w:rPr>
              <w:t xml:space="preserve">What are we trying to forecast?</w:t>
            </w:r>
          </w:p>
        </w:tc>
      </w:tr>
    </w:tbl>
    <w:p>
      <w:pPr>
        <w:spacing w:after="120"/>
      </w:pPr>
      <w:r>
        <w:t xml:space="preserve"/>
      </w:r>
    </w:p>
    <w:p>
      <w:pPr>
        <w:pStyle w:val="Heading3"/>
        <w:spacing w:before="180" w:after="80"/>
      </w:pPr>
      <w:r>
        <w:rPr>
          <w:rFonts w:ascii="Arial" w:cs="Arial" w:eastAsia="Arial" w:hAnsi="Arial"/>
          <w:b/>
          <w:bCs/>
          <w:color w:val="0F6E56"/>
          <w:sz w:val="24"/>
          <w:szCs w:val="24"/>
        </w:rPr>
        <w:t xml:space="preserve">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pPr>
            <w:r>
              <w:rPr>
                <w:rFonts w:ascii="Arial" w:cs="Arial" w:eastAsia="Arial" w:hAnsi="Arial"/>
                <w:b/>
                <w:bCs/>
                <w:color w:val="534AB7"/>
                <w:sz w:val="21"/>
                <w:szCs w:val="21"/>
              </w:rPr>
              <w:t xml:space="preserve">Name</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burden_ratio</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Formula</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YLD  /  DALY   (= YLD  /  (YLL + YLD))</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Range</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0.0 to 1.0  (bounded, continuous)</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Interpretation</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0.0 = burden is entirely fatal  |  1.0 = burden is entirely chronic / disability</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Mean (dataset)</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0.574  (slight majority of burden is chronic across all cohorts)</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Std deviation</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0.419  (high variance — the wide spread is what makes prediction non-trivial)</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Null values</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None after filtering rows where DALY = 0</w:t>
            </w:r>
          </w:p>
        </w:tc>
      </w:tr>
    </w:tbl>
    <w:p>
      <w:pPr>
        <w:spacing w:after="160"/>
      </w:pPr>
      <w:r>
        <w:t xml:space="preserve"/>
      </w:r>
    </w:p>
    <w:p>
      <w:pPr>
        <w:pStyle w:val="Heading3"/>
        <w:spacing w:before="180" w:after="80"/>
      </w:pPr>
      <w:r>
        <w:rPr>
          <w:rFonts w:ascii="Arial" w:cs="Arial" w:eastAsia="Arial" w:hAnsi="Arial"/>
          <w:b/>
          <w:bCs/>
          <w:color w:val="0F6E56"/>
          <w:sz w:val="24"/>
          <w:szCs w:val="24"/>
        </w:rPr>
        <w:t xml:space="preserve">Why this variable — and not others</w:t>
      </w:r>
    </w:p>
    <w:p>
      <w:pPr>
        <w:spacing w:after="140"/>
        <w:jc w:val="left"/>
      </w:pPr>
      <w:r>
        <w:rPr>
          <w:rFonts w:ascii="Arial" w:cs="Arial" w:eastAsia="Arial" w:hAnsi="Arial"/>
          <w:b w:val="false"/>
          <w:bCs w:val="false"/>
          <w:i w:val="false"/>
          <w:iCs w:val="false"/>
          <w:color w:val="1A1A1A"/>
          <w:sz w:val="22"/>
          <w:szCs w:val="22"/>
        </w:rPr>
        <w:t xml:space="preserve">Three alternative targets were considered and rejected in favour of burden_ratio:</w:t>
      </w:r>
    </w:p>
    <w:p>
      <w:pPr>
        <w:spacing w:after="80"/>
      </w:pPr>
      <w:r>
        <w:t xml:space="preserve"/>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Raw DALY count: rejected because it is dominated by disease prevalence and population size, not disease character. A condition with 500,000 DALYs is not necessarily more chronic than one with 50,000 DALYs — it may simply be more common. The ratio normalises for this.</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Crude DALY rate per 100,000: better than raw count, but still measures magnitude not character. It cannot distinguish between a condition that kills people quickly and one that disables them for decades.</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YLL alone: captures only the fatal dimension. Predicting YLL would be useful for life insurance modelling but misses the chronic burden story entirely.</w:t>
      </w:r>
    </w:p>
    <w:p>
      <w:pPr>
        <w:spacing w:after="100"/>
      </w:pPr>
      <w:r>
        <w:t xml:space="preserve"/>
      </w:r>
    </w:p>
    <w:p>
      <w:pPr>
        <w:spacing w:after="140"/>
        <w:jc w:val="left"/>
      </w:pPr>
      <w:r>
        <w:rPr>
          <w:rFonts w:ascii="Arial" w:cs="Arial" w:eastAsia="Arial" w:hAnsi="Arial"/>
          <w:b w:val="false"/>
          <w:bCs w:val="false"/>
          <w:i w:val="false"/>
          <w:iCs w:val="false"/>
          <w:color w:val="1A1A1A"/>
          <w:sz w:val="22"/>
          <w:szCs w:val="22"/>
        </w:rPr>
        <w:t xml:space="preserve">The burden_ratio captures exactly what matters for insurance product design: the nature of a condition's impact, not its scale. A ratio close to 1 means the condition creates long, expensive disability claims. A ratio close to 0 means it generates life insurance claims. This directly maps to which insurance product line is exposed.</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BA7517" w:sz="16"/>
              <w:bottom w:val="none" w:color="FFFFFF" w:sz="0"/>
              <w:right w:val="none" w:color="FFFFFF" w:sz="0"/>
            </w:tcBorders>
            <w:shd w:fill="FAEEDA" w:val="clear"/>
            <w:tcMar>
              <w:top w:type="dxa" w:w="140"/>
              <w:left w:type="dxa" w:w="220"/>
              <w:bottom w:type="dxa" w:w="140"/>
              <w:right w:type="dxa" w:w="220"/>
            </w:tcMar>
          </w:tcPr>
          <w:p>
            <w:pPr>
              <w:spacing w:after="80"/>
            </w:pPr>
            <w:r>
              <w:rPr>
                <w:rFonts w:ascii="Arial" w:cs="Arial" w:eastAsia="Arial" w:hAnsi="Arial"/>
                <w:b/>
                <w:bCs/>
                <w:i w:val="false"/>
                <w:iCs w:val="false"/>
                <w:color w:val="BA7517"/>
                <w:sz w:val="21"/>
                <w:szCs w:val="21"/>
              </w:rPr>
              <w:t xml:space="preserve">What the target variable tells an insurer:</w:t>
            </w:r>
          </w:p>
          <w:p>
            <w:pPr>
              <w:spacing w:after="0"/>
            </w:pPr>
            <w:r>
              <w:rPr>
                <w:rFonts w:ascii="Arial" w:cs="Arial" w:eastAsia="Arial" w:hAnsi="Arial"/>
                <w:b w:val="false"/>
                <w:bCs w:val="false"/>
                <w:i w:val="false"/>
                <w:iCs w:val="false"/>
                <w:color w:val="1A1A1A"/>
                <w:sz w:val="21"/>
                <w:szCs w:val="21"/>
              </w:rPr>
              <w:t xml:space="preserve">If burden_ratio for mental health disorders in the 25–34 age group is 0.94 and rising, that group should be the primary focus of income protection product design and preventive mental health programs — not life insurance pricing. The ratio is a direct product-design signal.</w:t>
            </w:r>
          </w:p>
        </w:tc>
      </w:tr>
    </w:tbl>
    <w:p>
      <w:pPr>
        <w:spacing w:after="160"/>
      </w:pPr>
      <w:r>
        <w:t xml:space="preserve"/>
      </w:r>
    </w:p>
    <w:p>
      <w:pPr>
        <w:pStyle w:val="Heading3"/>
        <w:spacing w:before="180" w:after="80"/>
      </w:pPr>
      <w:r>
        <w:rPr>
          <w:rFonts w:ascii="Arial" w:cs="Arial" w:eastAsia="Arial" w:hAnsi="Arial"/>
          <w:b/>
          <w:bCs/>
          <w:color w:val="0F6E56"/>
          <w:sz w:val="24"/>
          <w:szCs w:val="24"/>
        </w:rPr>
        <w:t xml:space="preserve">Distribution characteristics and modelling implications</w:t>
      </w:r>
    </w:p>
    <w:p>
      <w:pPr>
        <w:spacing w:after="140"/>
        <w:jc w:val="left"/>
      </w:pPr>
      <w:r>
        <w:rPr>
          <w:rFonts w:ascii="Arial" w:cs="Arial" w:eastAsia="Arial" w:hAnsi="Arial"/>
          <w:b w:val="false"/>
          <w:bCs w:val="false"/>
          <w:i w:val="false"/>
          <w:iCs w:val="false"/>
          <w:color w:val="1A1A1A"/>
          <w:sz w:val="22"/>
          <w:szCs w:val="22"/>
        </w:rPr>
        <w:t xml:space="preserve">The target is bimodal: there is a spike near 0 (conditions dominated by premature death, such as certain cancers and cardiovascular events in younger cohorts) and a spike near 1 (conditions that are almost entirely non-fatal, such as back pain, hearing loss, and anxiety disorders). The wide middle reflects conditions with mixed burden profiles across different age and sex cohorts.</w:t>
      </w:r>
    </w:p>
    <w:p>
      <w:pPr>
        <w:spacing w:after="80"/>
      </w:pPr>
      <w:r>
        <w:t xml:space="preserve"/>
      </w:r>
    </w:p>
    <w:p>
      <w:pPr>
        <w:spacing w:after="140"/>
        <w:jc w:val="left"/>
      </w:pPr>
      <w:r>
        <w:rPr>
          <w:rFonts w:ascii="Arial" w:cs="Arial" w:eastAsia="Arial" w:hAnsi="Arial"/>
          <w:b w:val="false"/>
          <w:bCs w:val="false"/>
          <w:i w:val="false"/>
          <w:iCs w:val="false"/>
          <w:color w:val="1A1A1A"/>
          <w:sz w:val="22"/>
          <w:szCs w:val="22"/>
        </w:rPr>
        <w:t xml:space="preserve">This bimodality means linear regression will underperform at the extremes — it will struggle to predict values near 0 or near 1, tending to pull predictions toward the mean. This is one structural reason why tree-based and boosting models are expected to outperform linear baselines: they can learn the boundary conditions that separate chronic-dominant from fatal-dominant cohorts.</w:t>
      </w:r>
    </w:p>
    <w:p>
      <w:pPr>
        <w:spacing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B6D11" w:val="clear"/>
            <w:tcMar>
              <w:top w:type="dxa" w:w="120"/>
              <w:left w:type="dxa" w:w="120"/>
              <w:bottom w:type="dxa" w:w="120"/>
              <w:right w:type="dxa" w:w="120"/>
            </w:tcMar>
            <w:vAlign w:val="center"/>
          </w:tcPr>
          <w:p>
            <w:pPr>
              <w:spacing w:after="0"/>
              <w:jc w:val="center"/>
            </w:pPr>
            <w:r>
              <w:rPr>
                <w:rFonts w:ascii="Arial" w:cs="Arial" w:eastAsia="Arial" w:hAnsi="Arial"/>
                <w:b/>
                <w:bCs/>
                <w:color w:val="FFFFFF"/>
                <w:sz w:val="32"/>
                <w:szCs w:val="32"/>
              </w:rPr>
              <w:t xml:space="preserve">4</w:t>
            </w:r>
          </w:p>
        </w:tc>
        <w:tc>
          <w:tcPr>
            <w:tcW w:type="dxa" w:w="8720"/>
            <w:tcBorders>
              <w:top w:val="none" w:color="FFFFFF" w:sz="0"/>
              <w:left w:val="none" w:color="FFFFFF" w:sz="0"/>
              <w:bottom w:val="none" w:color="FFFFFF" w:sz="0"/>
              <w:right w:val="none" w:color="FFFFFF" w:sz="0"/>
            </w:tcBorders>
            <w:shd w:fill="EAF3DE" w:val="clear"/>
            <w:tcMar>
              <w:top w:type="dxa" w:w="100"/>
              <w:left w:type="dxa" w:w="200"/>
              <w:bottom w:type="dxa" w:w="100"/>
              <w:right w:type="dxa" w:w="200"/>
            </w:tcMar>
          </w:tcPr>
          <w:p>
            <w:pPr>
              <w:spacing w:after="30"/>
            </w:pPr>
            <w:r>
              <w:rPr>
                <w:rFonts w:ascii="Arial" w:cs="Arial" w:eastAsia="Arial" w:hAnsi="Arial"/>
                <w:b/>
                <w:bCs/>
                <w:color w:val="3B6D11"/>
                <w:sz w:val="28"/>
                <w:szCs w:val="28"/>
              </w:rPr>
              <w:t xml:space="preserve">Features</w:t>
            </w:r>
          </w:p>
          <w:p>
            <w:pPr>
              <w:spacing w:after="0"/>
            </w:pPr>
            <w:r>
              <w:rPr>
                <w:rFonts w:ascii="Arial" w:cs="Arial" w:eastAsia="Arial" w:hAnsi="Arial"/>
                <w:i/>
                <w:iCs/>
                <w:color w:val="5F5E5A"/>
                <w:sz w:val="20"/>
                <w:szCs w:val="20"/>
              </w:rPr>
              <w:t xml:space="preserve">What measurable factors affect the target?</w:t>
            </w:r>
          </w:p>
        </w:tc>
      </w:tr>
    </w:tbl>
    <w:p>
      <w:pPr>
        <w:spacing w:after="120"/>
      </w:pPr>
      <w:r>
        <w:t xml:space="preserve"/>
      </w:r>
    </w:p>
    <w:p>
      <w:pPr>
        <w:spacing w:after="140"/>
        <w:jc w:val="left"/>
      </w:pPr>
      <w:r>
        <w:rPr>
          <w:rFonts w:ascii="Arial" w:cs="Arial" w:eastAsia="Arial" w:hAnsi="Arial"/>
          <w:b w:val="false"/>
          <w:bCs w:val="false"/>
          <w:i w:val="false"/>
          <w:iCs w:val="false"/>
          <w:color w:val="1A1A1A"/>
          <w:sz w:val="22"/>
          <w:szCs w:val="22"/>
        </w:rPr>
        <w:t xml:space="preserve">Features are organised into three categories: direct encodings of ABDS variables, ordinal/binary transformations, and engineered features. All features are available in the S1 dataset without joining additional sources — this is an ABDS-internal prediction model.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D3D1C7" w:sz="1"/>
              <w:left w:val="single" w:color="D3D1C7" w:sz="1"/>
              <w:bottom w:val="single" w:color="D3D1C7" w:sz="1"/>
              <w:right w:val="single" w:color="D3D1C7" w:sz="1"/>
            </w:tcBorders>
            <w:shd w:fill="3B6D11"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Category</w:t>
            </w:r>
          </w:p>
        </w:tc>
        <w:tc>
          <w:tcPr>
            <w:tcW w:type="dxa" w:w="1800"/>
            <w:tcBorders>
              <w:top w:val="single" w:color="D3D1C7" w:sz="1"/>
              <w:left w:val="single" w:color="D3D1C7" w:sz="1"/>
              <w:bottom w:val="single" w:color="D3D1C7" w:sz="1"/>
              <w:right w:val="single" w:color="D3D1C7" w:sz="1"/>
            </w:tcBorders>
            <w:shd w:fill="3B6D11"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Variable name</w:t>
            </w:r>
          </w:p>
        </w:tc>
        <w:tc>
          <w:tcPr>
            <w:tcW w:type="dxa" w:w="3200"/>
            <w:tcBorders>
              <w:top w:val="single" w:color="D3D1C7" w:sz="1"/>
              <w:left w:val="single" w:color="D3D1C7" w:sz="1"/>
              <w:bottom w:val="single" w:color="D3D1C7" w:sz="1"/>
              <w:right w:val="single" w:color="D3D1C7" w:sz="1"/>
            </w:tcBorders>
            <w:shd w:fill="3B6D11"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What it measures</w:t>
            </w:r>
          </w:p>
        </w:tc>
        <w:tc>
          <w:tcPr>
            <w:tcW w:type="dxa" w:w="2960"/>
            <w:tcBorders>
              <w:top w:val="single" w:color="D3D1C7" w:sz="1"/>
              <w:left w:val="single" w:color="D3D1C7" w:sz="1"/>
              <w:bottom w:val="single" w:color="D3D1C7" w:sz="1"/>
              <w:right w:val="single" w:color="D3D1C7" w:sz="1"/>
            </w:tcBorders>
            <w:shd w:fill="3B6D11"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Why it should predict burden ratio</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bCs/>
                <w:color w:val="534AB7"/>
                <w:sz w:val="19"/>
                <w:szCs w:val="19"/>
              </w:rPr>
              <w:t xml:space="preserve">Demographic</w:t>
            </w:r>
          </w:p>
        </w:tc>
        <w:tc>
          <w:tcPr>
            <w:tcW w:type="dxa" w:w="18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val="false"/>
                <w:bCs w:val="false"/>
                <w:color w:val="1A1A1A"/>
                <w:sz w:val="19"/>
                <w:szCs w:val="19"/>
              </w:rPr>
              <w:t xml:space="preserve">age_num</w:t>
            </w:r>
          </w:p>
        </w:tc>
        <w:tc>
          <w:tcPr>
            <w:tcW w:type="dxa" w:w="32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color w:val="1A1A1A"/>
                <w:sz w:val="19"/>
                <w:szCs w:val="19"/>
              </w:rPr>
              <w:t xml:space="preserve">Ordinal age group (0=1–4, 20=100+) from 5-year bands</w:t>
            </w:r>
          </w:p>
        </w:tc>
        <w:tc>
          <w:tcPr>
            <w:tcW w:type="dxa" w:w="29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i/>
                <w:iCs/>
                <w:color w:val="5F5E5A"/>
                <w:sz w:val="19"/>
                <w:szCs w:val="19"/>
              </w:rPr>
              <w:t xml:space="preserve">Age strongly shapes fatal vs chronic split — young cohorts have high chronic ratio, oldest have lower as mortality rises</w:t>
            </w:r>
          </w:p>
        </w:tc>
      </w:tr>
      <w:tr>
        <w:tc>
          <w:tcPr>
            <w:tcW w:type="dxa" w:w="14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b/>
                <w:bCs/>
                <w:color w:val="534AB7"/>
                <w:sz w:val="19"/>
                <w:szCs w:val="19"/>
              </w:rPr>
              <w:t xml:space="preserve">Demographic</w:t>
            </w:r>
          </w:p>
        </w:tc>
        <w:tc>
          <w:tcPr>
            <w:tcW w:type="dxa" w:w="18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b w:val="false"/>
                <w:bCs w:val="false"/>
                <w:color w:val="1A1A1A"/>
                <w:sz w:val="19"/>
                <w:szCs w:val="19"/>
              </w:rPr>
              <w:t xml:space="preserve">sex_bin</w:t>
            </w:r>
          </w:p>
        </w:tc>
        <w:tc>
          <w:tcPr>
            <w:tcW w:type="dxa" w:w="32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color w:val="1A1A1A"/>
                <w:sz w:val="19"/>
                <w:szCs w:val="19"/>
              </w:rPr>
              <w:t xml:space="preserve">Binary: 1=Males, 0=Females</w:t>
            </w:r>
          </w:p>
        </w:tc>
        <w:tc>
          <w:tcPr>
            <w:tcW w:type="dxa" w:w="296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i/>
                <w:iCs/>
                <w:color w:val="5F5E5A"/>
                <w:sz w:val="19"/>
                <w:szCs w:val="19"/>
              </w:rPr>
              <w:t xml:space="preserve">Females carry higher chronic burden (mental health, autoimmune, musculoskeletal); males have higher fatal burden (CVD, injury)</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bCs/>
                <w:color w:val="534AB7"/>
                <w:sz w:val="19"/>
                <w:szCs w:val="19"/>
              </w:rPr>
              <w:t xml:space="preserve">Disease type</w:t>
            </w:r>
          </w:p>
        </w:tc>
        <w:tc>
          <w:tcPr>
            <w:tcW w:type="dxa" w:w="18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val="false"/>
                <w:bCs w:val="false"/>
                <w:color w:val="1A1A1A"/>
                <w:sz w:val="19"/>
                <w:szCs w:val="19"/>
              </w:rPr>
              <w:t xml:space="preserve">disease_group</w:t>
            </w:r>
          </w:p>
        </w:tc>
        <w:tc>
          <w:tcPr>
            <w:tcW w:type="dxa" w:w="32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color w:val="1A1A1A"/>
                <w:sz w:val="19"/>
                <w:szCs w:val="19"/>
              </w:rPr>
              <w:t xml:space="preserve">17 disease groups, one-hot encoded into 17 binary features</w:t>
            </w:r>
          </w:p>
        </w:tc>
        <w:tc>
          <w:tcPr>
            <w:tcW w:type="dxa" w:w="29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i/>
                <w:iCs/>
                <w:color w:val="5F5E5A"/>
                <w:sz w:val="19"/>
                <w:szCs w:val="19"/>
              </w:rPr>
              <w:t xml:space="preserve">Disease category is the single strongest predictor — musculoskeletal and mental health are structurally chronic; cardiovascular and cancer have high fatal fractions</w:t>
            </w:r>
          </w:p>
        </w:tc>
      </w:tr>
      <w:tr>
        <w:tc>
          <w:tcPr>
            <w:tcW w:type="dxa" w:w="14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b/>
                <w:bCs/>
                <w:color w:val="534AB7"/>
                <w:sz w:val="19"/>
                <w:szCs w:val="19"/>
              </w:rPr>
              <w:t>Temporal</w:t>
            </w:r>
          </w:p>
        </w:tc>
        <w:tc>
          <w:tcPr>
            <w:tcW w:type="dxa" w:w="18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b w:val="false"/>
                <w:bCs w:val="false"/>
                <w:color w:val="1A1A1A"/>
                <w:sz w:val="19"/>
                <w:szCs w:val="19"/>
              </w:rPr>
              <w:t>data_year</w:t>
            </w:r>
          </w:p>
        </w:tc>
        <w:tc>
          <w:tcPr>
            <w:tcW w:type="dxa" w:w="32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color w:val="1A1A1A"/>
                <w:sz w:val="19"/>
                <w:szCs w:val="19"/>
              </w:rPr>
              <w:t>Raw snapshot year (2003, 2011, 2015, 2018, 2024) — standardised to zero mean / unit variance by StandardScaler in preprocessing pipeline</w:t>
            </w:r>
          </w:p>
        </w:tc>
        <w:tc>
          <w:tcPr>
            <w:tcW w:type="dxa" w:w="296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i/>
                <w:iCs/>
                <w:color w:val="5F5E5A"/>
                <w:sz w:val="19"/>
                <w:szCs w:val="19"/>
              </w:rPr>
              <w:t>Captures secular trend — chronic burden ratio rising over 21 years, especially mental health; pipeline standardisation ensures comparable regularisation penalties across features</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bCs/>
                <w:color w:val="534AB7"/>
                <w:sz w:val="19"/>
                <w:szCs w:val="19"/>
              </w:rPr>
              <w:t>Engineered</w:t>
            </w:r>
          </w:p>
        </w:tc>
        <w:tc>
          <w:tcPr>
            <w:tcW w:type="dxa" w:w="18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val="false"/>
                <w:bCs w:val="false"/>
                <w:color w:val="1A1A1A"/>
                <w:sz w:val="19"/>
                <w:szCs w:val="19"/>
              </w:rPr>
              <w:t>age_num_sq, age_sex_interaction, disease_year_interaction</w:t>
            </w:r>
          </w:p>
        </w:tc>
        <w:tc>
          <w:tcPr>
            <w:tcW w:type="dxa" w:w="32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color w:val="1A1A1A"/>
                <w:sz w:val="19"/>
                <w:szCs w:val="19"/>
              </w:rPr>
              <w:t>Quadratic age (age_num²); age×sex cross-term; disease_group_encoded × year_norm interaction</w:t>
            </w:r>
          </w:p>
        </w:tc>
        <w:tc>
          <w:tcPr>
            <w:tcW w:type="dxa" w:w="29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i/>
                <w:iCs/>
                <w:color w:val="5F5E5A"/>
                <w:sz w:val="19"/>
                <w:szCs w:val="19"/>
              </w:rPr>
              <w:t>Gives linear models a fair chance at the non-linear age curve; disease_year_interaction ranks 6th in SHAP, confirming differential temporal drift across disease groups — directly supports H3</w:t>
            </w:r>
          </w:p>
        </w:tc>
      </w:tr>
      <w:tr>
        <w:tc>
          <w:tcPr>
            <w:tcW w:type="dxa" w:w="1400"/>
            <w:tcBorders>
              <w:top w:val="single" w:color="D3D1C7" w:sz="1"/>
              <w:left w:val="single" w:color="D3D1C7" w:sz="1"/>
              <w:bottom w:val="single" w:color="D3D1C7" w:sz="1"/>
              <w:right w:val="single" w:color="D3D1C7" w:sz="1"/>
            </w:tcBorders>
            <w:shd w:fill="FAECE7" w:val="clear"/>
            <w:tcMar>
              <w:top w:type="dxa" w:w="90"/>
              <w:left w:type="dxa" w:w="130"/>
              <w:bottom w:type="dxa" w:w="90"/>
              <w:right w:type="dxa" w:w="130"/>
            </w:tcMar>
          </w:tcPr>
          <w:p>
            <w:pPr>
              <w:spacing w:after="0"/>
            </w:pPr>
            <w:r>
              <w:rPr>
                <w:rFonts w:ascii="Arial" w:cs="Arial" w:eastAsia="Arial" w:hAnsi="Arial"/>
                <w:b/>
                <w:bCs/>
                <w:color w:val="534AB7"/>
                <w:sz w:val="19"/>
                <w:szCs w:val="19"/>
              </w:rPr>
              <w:t xml:space="preserve">Target (do not use as feature)</w:t>
            </w:r>
          </w:p>
        </w:tc>
        <w:tc>
          <w:tcPr>
            <w:tcW w:type="dxa" w:w="1800"/>
            <w:tcBorders>
              <w:top w:val="single" w:color="D3D1C7" w:sz="1"/>
              <w:left w:val="single" w:color="D3D1C7" w:sz="1"/>
              <w:bottom w:val="single" w:color="D3D1C7" w:sz="1"/>
              <w:right w:val="single" w:color="D3D1C7" w:sz="1"/>
            </w:tcBorders>
            <w:shd w:fill="FAECE7" w:val="clear"/>
            <w:tcMar>
              <w:top w:type="dxa" w:w="90"/>
              <w:left w:type="dxa" w:w="130"/>
              <w:bottom w:type="dxa" w:w="90"/>
              <w:right w:type="dxa" w:w="130"/>
            </w:tcMar>
          </w:tcPr>
          <w:p>
            <w:pPr>
              <w:spacing w:after="0"/>
            </w:pPr>
            <w:r>
              <w:rPr>
                <w:rFonts w:ascii="Arial" w:cs="Arial" w:eastAsia="Arial" w:hAnsi="Arial"/>
                <w:b/>
                <w:bCs/>
                <w:color w:val="1A1A1A"/>
                <w:sz w:val="19"/>
                <w:szCs w:val="19"/>
              </w:rPr>
              <w:t xml:space="preserve">burden_ratio = YLD / DALY</w:t>
            </w:r>
          </w:p>
        </w:tc>
        <w:tc>
          <w:tcPr>
            <w:tcW w:type="dxa" w:w="3200"/>
            <w:tcBorders>
              <w:top w:val="single" w:color="D3D1C7" w:sz="1"/>
              <w:left w:val="single" w:color="D3D1C7" w:sz="1"/>
              <w:bottom w:val="single" w:color="D3D1C7" w:sz="1"/>
              <w:right w:val="single" w:color="D3D1C7" w:sz="1"/>
            </w:tcBorders>
            <w:shd w:fill="FAECE7" w:val="clear"/>
            <w:tcMar>
              <w:top w:type="dxa" w:w="90"/>
              <w:left w:type="dxa" w:w="130"/>
              <w:bottom w:type="dxa" w:w="90"/>
              <w:right w:type="dxa" w:w="130"/>
            </w:tcMar>
          </w:tcPr>
          <w:p>
            <w:pPr>
              <w:spacing w:after="0"/>
            </w:pPr>
            <w:r>
              <w:rPr>
                <w:rFonts w:ascii="Arial" w:cs="Arial" w:eastAsia="Arial" w:hAnsi="Arial"/>
                <w:color w:val="1A1A1A"/>
                <w:sz w:val="19"/>
                <w:szCs w:val="19"/>
              </w:rPr>
              <w:t xml:space="preserve">Ratio of non-fatal to total burden</w:t>
            </w:r>
          </w:p>
        </w:tc>
        <w:tc>
          <w:tcPr>
            <w:tcW w:type="dxa" w:w="2960"/>
            <w:tcBorders>
              <w:top w:val="single" w:color="D3D1C7" w:sz="1"/>
              <w:left w:val="single" w:color="D3D1C7" w:sz="1"/>
              <w:bottom w:val="single" w:color="D3D1C7" w:sz="1"/>
              <w:right w:val="single" w:color="D3D1C7" w:sz="1"/>
            </w:tcBorders>
            <w:shd w:fill="FAECE7" w:val="clear"/>
            <w:tcMar>
              <w:top w:type="dxa" w:w="90"/>
              <w:left w:type="dxa" w:w="130"/>
              <w:bottom w:type="dxa" w:w="90"/>
              <w:right w:type="dxa" w:w="130"/>
            </w:tcMar>
          </w:tcPr>
          <w:p>
            <w:pPr>
              <w:spacing w:after="0"/>
            </w:pPr>
            <w:r>
              <w:rPr>
                <w:rFonts w:ascii="Arial" w:cs="Arial" w:eastAsia="Arial" w:hAnsi="Arial"/>
                <w:i/>
                <w:iCs/>
                <w:color w:val="5F5E5A"/>
                <w:sz w:val="19"/>
                <w:szCs w:val="19"/>
              </w:rPr>
              <w:t xml:space="preserve">This is what we are predicting — not a feature</w:t>
            </w:r>
          </w:p>
        </w:tc>
      </w:tr>
    </w:tbl>
    <w:p>
      <w:pPr>
        <w:spacing w:after="160"/>
      </w:pPr>
      <w:r>
        <w:t xml:space="preserve"/>
      </w:r>
    </w:p>
    <w:p>
      <w:pPr>
        <w:pStyle w:val="Heading3"/>
        <w:spacing w:before="180" w:after="80"/>
      </w:pPr>
      <w:r>
        <w:rPr>
          <w:rFonts w:ascii="Arial" w:cs="Arial" w:eastAsia="Arial" w:hAnsi="Arial"/>
          <w:b/>
          <w:bCs/>
          <w:color w:val="0F6E56"/>
          <w:sz w:val="24"/>
          <w:szCs w:val="24"/>
        </w:rPr>
        <w:t xml:space="preserve">Feature encoding decisions</w:t>
      </w:r>
    </w:p>
    <w:p>
      <w:pPr>
        <w:spacing w:after="140"/>
        <w:jc w:val="left"/>
      </w:pPr>
      <w:r>
        <w:rPr>
          <w:rFonts w:ascii="Arial" w:cs="Arial" w:eastAsia="Arial" w:hAnsi="Arial"/>
          <w:b w:val="false"/>
          <w:bCs w:val="false"/>
          <w:i w:val="false"/>
          <w:iCs w:val="false"/>
          <w:color w:val="1A1A1A"/>
          <w:sz w:val="22"/>
          <w:szCs w:val="22"/>
        </w:rPr>
        <w:t xml:space="preserve">Three encoding decisions are worth explaining explicitly, as they each involve a deliberate trade-off:</w:t>
      </w:r>
    </w:p>
    <w:p>
      <w:pPr>
        <w:spacing w:after="80"/>
      </w:pPr>
      <w:r>
        <w:t xml:space="preserve"/>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age_group is encoded as a single ordinal integer (age_num) rather than one-hot. This preserves the natural ordering of age and prevents the feature space from expanding by 21 columns. The trade-off is that it assumes the relationship between age and burden ratio is monotonic or smoothly nonlinear — which tree-based models can still handle via splits, but which linear regression will linearise.</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disease_group is one-hot encoded rather than ordinal because there is no natural ordering between disease categories. Encoding cardiovascular=1, mental=2, musculoskeletal=3 would imply musculoskeletal is three times something — which is meaningless. One-hot creates 17 binary indicators with no implied relationship.</w:t>
      </w:r>
    </w:p>
    <w:p>
      <w:pPr>
        <w:pStyle w:val="ListParagraph"/>
        <w:numPr>
          <w:ilvl w:val="0"/>
          <w:numId w:val="2"/>
        </w:numPr>
        <w:spacing w:after="100"/>
      </w:pPr>
      <w:r>
        <w:rPr>
          <w:rFonts w:ascii="Arial" w:cs="Arial" w:eastAsia="Arial" w:hAnsi="Arial"/>
          <w:b w:val="false"/>
          <w:bCs w:val="false"/>
          <w:i w:val="false"/>
          <w:iCs w:val="false"/>
          <w:color w:val="1A1A1A"/>
          <w:sz w:val="22"/>
          <w:szCs w:val="22"/>
        </w:rPr>
        <w:t>data_year is passed as a raw integer (2003, 2011, 2015, 2018, 2024) and standardised to zero mean / unit variance by StandardScaler within the preprocessing pipeline after the train/test split. This prevents the year coefficient from dominating Ridge/Lasso regularisation penalties — equivalent to normalisation but pipeline-integrated, so the 2024 test year's values do not influence the scaling parameters.</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B6D11" w:sz="16"/>
              <w:bottom w:val="none" w:color="FFFFFF" w:sz="0"/>
              <w:right w:val="none" w:color="FFFFFF" w:sz="0"/>
            </w:tcBorders>
            <w:shd w:fill="EAF3DE" w:val="clear"/>
            <w:tcMar>
              <w:top w:type="dxa" w:w="140"/>
              <w:left w:type="dxa" w:w="220"/>
              <w:bottom w:type="dxa" w:w="140"/>
              <w:right w:type="dxa" w:w="220"/>
            </w:tcMar>
          </w:tcPr>
          <w:p>
            <w:pPr>
              <w:spacing w:after="80"/>
            </w:pPr>
            <w:r>
              <w:rPr>
                <w:rFonts w:ascii="Arial" w:cs="Arial" w:eastAsia="Arial" w:hAnsi="Arial"/>
                <w:b/>
                <w:bCs/>
                <w:i w:val="false"/>
                <w:iCs w:val="false"/>
                <w:color w:val="3B6D11"/>
                <w:sz w:val="21"/>
                <w:szCs w:val="21"/>
              </w:rPr>
              <w:t>A note on what is deliberately excluded:</w:t>
              <w:br/>
              <w:t>Socioeconomic status, comorbidity counts, and individual-level health behaviours are not in the ABDS 2024 data and therefore cannot be features. yll_fraction (YLL/DALY) was excluded as direct target leakage (r=−0.98 with burden_ratio). log_crude_daly_rate was removed during feature selection — it did not improve model performance beyond the disease group dummies. These are known limitations, not oversights.</w:t>
            </w:r>
          </w:p>
          <w:p>
            <w:pPr>
              <w:spacing w:after="0"/>
            </w:pPr>
            <w:r>
              <w:rPr>
                <w:rFonts w:ascii="Arial" w:cs="Arial" w:eastAsia="Arial" w:hAnsi="Arial"/>
                <w:b w:val="false"/>
                <w:bCs w:val="false"/>
                <w:i w:val="false"/>
                <w:iCs w:val="false"/>
                <w:color w:val="1A1A1A"/>
                <w:sz w:val="21"/>
                <w:szCs w:val="21"/>
              </w:rPr>
              <w:t xml:space="preserve">Socioeconomic status, comorbidity counts, and individual-level health behaviours are not in the ABDS 2024 data and therefore cannot be features. This is a known limitation, not an oversight. It means the model predicts population-level burden character from population-level inputs — which is appropriate for the insurance product design application but insufficient for individual underwriting.</w:t>
            </w:r>
          </w:p>
        </w:tc>
      </w:tr>
    </w:tbl>
    <w:p>
      <w:pPr>
        <w:spacing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F6E56" w:val="clear"/>
            <w:tcMar>
              <w:top w:type="dxa" w:w="120"/>
              <w:left w:type="dxa" w:w="120"/>
              <w:bottom w:type="dxa" w:w="120"/>
              <w:right w:type="dxa" w:w="120"/>
            </w:tcMar>
            <w:vAlign w:val="center"/>
          </w:tcPr>
          <w:p>
            <w:pPr>
              <w:spacing w:after="0"/>
              <w:jc w:val="center"/>
            </w:pPr>
            <w:r>
              <w:rPr>
                <w:rFonts w:ascii="Arial" w:cs="Arial" w:eastAsia="Arial" w:hAnsi="Arial"/>
                <w:b/>
                <w:bCs/>
                <w:color w:val="FFFFFF"/>
                <w:sz w:val="32"/>
                <w:szCs w:val="32"/>
              </w:rPr>
              <w:t xml:space="preserve">5</w:t>
            </w:r>
          </w:p>
        </w:tc>
        <w:tc>
          <w:tcPr>
            <w:tcW w:type="dxa" w:w="872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spacing w:after="30"/>
            </w:pPr>
            <w:r>
              <w:rPr>
                <w:rFonts w:ascii="Arial" w:cs="Arial" w:eastAsia="Arial" w:hAnsi="Arial"/>
                <w:b/>
                <w:bCs/>
                <w:color w:val="0F6E56"/>
                <w:sz w:val="28"/>
                <w:szCs w:val="28"/>
              </w:rPr>
              <w:t xml:space="preserve">Stakeholders</w:t>
            </w:r>
          </w:p>
          <w:p>
            <w:pPr>
              <w:spacing w:after="0"/>
            </w:pPr>
            <w:r>
              <w:rPr>
                <w:rFonts w:ascii="Arial" w:cs="Arial" w:eastAsia="Arial" w:hAnsi="Arial"/>
                <w:i/>
                <w:iCs/>
                <w:color w:val="5F5E5A"/>
                <w:sz w:val="20"/>
                <w:szCs w:val="20"/>
              </w:rPr>
              <w:t xml:space="preserve">Who will use or benefit from the model's predictions?</w:t>
            </w:r>
          </w:p>
        </w:tc>
      </w:tr>
    </w:tbl>
    <w:p>
      <w:pPr>
        <w:spacing w:after="120"/>
      </w:pPr>
      <w:r>
        <w:t xml:space="preserve"/>
      </w:r>
    </w:p>
    <w:p>
      <w:pPr>
        <w:spacing w:after="140"/>
        <w:jc w:val="left"/>
      </w:pPr>
      <w:r>
        <w:rPr>
          <w:rFonts w:ascii="Arial" w:cs="Arial" w:eastAsia="Arial" w:hAnsi="Arial"/>
          <w:b w:val="false"/>
          <w:bCs w:val="false"/>
          <w:i w:val="false"/>
          <w:iCs w:val="false"/>
          <w:color w:val="1A1A1A"/>
          <w:sz w:val="22"/>
          <w:szCs w:val="22"/>
        </w:rPr>
        <w:t xml:space="preserve">The model's outputs serve different purposes for different audiences. The framing below distinguishes between primary users (who act directly on predictions), secondary users (who benefit from decisions informed by predictions), and oversight stakeholders (who govern how predictions are used).</w:t>
      </w:r>
    </w:p>
    <w:p>
      <w:pPr>
        <w:spacing w:after="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pPr>
            <w:r>
              <w:rPr>
                <w:rFonts w:ascii="Arial" w:cs="Arial" w:eastAsia="Arial" w:hAnsi="Arial"/>
                <w:b/>
                <w:bCs/>
                <w:color w:val="534AB7"/>
                <w:sz w:val="23"/>
                <w:szCs w:val="23"/>
              </w:rPr>
              <w:t xml:space="preserve">Actuaries &amp; underwriters</w:t>
            </w:r>
          </w:p>
          <w:p>
            <w:pPr>
              <w:spacing w:after="80"/>
            </w:pPr>
            <w:r>
              <w:rPr>
                <w:rFonts w:ascii="Arial" w:cs="Arial" w:eastAsia="Arial" w:hAnsi="Arial"/>
                <w:color w:val="534AB7"/>
                <w:sz w:val="20"/>
                <w:szCs w:val="20"/>
              </w:rPr>
              <w:t xml:space="preserve">Primary users — risk pricing</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Identify disease-age-sex cohorts where chronic burden ratio is rising faster than historical models predict</w:t>
            </w:r>
          </w:p>
          <w:p>
            <w:pPr>
              <w:spacing w:after="60"/>
              <w:ind w:left="200"/>
            </w:pPr>
            <w:r>
              <w:rPr>
                <w:rFonts w:ascii="Arial" w:cs="Arial" w:eastAsia="Arial" w:hAnsi="Arial"/>
                <w:color w:val="1A1A1A"/>
                <w:sz w:val="19"/>
                <w:szCs w:val="19"/>
              </w:rPr>
              <w:t xml:space="preserve">Adjust long-term disability and income protection pricing to reflect the mental health and musculoskeletal burden trajectory</w:t>
            </w:r>
          </w:p>
          <w:p>
            <w:pPr>
              <w:spacing w:after="60"/>
              <w:ind w:left="200"/>
            </w:pPr>
            <w:r>
              <w:rPr>
                <w:rFonts w:ascii="Arial" w:cs="Arial" w:eastAsia="Arial" w:hAnsi="Arial"/>
                <w:color w:val="1A1A1A"/>
                <w:sz w:val="19"/>
                <w:szCs w:val="19"/>
              </w:rPr>
              <w:t xml:space="preserve">Flag cohorts where the model residual is positive and growing (systematic underprediction = emerging risk)</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pPr>
            <w:r>
              <w:t xml:space="preserve"/>
            </w:r>
          </w:p>
        </w:tc>
        <w:tc>
          <w:tcPr>
            <w:tcW w:type="dxa" w:w="4560"/>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tcPr>
          <w:p>
            <w:pPr>
              <w:spacing w:after="60"/>
            </w:pPr>
            <w:r>
              <w:rPr>
                <w:rFonts w:ascii="Arial" w:cs="Arial" w:eastAsia="Arial" w:hAnsi="Arial"/>
                <w:b/>
                <w:bCs/>
                <w:color w:val="993C1D"/>
                <w:sz w:val="23"/>
                <w:szCs w:val="23"/>
              </w:rPr>
              <w:t xml:space="preserve">Product development teams</w:t>
            </w:r>
          </w:p>
          <w:p>
            <w:pPr>
              <w:spacing w:after="80"/>
            </w:pPr>
            <w:r>
              <w:rPr>
                <w:rFonts w:ascii="Arial" w:cs="Arial" w:eastAsia="Arial" w:hAnsi="Arial"/>
                <w:color w:val="993C1D"/>
                <w:sz w:val="20"/>
                <w:szCs w:val="20"/>
              </w:rPr>
              <w:t xml:space="preserve">Primary users — product design</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Use burden ratio predictions to identify which disease groups and age segments are underserved by current product offerings</w:t>
            </w:r>
          </w:p>
          <w:p>
            <w:pPr>
              <w:spacing w:after="60"/>
              <w:ind w:left="200"/>
            </w:pPr>
            <w:r>
              <w:rPr>
                <w:rFonts w:ascii="Arial" w:cs="Arial" w:eastAsia="Arial" w:hAnsi="Arial"/>
                <w:color w:val="1A1A1A"/>
                <w:sz w:val="19"/>
                <w:szCs w:val="19"/>
              </w:rPr>
              <w:t xml:space="preserve">Design mental health and chronic condition riders targeting cohorts with high predicted burden ratio</w:t>
            </w:r>
          </w:p>
          <w:p>
            <w:pPr>
              <w:spacing w:after="60"/>
              <w:ind w:left="200"/>
            </w:pPr>
            <w:r>
              <w:rPr>
                <w:rFonts w:ascii="Arial" w:cs="Arial" w:eastAsia="Arial" w:hAnsi="Arial"/>
                <w:color w:val="1A1A1A"/>
                <w:sz w:val="19"/>
                <w:szCs w:val="19"/>
              </w:rPr>
              <w:t xml:space="preserve">Map the product alignment matrix (plot 09) to portfolio gaps</w:t>
            </w:r>
          </w:p>
        </w:tc>
      </w:tr>
      <w:tr>
        <w:tc>
          <w:tcPr>
            <w:tcW w:type="dxa" w:w="9360"/>
            <w:tcBorders>
              <w:top w:val="none" w:color="FFFFFF" w:sz="0"/>
              <w:left w:val="none" w:color="FFFFFF" w:sz="0"/>
              <w:bottom w:val="none" w:color="FFFFFF" w:sz="0"/>
              <w:right w:val="none" w:color="FFFFFF" w:sz="0"/>
            </w:tcBorders>
          </w:tcPr>
          <w:p>
            <w:pPr>
              <w:spacing w:after="120"/>
            </w:pPr>
            <w:r>
              <w:t xml:space="preserve"/>
            </w:r>
          </w:p>
        </w:tc>
      </w:tr>
      <w:tr>
        <w:tc>
          <w:tcPr>
            <w:tcW w:type="dxa" w:w="45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60"/>
            </w:pPr>
            <w:r>
              <w:rPr>
                <w:rFonts w:ascii="Arial" w:cs="Arial" w:eastAsia="Arial" w:hAnsi="Arial"/>
                <w:b/>
                <w:bCs/>
                <w:color w:val="0F6E56"/>
                <w:sz w:val="23"/>
                <w:szCs w:val="23"/>
              </w:rPr>
              <w:t xml:space="preserve">Preventive health / wellbeing teams</w:t>
            </w:r>
          </w:p>
          <w:p>
            <w:pPr>
              <w:spacing w:after="80"/>
            </w:pPr>
            <w:r>
              <w:rPr>
                <w:rFonts w:ascii="Arial" w:cs="Arial" w:eastAsia="Arial" w:hAnsi="Arial"/>
                <w:color w:val="0F6E56"/>
                <w:sz w:val="20"/>
                <w:szCs w:val="20"/>
              </w:rPr>
              <w:t xml:space="preserve">Secondary users — intervention design</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Prioritise wellness programs for cohorts with the highest predicted chronic burden ratio and highest temporal drift</w:t>
            </w:r>
          </w:p>
          <w:p>
            <w:pPr>
              <w:spacing w:after="60"/>
              <w:ind w:left="200"/>
            </w:pPr>
            <w:r>
              <w:rPr>
                <w:rFonts w:ascii="Arial" w:cs="Arial" w:eastAsia="Arial" w:hAnsi="Arial"/>
                <w:color w:val="1A1A1A"/>
                <w:sz w:val="19"/>
                <w:szCs w:val="19"/>
              </w:rPr>
              <w:t xml:space="preserve">Calculate approximate return on investment for obesity, physical inactivity, and mental health programs using the preventability fraction from ABDS S8</w:t>
            </w:r>
          </w:p>
          <w:p>
            <w:pPr>
              <w:spacing w:after="60"/>
              <w:ind w:left="200"/>
            </w:pPr>
            <w:r>
              <w:rPr>
                <w:rFonts w:ascii="Arial" w:cs="Arial" w:eastAsia="Arial" w:hAnsi="Arial"/>
                <w:color w:val="1A1A1A"/>
                <w:sz w:val="19"/>
                <w:szCs w:val="19"/>
              </w:rPr>
              <w:t xml:space="preserve">Monitor whether intervention programs reduce the residual drift over successive ABDS updates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pPr>
            <w:r>
              <w:t xml:space="preserve"/>
            </w:r>
          </w:p>
        </w:tc>
        <w:tc>
          <w:tcPr>
            <w:tcW w:type="dxa" w:w="456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60"/>
            </w:pPr>
            <w:r>
              <w:rPr>
                <w:rFonts w:ascii="Arial" w:cs="Arial" w:eastAsia="Arial" w:hAnsi="Arial"/>
                <w:b/>
                <w:bCs/>
                <w:color w:val="BA7517"/>
                <w:sz w:val="23"/>
                <w:szCs w:val="23"/>
              </w:rPr>
              <w:t xml:space="preserve">ESG / sustainability reporting teams</w:t>
            </w:r>
          </w:p>
          <w:p>
            <w:pPr>
              <w:spacing w:after="80"/>
            </w:pPr>
            <w:r>
              <w:rPr>
                <w:rFonts w:ascii="Arial" w:cs="Arial" w:eastAsia="Arial" w:hAnsi="Arial"/>
                <w:color w:val="BA7517"/>
                <w:sz w:val="20"/>
                <w:szCs w:val="20"/>
              </w:rPr>
              <w:t xml:space="preserve">Secondary users — reporting</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Use residual drift analysis as quantitative evidence for SDG 3 reporting (Target 3.4: NCDs and mental health)</w:t>
            </w:r>
          </w:p>
          <w:p>
            <w:pPr>
              <w:spacing w:after="60"/>
              <w:ind w:left="200"/>
            </w:pPr>
            <w:r>
              <w:rPr>
                <w:rFonts w:ascii="Arial" w:cs="Arial" w:eastAsia="Arial" w:hAnsi="Arial"/>
                <w:color w:val="1A1A1A"/>
                <w:sz w:val="19"/>
                <w:szCs w:val="19"/>
              </w:rPr>
              <w:t xml:space="preserve">Report the chronic burden gap — the +0.043 mental health residual shift 2003→2024 — as a measurable sustainability indicator</w:t>
            </w:r>
          </w:p>
          <w:p>
            <w:pPr>
              <w:spacing w:after="60"/>
              <w:ind w:left="200"/>
            </w:pPr>
            <w:r>
              <w:rPr>
                <w:rFonts w:ascii="Arial" w:cs="Arial" w:eastAsia="Arial" w:hAnsi="Arial"/>
                <w:color w:val="1A1A1A"/>
                <w:sz w:val="19"/>
                <w:szCs w:val="19"/>
              </w:rPr>
              <w:t xml:space="preserve">Demonstrate that the insurer has analytic infrastructure to track population health trajectory</w:t>
            </w:r>
          </w:p>
        </w:tc>
      </w:tr>
      <w:tr>
        <w:tc>
          <w:tcPr>
            <w:tcW w:type="dxa" w:w="9360"/>
            <w:tcBorders>
              <w:top w:val="none" w:color="FFFFFF" w:sz="0"/>
              <w:left w:val="none" w:color="FFFFFF" w:sz="0"/>
              <w:bottom w:val="none" w:color="FFFFFF" w:sz="0"/>
              <w:right w:val="none" w:color="FFFFFF" w:sz="0"/>
            </w:tcBorders>
          </w:tcPr>
          <w:p>
            <w:pPr>
              <w:spacing w:after="120"/>
            </w:pPr>
            <w:r>
              <w:t xml:space="preserve"/>
            </w:r>
          </w:p>
        </w:tc>
      </w:tr>
      <w:tr>
        <w:tc>
          <w:tcPr>
            <w:tcW w:type="dxa" w:w="4560"/>
            <w:tcBorders>
              <w:top w:val="none" w:color="FFFFFF" w:sz="0"/>
              <w:left w:val="none" w:color="FFFFFF" w:sz="0"/>
              <w:bottom w:val="none" w:color="FFFFFF" w:sz="0"/>
              <w:right w:val="none" w:color="FFFFFF" w:sz="0"/>
            </w:tcBorders>
            <w:shd w:fill="EAF3DE" w:val="clear"/>
            <w:tcMar>
              <w:top w:type="dxa" w:w="160"/>
              <w:left w:type="dxa" w:w="200"/>
              <w:bottom w:type="dxa" w:w="160"/>
              <w:right w:type="dxa" w:w="200"/>
            </w:tcMar>
          </w:tcPr>
          <w:p>
            <w:pPr>
              <w:spacing w:after="60"/>
            </w:pPr>
            <w:r>
              <w:rPr>
                <w:rFonts w:ascii="Arial" w:cs="Arial" w:eastAsia="Arial" w:hAnsi="Arial"/>
                <w:b/>
                <w:bCs/>
                <w:color w:val="3B6D11"/>
                <w:sz w:val="23"/>
                <w:szCs w:val="23"/>
              </w:rPr>
              <w:t xml:space="preserve">Policyholders / general public</w:t>
            </w:r>
          </w:p>
          <w:p>
            <w:pPr>
              <w:spacing w:after="80"/>
            </w:pPr>
            <w:r>
              <w:rPr>
                <w:rFonts w:ascii="Arial" w:cs="Arial" w:eastAsia="Arial" w:hAnsi="Arial"/>
                <w:color w:val="3B6D11"/>
                <w:sz w:val="20"/>
                <w:szCs w:val="20"/>
              </w:rPr>
              <w:t xml:space="preserve">Indirect beneficiaries</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Benefit from insurance products better aligned to actual health burden patterns</w:t>
            </w:r>
          </w:p>
          <w:p>
            <w:pPr>
              <w:spacing w:after="60"/>
              <w:ind w:left="200"/>
            </w:pPr>
            <w:r>
              <w:rPr>
                <w:rFonts w:ascii="Arial" w:cs="Arial" w:eastAsia="Arial" w:hAnsi="Arial"/>
                <w:color w:val="1A1A1A"/>
                <w:sz w:val="19"/>
                <w:szCs w:val="19"/>
              </w:rPr>
              <w:t xml:space="preserve">Access preventive health programs targeted at the conditions most likely to affect their demographic cohort</w:t>
            </w:r>
          </w:p>
          <w:p>
            <w:pPr>
              <w:spacing w:after="60"/>
              <w:ind w:left="200"/>
            </w:pPr>
            <w:r>
              <w:rPr>
                <w:rFonts w:ascii="Arial" w:cs="Arial" w:eastAsia="Arial" w:hAnsi="Arial"/>
                <w:color w:val="1A1A1A"/>
                <w:sz w:val="19"/>
                <w:szCs w:val="19"/>
              </w:rPr>
              <w:t xml:space="preserve">Receive fairer pricing as demographic error parity checks reduce systematic model bias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pPr>
            <w:r>
              <w:t xml:space="preserve"/>
            </w:r>
          </w:p>
        </w:tc>
        <w:tc>
          <w:tcPr>
            <w:tcW w:type="dxa" w:w="45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60"/>
            </w:pPr>
            <w:r>
              <w:rPr>
                <w:rFonts w:ascii="Arial" w:cs="Arial" w:eastAsia="Arial" w:hAnsi="Arial"/>
                <w:b/>
                <w:bCs/>
                <w:color w:val="5F5E5A"/>
                <w:sz w:val="23"/>
                <w:szCs w:val="23"/>
              </w:rPr>
              <w:t xml:space="preserve">Regulators &amp; ethics committees</w:t>
            </w:r>
          </w:p>
          <w:p>
            <w:pPr>
              <w:spacing w:after="80"/>
            </w:pPr>
            <w:r>
              <w:rPr>
                <w:rFonts w:ascii="Arial" w:cs="Arial" w:eastAsia="Arial" w:hAnsi="Arial"/>
                <w:color w:val="5F5E5A"/>
                <w:sz w:val="20"/>
                <w:szCs w:val="20"/>
              </w:rPr>
              <w:t xml:space="preserve">Oversight — APRA, OAIC</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Review demographic error parity outputs (plot 08) to verify the model does not systematically disadvantage particular sex or age groups</w:t>
            </w:r>
          </w:p>
          <w:p>
            <w:pPr>
              <w:spacing w:after="60"/>
              <w:ind w:left="200"/>
            </w:pPr>
            <w:r>
              <w:rPr>
                <w:rFonts w:ascii="Arial" w:cs="Arial" w:eastAsia="Arial" w:hAnsi="Arial"/>
                <w:color w:val="1A1A1A"/>
                <w:sz w:val="19"/>
                <w:szCs w:val="19"/>
              </w:rPr>
              <w:t xml:space="preserve">Assess compliance with Disability Discrimination Act 1992 (actuarial justification for differential treatment) and Privacy Act 1988</w:t>
            </w:r>
          </w:p>
          <w:p>
            <w:pPr>
              <w:spacing w:after="60"/>
              <w:ind w:left="200"/>
            </w:pPr>
            <w:r>
              <w:rPr>
                <w:rFonts w:ascii="Arial" w:cs="Arial" w:eastAsia="Arial" w:hAnsi="Arial"/>
                <w:color w:val="1A1A1A"/>
                <w:sz w:val="19"/>
                <w:szCs w:val="19"/>
              </w:rPr>
              <w:t xml:space="preserve">Apply EU AI Act reference principles: transparency, human oversight, bias testing, impact assessment</w:t>
            </w:r>
          </w:p>
        </w:tc>
      </w:tr>
      <w:tr>
        <w:tc>
          <w:tcPr>
            <w:tcW w:type="dxa" w:w="9360"/>
            <w:tcBorders>
              <w:top w:val="none" w:color="FFFFFF" w:sz="0"/>
              <w:left w:val="none" w:color="FFFFFF" w:sz="0"/>
              <w:bottom w:val="none" w:color="FFFFFF" w:sz="0"/>
              <w:right w:val="none" w:color="FFFFFF" w:sz="0"/>
            </w:tcBorders>
          </w:tcPr>
          <w:p>
            <w:pPr>
              <w:spacing w:after="120"/>
            </w:pPr>
            <w:r>
              <w:t xml:space="preserve"/>
            </w:r>
          </w:p>
        </w:tc>
      </w:tr>
    </w:tbl>
    <w:p>
      <w:pP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F6E56" w:sz="16"/>
              <w:bottom w:val="none" w:color="FFFFFF" w:sz="0"/>
              <w:right w:val="none" w:color="FFFFFF" w:sz="0"/>
            </w:tcBorders>
            <w:shd w:fill="E1F5EE" w:val="clear"/>
            <w:tcMar>
              <w:top w:type="dxa" w:w="140"/>
              <w:left w:type="dxa" w:w="220"/>
              <w:bottom w:type="dxa" w:w="140"/>
              <w:right w:type="dxa" w:w="220"/>
            </w:tcMar>
          </w:tcPr>
          <w:p>
            <w:pPr>
              <w:spacing w:after="80"/>
            </w:pPr>
            <w:r>
              <w:rPr>
                <w:rFonts w:ascii="Arial" w:cs="Arial" w:eastAsia="Arial" w:hAnsi="Arial"/>
                <w:b/>
                <w:bCs/>
                <w:i w:val="false"/>
                <w:iCs w:val="false"/>
                <w:color w:val="0F6E56"/>
                <w:sz w:val="21"/>
                <w:szCs w:val="21"/>
              </w:rPr>
              <w:t xml:space="preserve">Important clarification for all stakeholders:</w:t>
            </w:r>
          </w:p>
          <w:p>
            <w:pPr>
              <w:spacing w:after="0"/>
            </w:pPr>
            <w:r>
              <w:rPr>
                <w:rFonts w:ascii="Arial" w:cs="Arial" w:eastAsia="Arial" w:hAnsi="Arial"/>
                <w:b w:val="false"/>
                <w:bCs w:val="false"/>
                <w:i w:val="false"/>
                <w:iCs w:val="false"/>
                <w:color w:val="1A1A1A"/>
                <w:sz w:val="21"/>
                <w:szCs w:val="21"/>
              </w:rPr>
              <w:t xml:space="preserve">The model predicts population-level burden ratios for disease-age-sex-year cohorts. It does not predict individual health outcomes and must not be used for individual underwriting decisions without additional individual-level evidence. The ecological fallacy — applying cohort-level findings to individuals — is a material ethical risk that any deployment of this model must explicitly guard against.</w:t>
            </w:r>
          </w:p>
        </w:tc>
      </w:tr>
    </w:tbl>
    <w:p>
      <w:pPr>
        <w:spacing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20"/>
              <w:bottom w:type="dxa" w:w="120"/>
              <w:right w:type="dxa" w:w="220"/>
            </w:tcMar>
          </w:tcPr>
          <w:p>
            <w:pPr>
              <w:spacing w:after="0"/>
            </w:pPr>
            <w:r>
              <w:rPr>
                <w:rFonts w:ascii="Arial" w:cs="Arial" w:eastAsia="Arial" w:hAnsi="Arial"/>
                <w:b/>
                <w:bCs/>
                <w:color w:val="534AB7"/>
                <w:sz w:val="22"/>
                <w:szCs w:val="22"/>
              </w:rPr>
              <w:t xml:space="preserve">Summary: The Five Components at a Glance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D3D1C7" w:sz="1"/>
              <w:left w:val="single" w:color="D3D1C7" w:sz="1"/>
              <w:bottom w:val="single" w:color="D3D1C7" w:sz="1"/>
              <w:right w:val="single" w:color="D3D1C7" w:sz="1"/>
            </w:tcBorders>
            <w:shd w:fill="534AB7" w:val="clear"/>
            <w:tcMar>
              <w:top w:type="dxa" w:w="90"/>
              <w:left w:type="dxa" w:w="140"/>
              <w:bottom w:type="dxa" w:w="90"/>
              <w:right w:type="dxa" w:w="140"/>
            </w:tcMar>
          </w:tcPr>
          <w:p>
            <w:pPr>
              <w:spacing w:after="0"/>
              <w:jc w:val="left"/>
            </w:pPr>
            <w:r>
              <w:rPr>
                <w:rFonts w:ascii="Arial" w:cs="Arial" w:eastAsia="Arial" w:hAnsi="Arial"/>
                <w:b/>
                <w:bCs/>
                <w:i w:val="false"/>
                <w:iCs w:val="false"/>
                <w:color w:val="FFFFFF"/>
                <w:sz w:val="20"/>
                <w:szCs w:val="20"/>
              </w:rPr>
              <w:t xml:space="preserve">Component</w:t>
            </w:r>
          </w:p>
        </w:tc>
        <w:tc>
          <w:tcPr>
            <w:tcW w:type="dxa" w:w="2200"/>
            <w:tcBorders>
              <w:top w:val="single" w:color="D3D1C7" w:sz="1"/>
              <w:left w:val="single" w:color="D3D1C7" w:sz="1"/>
              <w:bottom w:val="single" w:color="D3D1C7" w:sz="1"/>
              <w:right w:val="single" w:color="D3D1C7" w:sz="1"/>
            </w:tcBorders>
            <w:shd w:fill="534AB7" w:val="clear"/>
            <w:tcMar>
              <w:top w:type="dxa" w:w="90"/>
              <w:left w:type="dxa" w:w="140"/>
              <w:bottom w:type="dxa" w:w="90"/>
              <w:right w:type="dxa" w:w="140"/>
            </w:tcMar>
          </w:tcPr>
          <w:p>
            <w:pPr>
              <w:spacing w:after="0"/>
              <w:jc w:val="left"/>
            </w:pPr>
            <w:r>
              <w:rPr>
                <w:rFonts w:ascii="Arial" w:cs="Arial" w:eastAsia="Arial" w:hAnsi="Arial"/>
                <w:b/>
                <w:bCs/>
                <w:i w:val="false"/>
                <w:iCs w:val="false"/>
                <w:color w:val="FFFFFF"/>
                <w:sz w:val="20"/>
                <w:szCs w:val="20"/>
              </w:rPr>
              <w:t xml:space="preserve">The question</w:t>
            </w:r>
          </w:p>
        </w:tc>
        <w:tc>
          <w:tcPr>
            <w:tcW w:type="dxa" w:w="5560"/>
            <w:tcBorders>
              <w:top w:val="single" w:color="D3D1C7" w:sz="1"/>
              <w:left w:val="single" w:color="D3D1C7" w:sz="1"/>
              <w:bottom w:val="single" w:color="D3D1C7" w:sz="1"/>
              <w:right w:val="single" w:color="D3D1C7" w:sz="1"/>
            </w:tcBorders>
            <w:shd w:fill="534AB7" w:val="clear"/>
            <w:tcMar>
              <w:top w:type="dxa" w:w="90"/>
              <w:left w:type="dxa" w:w="140"/>
              <w:bottom w:type="dxa" w:w="90"/>
              <w:right w:type="dxa" w:w="140"/>
            </w:tcMar>
          </w:tcPr>
          <w:p>
            <w:pPr>
              <w:spacing w:after="0"/>
              <w:jc w:val="left"/>
            </w:pPr>
            <w:r>
              <w:rPr>
                <w:rFonts w:ascii="Arial" w:cs="Arial" w:eastAsia="Arial" w:hAnsi="Arial"/>
                <w:b/>
                <w:bCs/>
                <w:i w:val="false"/>
                <w:iCs w:val="false"/>
                <w:color w:val="FFFFFF"/>
                <w:sz w:val="20"/>
                <w:szCs w:val="20"/>
              </w:rPr>
              <w:t xml:space="preserve">Answer for this project</w:t>
            </w:r>
          </w:p>
        </w:tc>
      </w:tr>
      <w:tr>
        <w:tc>
          <w:tcPr>
            <w:tcW w:type="dxa" w:w="16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bCs/>
                <w:i w:val="false"/>
                <w:iCs w:val="false"/>
                <w:color w:val="1A1A1A"/>
                <w:sz w:val="20"/>
                <w:szCs w:val="20"/>
              </w:rPr>
              <w:t xml:space="preserve">Goal statement</w:t>
            </w:r>
          </w:p>
        </w:tc>
        <w:tc>
          <w:tcPr>
            <w:tcW w:type="dxa" w:w="22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iCs/>
                <w:color w:val="5F5E5A"/>
                <w:sz w:val="20"/>
                <w:szCs w:val="20"/>
              </w:rPr>
              <w:t xml:space="preserve">What do we want to predict?</w:t>
            </w:r>
          </w:p>
        </w:tc>
        <w:tc>
          <w:tcPr>
            <w:tcW w:type="dxa" w:w="556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val="false"/>
                <w:iCs w:val="false"/>
                <w:color w:val="1A1A1A"/>
                <w:sz w:val="20"/>
                <w:szCs w:val="20"/>
              </w:rPr>
              <w:t xml:space="preserve">Predict the chronic vs fatal character of disease burden (YLD/DALY ratio) and detect where this ratio is shifting beyond what historical patterns predict, as an ESG signal.</w:t>
            </w:r>
          </w:p>
        </w:tc>
      </w:tr>
      <w:tr>
        <w:tc>
          <w:tcPr>
            <w:tcW w:type="dxa" w:w="160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bCs/>
                <w:i w:val="false"/>
                <w:iCs w:val="false"/>
                <w:color w:val="1A1A1A"/>
                <w:sz w:val="20"/>
                <w:szCs w:val="20"/>
              </w:rPr>
              <w:t xml:space="preserve">Context</w:t>
            </w:r>
          </w:p>
        </w:tc>
        <w:tc>
          <w:tcPr>
            <w:tcW w:type="dxa" w:w="220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val="false"/>
                <w:bCs w:val="false"/>
                <w:i/>
                <w:iCs/>
                <w:color w:val="5F5E5A"/>
                <w:sz w:val="20"/>
                <w:szCs w:val="20"/>
              </w:rPr>
              <w:t xml:space="preserve">Why does it matter?</w:t>
            </w:r>
          </w:p>
        </w:tc>
        <w:tc>
          <w:tcPr>
            <w:tcW w:type="dxa" w:w="556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val="false"/>
                <w:bCs w:val="false"/>
                <w:i w:val="false"/>
                <w:iCs w:val="false"/>
                <w:color w:val="1A1A1A"/>
                <w:sz w:val="20"/>
                <w:szCs w:val="20"/>
              </w:rPr>
              <w:t xml:space="preserve">Australia's chronic disease burden — especially mental health and obesity-linked conditions — is accelerating in ways that insurance products and risk models have not kept pace with. This creates financial, reputational, and regulatory exposure.</w:t>
            </w:r>
          </w:p>
        </w:tc>
      </w:tr>
      <w:tr>
        <w:tc>
          <w:tcPr>
            <w:tcW w:type="dxa" w:w="16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bCs/>
                <w:i w:val="false"/>
                <w:iCs w:val="false"/>
                <w:color w:val="1A1A1A"/>
                <w:sz w:val="20"/>
                <w:szCs w:val="20"/>
              </w:rPr>
              <w:t xml:space="preserve">Target variable</w:t>
            </w:r>
          </w:p>
        </w:tc>
        <w:tc>
          <w:tcPr>
            <w:tcW w:type="dxa" w:w="22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iCs/>
                <w:color w:val="5F5E5A"/>
                <w:sz w:val="20"/>
                <w:szCs w:val="20"/>
              </w:rPr>
              <w:t xml:space="preserve">What is being forecast?</w:t>
            </w:r>
          </w:p>
        </w:tc>
        <w:tc>
          <w:tcPr>
            <w:tcW w:type="dxa" w:w="556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val="false"/>
                <w:iCs w:val="false"/>
                <w:color w:val="1A1A1A"/>
                <w:sz w:val="20"/>
                <w:szCs w:val="20"/>
              </w:rPr>
              <w:t xml:space="preserve">burden_ratio = YLD / DALY: a continuous variable from 0 (entirely fatal) to 1 (entirely chronic). Mean = 0.574, Std = 0.419. Bimodal distribution justifies tree-based models over linear regression.</w:t>
            </w:r>
          </w:p>
        </w:tc>
      </w:tr>
      <w:tr>
        <w:tc>
          <w:tcPr>
            <w:tcW w:type="dxa" w:w="160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bCs/>
                <w:i w:val="false"/>
                <w:iCs w:val="false"/>
                <w:color w:val="1A1A1A"/>
                <w:sz w:val="20"/>
                <w:szCs w:val="20"/>
              </w:rPr>
              <w:t xml:space="preserve">Features</w:t>
            </w:r>
          </w:p>
        </w:tc>
        <w:tc>
          <w:tcPr>
            <w:tcW w:type="dxa" w:w="220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val="false"/>
                <w:bCs w:val="false"/>
                <w:i/>
                <w:iCs/>
                <w:color w:val="5F5E5A"/>
                <w:sz w:val="20"/>
                <w:szCs w:val="20"/>
              </w:rPr>
              <w:t xml:space="preserve">What drives the target?</w:t>
            </w:r>
          </w:p>
        </w:tc>
        <w:tc>
          <w:tcPr>
            <w:tcW w:type="dxa" w:w="556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val="false"/>
                <w:bCs w:val="false"/>
                <w:i w:val="false"/>
                <w:iCs w:val="false"/>
                <w:color w:val="1A1A1A"/>
                <w:sz w:val="20"/>
                <w:szCs w:val="20"/>
              </w:rPr>
              <w:t>disease_group (one-hot, 17 categories), age_num (ordinal, 0–20), sex_bin (binary), data_year (standardised), plus engineered: age_num_sq, age_sex_interaction, disease_year_interaction. All derived from ABDS S1 — no external data required.</w:t>
            </w:r>
          </w:p>
        </w:tc>
      </w:tr>
      <w:tr>
        <w:tc>
          <w:tcPr>
            <w:tcW w:type="dxa" w:w="16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bCs/>
                <w:i w:val="false"/>
                <w:iCs w:val="false"/>
                <w:color w:val="1A1A1A"/>
                <w:sz w:val="20"/>
                <w:szCs w:val="20"/>
              </w:rPr>
              <w:t xml:space="preserve">Stakeholders</w:t>
            </w:r>
          </w:p>
        </w:tc>
        <w:tc>
          <w:tcPr>
            <w:tcW w:type="dxa" w:w="22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iCs/>
                <w:color w:val="5F5E5A"/>
                <w:sz w:val="20"/>
                <w:szCs w:val="20"/>
              </w:rPr>
              <w:t xml:space="preserve">Who uses it?</w:t>
            </w:r>
          </w:p>
        </w:tc>
        <w:tc>
          <w:tcPr>
            <w:tcW w:type="dxa" w:w="556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val="false"/>
                <w:iCs w:val="false"/>
                <w:color w:val="1A1A1A"/>
                <w:sz w:val="20"/>
                <w:szCs w:val="20"/>
              </w:rPr>
              <w:t xml:space="preserve">Actuaries (pricing), product teams (design), preventive health teams (interventions), ESG teams (SDG 3 reporting), policyholders (better products), regulators (fairness oversight).</w:t>
            </w:r>
          </w:p>
        </w:tc>
      </w:tr>
    </w:tbl>
    <w:p>
      <w:pPr>
        <w:spacing w:after="200"/>
      </w:pPr>
      <w: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after="0"/>
      <w:jc w:val="right"/>
    </w:pPr>
    <w:r>
      <w:rPr>
        <w:rFonts w:ascii="Arial" w:cs="Arial" w:eastAsia="Arial" w:hAnsi="Arial"/>
        <w:b w:val="false"/>
        <w:bCs w:val="false"/>
        <w:i w:val="false"/>
        <w:iCs w:val="false"/>
        <w:color w:val="5F5E5A"/>
        <w:sz w:val="18"/>
        <w:szCs w:val="18"/>
      </w:rPr>
      <w:t xml:space="preserve">Anuradha Nayak  |  Tomorrow University  |  Regression Problem Framing  |  p.</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lvl w:ilvl="1" w15:tentative="1">
      <w:start w:val="1"/>
      <w:numFmt w:val="bullet"/>
      <w:lvlText w:val="◦"/>
      <w:lvlJc w:val="left"/>
      <w:pPr>
        <w:ind w:left="100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534AB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6E5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2026-03-28T06:29:44.053Z</dcterms:created>
  <dcterms:modified xsi:type="dcterms:W3CDTF">2026-03-28T06:29:44.054Z</dcterms:modified>
</cp:coreProperties>
</file>

<file path=docProps/custom.xml><?xml version="1.0" encoding="utf-8"?>
<Properties xmlns="http://schemas.openxmlformats.org/officeDocument/2006/custom-properties" xmlns:vt="http://schemas.openxmlformats.org/officeDocument/2006/docPropsVTypes"/>
</file>