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BB48" w14:textId="4DB03420" w:rsidR="00AC55C0" w:rsidRDefault="005A7AE3">
      <w:r>
        <w:t>Considerações:</w:t>
      </w:r>
    </w:p>
    <w:p w14:paraId="71ED5E73" w14:textId="77777777" w:rsidR="005A7AE3" w:rsidRDefault="005A7AE3"/>
    <w:p w14:paraId="44AC37D4" w14:textId="62514E4D" w:rsidR="005A7AE3" w:rsidRDefault="005A7AE3">
      <w:r>
        <w:t xml:space="preserve">Blog 2 </w:t>
      </w:r>
    </w:p>
    <w:p w14:paraId="010899FB" w14:textId="55C787CB" w:rsidR="005A7AE3" w:rsidRDefault="005A7AE3">
      <w:pPr>
        <w:rPr>
          <w:b/>
          <w:bCs/>
        </w:rPr>
      </w:pPr>
      <w:r>
        <w:t xml:space="preserve">No Tópico: </w:t>
      </w:r>
      <w:r w:rsidRPr="005A7AE3">
        <w:rPr>
          <w:b/>
          <w:bCs/>
        </w:rPr>
        <w:t>Como o gerenciamento de risco pode contribuir para a redução da sinistralidade?</w:t>
      </w:r>
    </w:p>
    <w:p w14:paraId="6983BA80" w14:textId="4CED310B" w:rsidR="005A7AE3" w:rsidRDefault="005A7AE3">
      <w:pPr>
        <w:rPr>
          <w:b/>
          <w:bCs/>
        </w:rPr>
      </w:pPr>
      <w:r>
        <w:rPr>
          <w:b/>
          <w:bCs/>
        </w:rPr>
        <w:t>Texto:</w:t>
      </w:r>
    </w:p>
    <w:p w14:paraId="2799CC17" w14:textId="0EDDF2CB" w:rsidR="005A7AE3" w:rsidRPr="005A7AE3" w:rsidRDefault="005A7AE3">
      <w:r w:rsidRPr="005A7AE3">
        <w:t>Incluir o parágrafo.</w:t>
      </w:r>
    </w:p>
    <w:p w14:paraId="696E7CC6" w14:textId="0CFED206" w:rsidR="005A7AE3" w:rsidRDefault="005A7AE3">
      <w:pPr>
        <w:rPr>
          <w:b/>
          <w:bCs/>
        </w:rPr>
      </w:pPr>
      <w:r w:rsidRPr="005A7AE3">
        <w:rPr>
          <w:b/>
          <w:bCs/>
        </w:rPr>
        <w:t>A Global5 apresenta um histórico de baixa sinistralidade nos últimos anos, refletindo a consistência de sua operação e a adoção de práticas eficientes de gestão e prevenção de riscos. Esse desempenho demonstra um cenário de maior estabilidade e controle dos eventos de sinistro ao longo do período, contribuindo para a sustentabilidade e previsibilidade de seus resultados.</w:t>
      </w:r>
    </w:p>
    <w:p w14:paraId="29A86195" w14:textId="77777777" w:rsidR="005A7AE3" w:rsidRDefault="005A7AE3"/>
    <w:sectPr w:rsidR="005A7A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E3"/>
    <w:rsid w:val="005A7AE3"/>
    <w:rsid w:val="00AC55C0"/>
    <w:rsid w:val="00B13766"/>
    <w:rsid w:val="00E4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26155"/>
  <w15:chartTrackingRefBased/>
  <w15:docId w15:val="{818C262C-6835-4949-8EBD-36699C68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7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7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7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7A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7A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7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7A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7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7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7A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A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7A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7A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7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438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Wilton Nascimento</dc:creator>
  <cp:keywords/>
  <dc:description/>
  <cp:lastModifiedBy>Wilton Nascimento</cp:lastModifiedBy>
  <cp:revision>1</cp:revision>
  <dcterms:created xsi:type="dcterms:W3CDTF">2026-09-22T13:32:00Z</dcterms:created>
  <dcterms:modified xsi:type="dcterms:W3CDTF">2026-09-22T13:35:00Z</dcterms:modified>
</cp:coreProperties>
</file>