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Marco teórico……………………………………………………………………...</w:t>
      </w:r>
      <w:r w:rsidR="00EF07C2">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Pr>
          <w:rFonts w:ascii="Arabic Typesetting" w:hAnsi="Arabic Typesetting" w:cs="Arabic Typesetting"/>
          <w:b/>
          <w:sz w:val="36"/>
          <w:szCs w:val="36"/>
        </w:rPr>
        <w:t>8</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640524">
        <w:rPr>
          <w:rFonts w:ascii="Arabic Typesetting" w:hAnsi="Arabic Typesetting" w:cs="Arabic Typesetting"/>
          <w:b/>
          <w:sz w:val="36"/>
          <w:szCs w:val="36"/>
        </w:rPr>
        <w:t>9</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Pr>
          <w:rFonts w:ascii="Arabic Typesetting" w:hAnsi="Arabic Typesetting" w:cs="Arabic Typesetting"/>
          <w:b/>
          <w:sz w:val="36"/>
          <w:szCs w:val="36"/>
        </w:rPr>
        <w:t>10</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Pr>
          <w:rFonts w:ascii="Arabic Typesetting" w:hAnsi="Arabic Typesetting" w:cs="Arabic Typesetting"/>
          <w:b/>
          <w:sz w:val="36"/>
          <w:szCs w:val="36"/>
        </w:rPr>
        <w:t>11</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Pr>
          <w:rFonts w:ascii="Arabic Typesetting" w:hAnsi="Arabic Typesetting" w:cs="Arabic Typesetting"/>
          <w:b/>
          <w:sz w:val="36"/>
          <w:szCs w:val="36"/>
        </w:rPr>
        <w:t>12</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640524">
        <w:rPr>
          <w:rFonts w:ascii="Arabic Typesetting" w:hAnsi="Arabic Typesetting" w:cs="Arabic Typesetting"/>
          <w:b/>
          <w:sz w:val="36"/>
          <w:szCs w:val="36"/>
        </w:rPr>
        <w:t>.14</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640524">
        <w:rPr>
          <w:rFonts w:ascii="Arabic Typesetting" w:hAnsi="Arabic Typesetting" w:cs="Arabic Typesetting"/>
          <w:sz w:val="32"/>
          <w:szCs w:val="32"/>
        </w:rPr>
        <w:t>..</w:t>
      </w:r>
      <w:r w:rsidR="00640524" w:rsidRPr="00640524">
        <w:rPr>
          <w:rFonts w:ascii="Arabic Typesetting" w:hAnsi="Arabic Typesetting" w:cs="Arabic Typesetting"/>
          <w:b/>
          <w:sz w:val="36"/>
          <w:szCs w:val="36"/>
        </w:rPr>
        <w:t>15</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Pr>
          <w:rFonts w:ascii="Arabic Typesetting" w:hAnsi="Arabic Typesetting" w:cs="Arabic Typesetting"/>
          <w:b/>
          <w:sz w:val="36"/>
          <w:szCs w:val="36"/>
        </w:rPr>
        <w:t>17</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640524">
        <w:rPr>
          <w:rFonts w:ascii="Arabic Typesetting" w:hAnsi="Arabic Typesetting" w:cs="Arabic Typesetting"/>
          <w:b/>
          <w:sz w:val="36"/>
          <w:szCs w:val="36"/>
        </w:rPr>
        <w:t>18</w:t>
      </w:r>
      <w:r w:rsidR="00EF07C2">
        <w:rPr>
          <w:rFonts w:ascii="Arabic Typesetting" w:hAnsi="Arabic Typesetting" w:cs="Arabic Typesetting"/>
          <w:b/>
          <w:sz w:val="36"/>
          <w:szCs w:val="36"/>
        </w:rPr>
        <w:t xml:space="preserve"> </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Pr>
          <w:rFonts w:ascii="Arabic Typesetting" w:hAnsi="Arabic Typesetting" w:cs="Arabic Typesetting"/>
          <w:b/>
          <w:sz w:val="36"/>
          <w:szCs w:val="36"/>
        </w:rPr>
        <w:t>.18</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taburlalo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podiendo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w:t>
      </w:r>
      <w:r w:rsidRPr="00846249">
        <w:rPr>
          <w:rFonts w:ascii="Arial" w:eastAsia="Gungsuh" w:hAnsi="Arial" w:cs="Arial"/>
          <w:sz w:val="32"/>
          <w:szCs w:val="32"/>
        </w:rPr>
        <w:t xml:space="preserve"> </w:t>
      </w:r>
      <w:r w:rsidRPr="00846249">
        <w:rPr>
          <w:rFonts w:ascii="Arial" w:eastAsia="Gungsuh" w:hAnsi="Arial" w:cs="Arial"/>
          <w:sz w:val="32"/>
          <w:szCs w:val="32"/>
        </w:rPr>
        <w:t xml:space="preserve"> las diversas herramientas de medición eléctrica</w:t>
      </w:r>
      <w:r w:rsidRPr="00846249">
        <w:rPr>
          <w:rFonts w:ascii="Arial" w:eastAsia="Gungsuh" w:hAnsi="Arial" w:cs="Arial"/>
          <w:sz w:val="32"/>
          <w:szCs w:val="32"/>
        </w:rPr>
        <w:t>, aplicando</w:t>
      </w:r>
      <w:r w:rsidRPr="00846249">
        <w:rPr>
          <w:rFonts w:ascii="Arial" w:eastAsia="Gungsuh" w:hAnsi="Arial" w:cs="Arial"/>
          <w:sz w:val="32"/>
          <w:szCs w:val="32"/>
        </w:rPr>
        <w:t xml:space="preserve">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w:t>
      </w:r>
      <w:r>
        <w:rPr>
          <w:rFonts w:ascii="Arial" w:eastAsia="Gungsuh" w:hAnsi="Arial" w:cs="Arial"/>
          <w:sz w:val="32"/>
          <w:szCs w:val="32"/>
        </w:rPr>
        <w:t>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Utilizar de manera adecuada la fuente de voltaje estableciendo con facilidad el voltaje deseado logrando el funcionamiento de cualquier artefacto</w:t>
      </w:r>
      <w:r>
        <w:rPr>
          <w:rFonts w:ascii="Arial" w:eastAsia="Gungsuh" w:hAnsi="Arial" w:cs="Arial"/>
          <w:sz w:val="32"/>
          <w:szCs w:val="32"/>
        </w:rPr>
        <w:t xml:space="preserve">.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Es el lugar geométrico de los puntos de un campo escalar en los cuales el "potencial de campo" o valor numérico de la función que representa el campo, es constante. Las superficies equipotenciales pueden calcularse empleando la ecuación de Poisson.</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lastRenderedPageBreak/>
        <w:t>de modo que el radio r determina el potencial. Por lo tanto las líneas equipotenciales son círculos y la superficie de una esfera centrada sobre la carga es una superficie equipotencial. Las líneas discontinua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p>
    <w:p w:rsidR="004170A3" w:rsidRDefault="004170A3" w:rsidP="004170A3">
      <w:pPr>
        <w:jc w:val="both"/>
        <w:rPr>
          <w:rFonts w:ascii="Arial" w:eastAsia="Gungsuh" w:hAnsi="Arial" w:cs="Arial"/>
          <w:b/>
          <w:sz w:val="32"/>
          <w:szCs w:val="40"/>
        </w:rPr>
      </w:pPr>
    </w:p>
    <w:p w:rsidR="004170A3" w:rsidRPr="004170A3" w:rsidRDefault="004E1313" w:rsidP="004170A3">
      <w:pPr>
        <w:jc w:val="both"/>
        <w:rPr>
          <w:rFonts w:ascii="Arial" w:eastAsia="Gungsuh" w:hAnsi="Arial" w:cs="Arial"/>
          <w:b/>
          <w:sz w:val="32"/>
          <w:szCs w:val="40"/>
        </w:rPr>
      </w:pPr>
      <w:r>
        <w:rPr>
          <w:rFonts w:ascii="Arial" w:eastAsia="Gungsuh" w:hAnsi="Arial" w:cs="Arial"/>
          <w:b/>
          <w:sz w:val="32"/>
          <w:szCs w:val="40"/>
        </w:rPr>
        <w:t xml:space="preserve"> </w:t>
      </w:r>
      <w:bookmarkStart w:id="0" w:name="_GoBack"/>
      <w:bookmarkEnd w:id="0"/>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Default="00AF16B6" w:rsidP="00145A4D">
      <w:pPr>
        <w:jc w:val="both"/>
        <w:rPr>
          <w:rFonts w:ascii="Arial" w:eastAsia="Gungsuh" w:hAnsi="Arial" w:cs="Arial"/>
          <w:sz w:val="32"/>
          <w:szCs w:val="32"/>
        </w:rPr>
      </w:pP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Pr="00145A4D" w:rsidRDefault="00145A4D" w:rsidP="00145A4D">
      <w:pPr>
        <w:pStyle w:val="Prrafodelista"/>
        <w:rPr>
          <w:rFonts w:ascii="Arial" w:hAnsi="Arial" w:cs="Arial"/>
          <w:b/>
          <w:sz w:val="40"/>
          <w:szCs w:val="40"/>
        </w:rPr>
      </w:pPr>
    </w:p>
    <w:sectPr w:rsidR="00145A4D"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9140EC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C0C1E"/>
    <w:rsid w:val="00145A4D"/>
    <w:rsid w:val="001472D5"/>
    <w:rsid w:val="00237EE4"/>
    <w:rsid w:val="00415177"/>
    <w:rsid w:val="004170A3"/>
    <w:rsid w:val="004E1313"/>
    <w:rsid w:val="0056210A"/>
    <w:rsid w:val="00640524"/>
    <w:rsid w:val="006755BD"/>
    <w:rsid w:val="0068589E"/>
    <w:rsid w:val="00685F02"/>
    <w:rsid w:val="00690CFD"/>
    <w:rsid w:val="00717C48"/>
    <w:rsid w:val="00846249"/>
    <w:rsid w:val="00896734"/>
    <w:rsid w:val="00905F0F"/>
    <w:rsid w:val="009945A5"/>
    <w:rsid w:val="009E6AD6"/>
    <w:rsid w:val="00AE478B"/>
    <w:rsid w:val="00AF16B6"/>
    <w:rsid w:val="00B1236E"/>
    <w:rsid w:val="00B92C7B"/>
    <w:rsid w:val="00C46487"/>
    <w:rsid w:val="00C54F40"/>
    <w:rsid w:val="00D97F0D"/>
    <w:rsid w:val="00DC4D68"/>
    <w:rsid w:val="00DD0D57"/>
    <w:rsid w:val="00ED453C"/>
    <w:rsid w:val="00EF07C2"/>
    <w:rsid w:val="00F470B0"/>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87977-ADCF-4DA4-8071-393D25F25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1187</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45</cp:revision>
  <dcterms:created xsi:type="dcterms:W3CDTF">2017-03-07T16:53:00Z</dcterms:created>
  <dcterms:modified xsi:type="dcterms:W3CDTF">2017-03-13T01:59:00Z</dcterms:modified>
</cp:coreProperties>
</file>