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21826"/>
          <w:sz w:val="40"/>
        </w:rPr>
        <w:t>MAPP RFP Demo Readiness</w:t>
      </w:r>
    </w:p>
    <w:p>
      <w:r>
        <w:rPr>
          <w:b w:val="0"/>
          <w:color w:val="5A6373"/>
          <w:sz w:val="20"/>
        </w:rPr>
        <w:t>28 October 2026</w:t>
      </w:r>
    </w:p>
    <w:p>
      <w:r>
        <w:rPr>
          <w:b w:val="0"/>
          <w:color w:val="121826"/>
          <w:sz w:val="20"/>
        </w:rPr>
        <w:t xml:space="preserve">Up to MVP go-live (RFP Phases 1 and 2, 17 rows), </w:t>
      </w:r>
      <w:r>
        <w:rPr>
          <w:b/>
          <w:color w:val="121826"/>
          <w:sz w:val="20"/>
        </w:rPr>
        <w:t>about 60% is done</w:t>
      </w:r>
      <w:r>
        <w:rPr>
          <w:b w:val="0"/>
          <w:color w:val="121826"/>
          <w:sz w:val="20"/>
        </w:rPr>
        <w:t xml:space="preserve">. We can take it to </w:t>
      </w:r>
      <w:r>
        <w:rPr>
          <w:b/>
          <w:color w:val="121826"/>
          <w:sz w:val="20"/>
        </w:rPr>
        <w:t>about 65% without Shell</w:t>
      </w:r>
      <w:r>
        <w:rPr>
          <w:b w:val="0"/>
          <w:color w:val="121826"/>
          <w:sz w:val="20"/>
        </w:rPr>
        <w:t xml:space="preserve">; </w:t>
      </w:r>
      <w:r>
        <w:rPr>
          <w:b/>
          <w:color w:val="121826"/>
          <w:sz w:val="20"/>
        </w:rPr>
        <w:t>the last 35% needs Shell</w:t>
      </w:r>
      <w:r>
        <w:rPr>
          <w:b w:val="0"/>
          <w:color w:val="121826"/>
          <w:sz w:val="20"/>
        </w:rPr>
        <w:t xml:space="preserve">. The product build itself is </w:t>
      </w:r>
      <w:r>
        <w:rPr>
          <w:b/>
          <w:color w:val="121826"/>
          <w:sz w:val="20"/>
        </w:rPr>
        <w:t>86% done</w:t>
      </w:r>
      <w:r>
        <w:rPr>
          <w:b w:val="0"/>
          <w:color w:val="121826"/>
          <w:sz w:val="20"/>
        </w:rPr>
        <w:t xml:space="preserve"> and can reach </w:t>
      </w:r>
      <w:r>
        <w:rPr>
          <w:b/>
          <w:color w:val="121826"/>
          <w:sz w:val="20"/>
        </w:rPr>
        <w:t>100% without Shell</w:t>
      </w:r>
      <w:r>
        <w:rPr>
          <w:b w:val="0"/>
          <w:color w:val="121826"/>
          <w:sz w:val="20"/>
        </w:rPr>
        <w:t>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left w:w="100" w:type="dxa"/>
          <w:right w:w="10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4538"/>
            <w:shd w:val="clear" w:color="auto" w:fill="E8EDF5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Area</w:t>
            </w:r>
          </w:p>
        </w:tc>
        <w:tc>
          <w:tcPr>
            <w:tcW w:type="dxa" w:w="888"/>
            <w:shd w:val="clear" w:color="auto" w:fill="E8EDF5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Rows</w:t>
            </w:r>
          </w:p>
        </w:tc>
        <w:tc>
          <w:tcPr>
            <w:tcW w:type="dxa" w:w="1480"/>
            <w:shd w:val="clear" w:color="auto" w:fill="E8EDF5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Done today</w:t>
            </w:r>
          </w:p>
        </w:tc>
        <w:tc>
          <w:tcPr>
            <w:tcW w:type="dxa" w:w="1480"/>
            <w:shd w:val="clear" w:color="auto" w:fill="E8EDF5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Without Shell</w:t>
            </w:r>
          </w:p>
        </w:tc>
        <w:tc>
          <w:tcPr>
            <w:tcW w:type="dxa" w:w="1480"/>
            <w:shd w:val="clear" w:color="auto" w:fill="E8EDF5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Needs Shell</w:t>
            </w:r>
          </w:p>
        </w:tc>
      </w:tr>
      <w:tr>
        <w:tc>
          <w:tcPr>
            <w:tcW w:type="dxa" w:w="4538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Phase 1: foundation and design</w:t>
            </w:r>
          </w:p>
        </w:tc>
        <w:tc>
          <w:tcPr>
            <w:tcW w:type="dxa" w:w="888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6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58%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58%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42%</w:t>
            </w:r>
          </w:p>
        </w:tc>
      </w:tr>
      <w:tr>
        <w:tc>
          <w:tcPr>
            <w:tcW w:type="dxa" w:w="4538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Phase 2: product build</w:t>
            </w:r>
          </w:p>
        </w:tc>
        <w:tc>
          <w:tcPr>
            <w:tcW w:type="dxa" w:w="888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7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86%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100%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—</w:t>
            </w:r>
          </w:p>
        </w:tc>
      </w:tr>
      <w:tr>
        <w:tc>
          <w:tcPr>
            <w:tcW w:type="dxa" w:w="4538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Phase 2: configuration, migration, UAT, go-live</w:t>
            </w:r>
          </w:p>
        </w:tc>
        <w:tc>
          <w:tcPr>
            <w:tcW w:type="dxa" w:w="888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4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13%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13%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87%</w:t>
            </w:r>
          </w:p>
        </w:tc>
      </w:tr>
      <w:tr>
        <w:tc>
          <w:tcPr>
            <w:tcW w:type="dxa" w:w="4538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Total</w:t>
            </w:r>
          </w:p>
        </w:tc>
        <w:tc>
          <w:tcPr>
            <w:tcW w:type="dxa" w:w="888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17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59%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65%</w:t>
            </w:r>
          </w:p>
        </w:tc>
        <w:tc>
          <w:tcPr>
            <w:tcW w:type="dxa" w:w="1480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35%</w:t>
            </w:r>
          </w:p>
        </w:tc>
      </w:tr>
    </w:tbl>
    <w:p>
      <w:pPr>
        <w:spacing w:after="0" w:line="80" w:lineRule="exact"/>
      </w:pPr>
    </w:p>
    <w:p>
      <w:pPr>
        <w:spacing w:before="240" w:after="80"/>
      </w:pPr>
      <w:r>
        <w:rPr>
          <w:b/>
          <w:color w:val="121826"/>
          <w:sz w:val="25"/>
        </w:rPr>
        <w:t>What is there: ready to demo</w:t>
      </w:r>
    </w:p>
    <w:p>
      <w:pPr>
        <w:pStyle w:val="ListBullet"/>
        <w:spacing w:after="60"/>
      </w:pPr>
      <w:r>
        <w:rPr>
          <w:b/>
          <w:color w:val="121826"/>
          <w:sz w:val="20"/>
        </w:rPr>
        <w:t>Planning:</w:t>
      </w:r>
      <w:r>
        <w:rPr>
          <w:b w:val="0"/>
          <w:color w:val="121826"/>
          <w:sz w:val="20"/>
        </w:rPr>
        <w:t xml:space="preserve"> plans, campaigns, initiatives, activities and line items; yearly, quarterly and monthly views; copy last year's plan</w:t>
      </w:r>
    </w:p>
    <w:p>
      <w:pPr>
        <w:pStyle w:val="ListBullet"/>
        <w:spacing w:after="60"/>
      </w:pPr>
      <w:r>
        <w:rPr>
          <w:b/>
          <w:color w:val="121826"/>
          <w:sz w:val="20"/>
        </w:rPr>
        <w:t>Budgets:</w:t>
      </w:r>
      <w:r>
        <w:rPr>
          <w:b w:val="0"/>
          <w:color w:val="121826"/>
          <w:sz w:val="20"/>
        </w:rPr>
        <w:t xml:space="preserve"> monthly phasing, global budgets split to markets, exchange rates in local currency and USD</w:t>
      </w:r>
    </w:p>
    <w:p>
      <w:pPr>
        <w:pStyle w:val="ListBullet"/>
        <w:spacing w:after="60"/>
      </w:pPr>
      <w:r>
        <w:rPr>
          <w:b/>
          <w:color w:val="121826"/>
          <w:sz w:val="20"/>
        </w:rPr>
        <w:t>Approvals:</w:t>
      </w:r>
      <w:r>
        <w:rPr>
          <w:b w:val="0"/>
          <w:color w:val="121826"/>
          <w:sz w:val="20"/>
        </w:rPr>
        <w:t xml:space="preserve"> multi-level, auto-approval under a threshold, delegation, missing data blocks submission</w:t>
      </w:r>
    </w:p>
    <w:p>
      <w:pPr>
        <w:pStyle w:val="ListBullet"/>
        <w:spacing w:after="60"/>
      </w:pPr>
      <w:r>
        <w:rPr>
          <w:b/>
          <w:color w:val="121826"/>
          <w:sz w:val="20"/>
        </w:rPr>
        <w:t>Access:</w:t>
      </w:r>
      <w:r>
        <w:rPr>
          <w:b w:val="0"/>
          <w:color w:val="121826"/>
          <w:sz w:val="20"/>
        </w:rPr>
        <w:t xml:space="preserve"> market vs global, edit vs view vs approve</w:t>
      </w:r>
    </w:p>
    <w:p>
      <w:pPr>
        <w:pStyle w:val="ListBullet"/>
        <w:spacing w:after="60"/>
      </w:pPr>
      <w:r>
        <w:rPr>
          <w:b/>
          <w:color w:val="121826"/>
          <w:sz w:val="20"/>
        </w:rPr>
        <w:t>Settings:</w:t>
      </w:r>
      <w:r>
        <w:rPr>
          <w:b w:val="0"/>
          <w:color w:val="121826"/>
          <w:sz w:val="20"/>
        </w:rPr>
        <w:t xml:space="preserve"> attributes, currencies, roles, teams and workflows, run by Shell admins</w:t>
      </w:r>
    </w:p>
    <w:p>
      <w:pPr>
        <w:pStyle w:val="ListBullet"/>
        <w:spacing w:after="60"/>
      </w:pPr>
      <w:r>
        <w:rPr>
          <w:b/>
          <w:color w:val="121826"/>
          <w:sz w:val="20"/>
        </w:rPr>
        <w:t>Purchase request to PO,</w:t>
      </w:r>
      <w:r>
        <w:rPr>
          <w:b w:val="0"/>
          <w:color w:val="121826"/>
          <w:sz w:val="20"/>
        </w:rPr>
        <w:t xml:space="preserve"> on a simulated GSAP</w:t>
      </w:r>
    </w:p>
    <w:p>
      <w:pPr>
        <w:spacing w:before="240" w:after="80"/>
      </w:pPr>
      <w:r>
        <w:rPr>
          <w:b/>
          <w:color w:val="121826"/>
          <w:sz w:val="25"/>
        </w:rPr>
        <w:t>What we can do without Shell</w:t>
      </w:r>
    </w:p>
    <w:p>
      <w:pPr>
        <w:pStyle w:val="ListBullet"/>
        <w:spacing w:after="60"/>
      </w:pPr>
      <w:r>
        <w:rPr>
          <w:b w:val="0"/>
          <w:color w:val="121826"/>
          <w:sz w:val="20"/>
        </w:rPr>
        <w:t>SP&amp;A view and BCPIR marker, as defined in Shell's spec 006</w:t>
      </w:r>
    </w:p>
    <w:p>
      <w:pPr>
        <w:pStyle w:val="ListBullet"/>
        <w:spacing w:after="60"/>
      </w:pPr>
      <w:r>
        <w:rPr>
          <w:b w:val="0"/>
          <w:color w:val="121826"/>
          <w:sz w:val="20"/>
        </w:rPr>
        <w:t>Excel import and bulk edit of plans</w:t>
      </w:r>
    </w:p>
    <w:p>
      <w:pPr>
        <w:pStyle w:val="ListBullet"/>
        <w:spacing w:after="60"/>
      </w:pPr>
      <w:r>
        <w:rPr>
          <w:b w:val="0"/>
          <w:color w:val="121826"/>
          <w:sz w:val="20"/>
        </w:rPr>
        <w:t>Executive and regional dashboards; export to PowerPoint and PDF</w:t>
      </w:r>
    </w:p>
    <w:p>
      <w:pPr>
        <w:pStyle w:val="ListBullet"/>
        <w:spacing w:after="60"/>
      </w:pPr>
      <w:r>
        <w:rPr>
          <w:b w:val="0"/>
          <w:color w:val="121826"/>
          <w:sz w:val="20"/>
        </w:rPr>
        <w:t>Overspend control (hard stop or warning), with a default rule Shell can change</w:t>
      </w:r>
    </w:p>
    <w:p>
      <w:pPr>
        <w:pStyle w:val="ListBullet"/>
        <w:spacing w:after="60"/>
      </w:pPr>
      <w:r>
        <w:rPr>
          <w:b w:val="0"/>
          <w:color w:val="121826"/>
          <w:sz w:val="20"/>
        </w:rPr>
        <w:t>Finish the open screens: role-aware buttons, attribute filters, field help, approvers' roles from Settings</w:t>
      </w:r>
    </w:p>
    <w:p>
      <w:pPr>
        <w:pStyle w:val="ListBullet"/>
        <w:spacing w:after="60"/>
      </w:pPr>
      <w:r>
        <w:rPr>
          <w:b w:val="0"/>
          <w:color w:val="121826"/>
          <w:sz w:val="20"/>
        </w:rPr>
        <w:t>The 12 missing end-to-end tests</w:t>
      </w:r>
    </w:p>
    <w:p>
      <w:pPr>
        <w:spacing w:before="240" w:after="80"/>
      </w:pPr>
      <w:r>
        <w:rPr>
          <w:b/>
          <w:color w:val="121826"/>
          <w:sz w:val="25"/>
        </w:rPr>
        <w:t>What we cannot do without Shell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left w:w="100" w:type="dxa"/>
          <w:right w:w="100" w:type="dxa"/>
        </w:tblCellMar>
      </w:tblPr>
      <w:tblGrid>
        <w:gridCol w:w="4933"/>
        <w:gridCol w:w="4933"/>
      </w:tblGrid>
      <w:tr>
        <w:tc>
          <w:tcPr>
            <w:tcW w:type="dxa" w:w="4143"/>
            <w:shd w:val="clear" w:color="auto" w:fill="E8EDF5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Item</w:t>
            </w:r>
          </w:p>
        </w:tc>
        <w:tc>
          <w:tcPr>
            <w:tcW w:type="dxa" w:w="5722"/>
            <w:shd w:val="clear" w:color="auto" w:fill="E8EDF5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Needs from Shell</w:t>
            </w:r>
          </w:p>
        </w:tc>
      </w:tr>
      <w:tr>
        <w:tc>
          <w:tcPr>
            <w:tcW w:type="dxa" w:w="4143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Requirements and operating model sign-off</w:t>
            </w:r>
          </w:p>
        </w:tc>
        <w:tc>
          <w:tcPr>
            <w:tcW w:type="dxa" w:w="5722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Answers to 41 open questions; sign-off on 58 defaults</w:t>
            </w:r>
          </w:p>
        </w:tc>
      </w:tr>
      <w:tr>
        <w:tc>
          <w:tcPr>
            <w:tcW w:type="dxa" w:w="4143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Mobility and Lubricants configuration</w:t>
            </w:r>
          </w:p>
        </w:tc>
        <w:tc>
          <w:tcPr>
            <w:tcW w:type="dxa" w:w="5722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Real markets, users, roles and option lists</w:t>
            </w:r>
          </w:p>
        </w:tc>
      </w:tr>
      <w:tr>
        <w:tc>
          <w:tcPr>
            <w:tcW w:type="dxa" w:w="4143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Hive9 data migration</w:t>
            </w:r>
          </w:p>
        </w:tc>
        <w:tc>
          <w:tcPr>
            <w:tcW w:type="dxa" w:w="5722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Hive9 data dump, mapping sign-off, cut-over rules</w:t>
            </w:r>
          </w:p>
        </w:tc>
      </w:tr>
      <w:tr>
        <w:tc>
          <w:tcPr>
            <w:tcW w:type="dxa" w:w="4143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Deployment and single sign-on</w:t>
            </w:r>
          </w:p>
        </w:tc>
        <w:tc>
          <w:tcPr>
            <w:tcW w:type="dxa" w:w="5722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Azure@Shell environments; Entra ID app registration</w:t>
            </w:r>
          </w:p>
        </w:tc>
      </w:tr>
      <w:tr>
        <w:tc>
          <w:tcPr>
            <w:tcW w:type="dxa" w:w="4143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UAT and go-live</w:t>
            </w:r>
          </w:p>
        </w:tc>
        <w:tc>
          <w:tcPr>
            <w:tcW w:type="dxa" w:w="5722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Business SMEs and UAT time</w:t>
            </w:r>
          </w:p>
        </w:tc>
      </w:tr>
      <w:tr>
        <w:tc>
          <w:tcPr>
            <w:tcW w:type="dxa" w:w="4143"/>
          </w:tcPr>
          <w:p>
            <w:pPr>
              <w:spacing w:after="60" w:before="60"/>
            </w:pPr>
            <w:r>
              <w:rPr>
                <w:b/>
                <w:color w:val="121826"/>
                <w:sz w:val="19"/>
              </w:rPr>
              <w:t>GSAP integration</w:t>
            </w:r>
            <w:r>
              <w:rPr>
                <w:b w:val="0"/>
                <w:color w:val="121826"/>
                <w:sz w:val="19"/>
              </w:rPr>
              <w:t xml:space="preserve"> (after Nucleus, ~Mar 2027)</w:t>
            </w:r>
          </w:p>
        </w:tc>
        <w:tc>
          <w:tcPr>
            <w:tcW w:type="dxa" w:w="5722"/>
          </w:tcPr>
          <w:p>
            <w:pPr>
              <w:spacing w:after="60" w:before="60"/>
            </w:pPr>
            <w:r>
              <w:rPr>
                <w:b w:val="0"/>
                <w:color w:val="121826"/>
                <w:sz w:val="19"/>
              </w:rPr>
              <w:t>Interface specs and sample files</w:t>
            </w:r>
          </w:p>
        </w:tc>
      </w:tr>
    </w:tbl>
    <w:p>
      <w:pPr>
        <w:spacing w:after="0" w:line="80" w:lineRule="exact"/>
      </w:pPr>
    </w:p>
    <w:p>
      <w:r>
        <w:rPr>
          <w:b w:val="0"/>
          <w:color w:val="5A6373"/>
          <w:sz w:val="16"/>
        </w:rPr>
        <w:t>Scoring: covered = 1, mostly = 0.75, partly = 0.5, not = 0 per RFP row; vendor contracting left out. An estimate, not a measurement.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MAPP RFP Demo Readiness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