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3D49" w14:textId="77777777" w:rsidR="00733479" w:rsidRDefault="00000000">
      <w:pPr>
        <w:pStyle w:val="Heading1"/>
      </w:pPr>
      <w:r>
        <w:t>Simulated Market Dynamics for 2026-03-30: Forward Testing Prediction Report</w:t>
      </w:r>
    </w:p>
    <w:p w14:paraId="407C07AA" w14:textId="77777777" w:rsidR="00733479" w:rsidRDefault="00000000">
      <w:r>
        <w:t>The simulation forecasts a volatile trading day on 2026-03-30, with divergent narratives and heightened debate among market participants, as AI chip policy shifts, tech earnings uncertainty, and political developments drive probability-weighted scenarios for S&amp;P 500 and major tech tickers.</w:t>
      </w:r>
    </w:p>
    <w:p w14:paraId="713EDF0B" w14:textId="77777777" w:rsidR="00733479" w:rsidRDefault="00000000">
      <w:pPr>
        <w:pStyle w:val="Heading2"/>
      </w:pPr>
      <w:r>
        <w:t>Probability-Weighted S&amp;P 500 and Mega-Cap Tech Scenarios</w:t>
      </w:r>
    </w:p>
    <w:p w14:paraId="13FFA47B" w14:textId="77777777" w:rsidR="00733479" w:rsidRDefault="00000000">
      <w:r>
        <w:rPr>
          <w:b/>
        </w:rPr>
        <w:t>Probability-Weighted S&amp;P 500 Scenarios</w:t>
      </w:r>
    </w:p>
    <w:p w14:paraId="5155C359" w14:textId="77777777" w:rsidR="00733479" w:rsidRDefault="00000000">
      <w:r>
        <w:t>Simulation agents forecast a highly volatile day for the S&amp;P 500 on 2026-03-30, with probability-weighted scenarios shaped by the interplay of geopolitical, macroeconomic, and regulatory shocks. Scenario probabilities and narrative drivers are debated intensely across platforms:</w:t>
      </w:r>
    </w:p>
    <w:p w14:paraId="6233FDCE" w14:textId="77777777" w:rsidR="00733479" w:rsidRDefault="00000000">
      <w:r>
        <w:t>"UBS targets 7,700 year-end, expressing an opinion on the S&amp;P 500's future level."</w:t>
      </w:r>
    </w:p>
    <w:p w14:paraId="7F9CA4D2" w14:textId="77777777" w:rsidR="00733479" w:rsidRDefault="00000000">
      <w:r>
        <w:t>"BofA targets 7,100 year-end, expressing an opinion on the S&amp;P 500's future level."</w:t>
      </w:r>
    </w:p>
    <w:p w14:paraId="376BF617" w14:textId="77777777" w:rsidR="00733479" w:rsidRDefault="00000000">
      <w:r>
        <w:t>"Deutsche Bank targets 8,000 year-end, expressing an opinion on the S&amp;P 500's future level."</w:t>
      </w:r>
    </w:p>
    <w:p w14:paraId="43CC961D" w14:textId="77777777" w:rsidR="00733479" w:rsidRDefault="00000000">
      <w:r>
        <w:t>"Barclays' opinion that the 'Trump put' is fading was posted on r/stocks."</w:t>
      </w:r>
    </w:p>
    <w:p w14:paraId="1AA7B47F" w14:textId="77777777" w:rsidR="00733479" w:rsidRDefault="00000000">
      <w:r>
        <w:t>"A post speculates about Trump making a Truth Social post that could affect the S&amp;P 500, discussed on r/stocks."</w:t>
      </w:r>
    </w:p>
    <w:p w14:paraId="2EC43D6F" w14:textId="77777777" w:rsidR="00733479" w:rsidRDefault="00000000">
      <w:r>
        <w:rPr>
          <w:b/>
        </w:rPr>
        <w:t>Bull Scenario (20-25% probability):</w:t>
      </w:r>
      <w:r>
        <w:t xml:space="preserve"> - Agents cite the possibility of a diplomatic breakthrough or dovish Fed surprise. Macro strategists emphasize, "unexpected economic stimulus or central bank intervention to stabilize markets can change the trajectory of investor confidence rapidly."</w:t>
      </w:r>
      <w:r>
        <w:br/>
        <w:t xml:space="preserve"> - Some retail traders on r/wallstreetbets are "doubling down on their position and being down $60,000," reflecting high-conviction bullish bets.</w:t>
      </w:r>
    </w:p>
    <w:p w14:paraId="3975A83C" w14:textId="77777777" w:rsidR="00733479" w:rsidRDefault="00000000">
      <w:r>
        <w:rPr>
          <w:b/>
        </w:rPr>
        <w:t>Base Scenario (45-50% probability):</w:t>
      </w:r>
      <w:r>
        <w:t xml:space="preserve"> - Most agents expect a choppy, range-bound session as markets digest "volatility across multiple sectors" without a decisive event.</w:t>
      </w:r>
      <w:r>
        <w:br/>
        <w:t xml:space="preserve"> - The consensus is that the market is "sensitive to any escalation or de-escalation in regional conflicts, especially if there are developments affecting global energy prices and investor confidence."</w:t>
      </w:r>
    </w:p>
    <w:p w14:paraId="71C3E8A0" w14:textId="77777777" w:rsidR="00733479" w:rsidRDefault="00000000">
      <w:r>
        <w:rPr>
          <w:b/>
        </w:rPr>
        <w:t>Bear Scenario (20-25% probability):</w:t>
      </w:r>
      <w:r>
        <w:t xml:space="preserve"> - A major escalation in the Middle East, new export controls, or a significant cyber event could drive sharp downside.</w:t>
      </w:r>
      <w:r>
        <w:br/>
        <w:t xml:space="preserve"> - Options market agents highlight "high volume, put/call skew, or large block trades" in S&amp;P 500 and tech options as signs of hedging for negative tail risk.</w:t>
      </w:r>
    </w:p>
    <w:p w14:paraId="03C0325F" w14:textId="77777777" w:rsidR="00733479" w:rsidRDefault="00000000">
      <w:r>
        <w:rPr>
          <w:b/>
        </w:rPr>
        <w:t>Tail Scenario (5-10% probability):</w:t>
      </w:r>
      <w:r>
        <w:t xml:space="preserve"> - Black swan events such as a major military incident, cyberattack on financial infrastructure, or abrupt regulatory shock.</w:t>
      </w:r>
      <w:r>
        <w:br/>
        <w:t xml:space="preserve"> - "A credible report of either a large-scale security breach or the announcement of new, aggressive regulations targeting big tech" could trigger a sharp drop.</w:t>
      </w:r>
    </w:p>
    <w:p w14:paraId="7F591DBB" w14:textId="77777777" w:rsidR="00733479" w:rsidRDefault="00000000">
      <w:r>
        <w:rPr>
          <w:b/>
        </w:rPr>
        <w:t>Mega-Cap Tech Ticker Scenarios and Sentiment Distributions</w:t>
      </w:r>
    </w:p>
    <w:p w14:paraId="18D68A1E" w14:textId="77777777" w:rsidR="00733479" w:rsidRDefault="00000000">
      <w:r>
        <w:t>Simulated agents are divided on which tech ticker will see the largest move, with NVDA, AMD, and MSFT drawing the most focus due to options activity, regulatory headlines, and AI execution risk.</w:t>
      </w:r>
    </w:p>
    <w:p w14:paraId="797D6C0C" w14:textId="77777777" w:rsidR="00733479" w:rsidRDefault="00000000">
      <w:r>
        <w:rPr>
          <w:b/>
        </w:rPr>
        <w:t>NVDA:</w:t>
      </w:r>
      <w:r>
        <w:t xml:space="preserve"> - Bull (30%): "Finbold published an opinion on why Nvidia stock could be offering a generational buying opportunity."</w:t>
      </w:r>
      <w:r>
        <w:br/>
        <w:t xml:space="preserve"> - Base (40%): Mixed demand and regulatory news.</w:t>
      </w:r>
      <w:r>
        <w:br/>
        <w:t xml:space="preserve"> - Bear (25%): "24/7 Wall St. published a report discussing whether Nvidia can start growing again after the government dropped sweeping AI chip export rules."</w:t>
      </w:r>
      <w:r>
        <w:br/>
        <w:t xml:space="preserve"> - Tail (5%): Export ban or black market scandal. </w:t>
      </w:r>
      <w:r>
        <w:br/>
        <w:t>- Options: "Morgan Stanley sent a clear message on semiconductor stocks after a selloff."</w:t>
      </w:r>
      <w:r>
        <w:br/>
        <w:t xml:space="preserve"> - Sentiment: Retail is strongly bullish, institutions are cautious.</w:t>
      </w:r>
    </w:p>
    <w:p w14:paraId="5BA70FAE" w14:textId="77777777" w:rsidR="00733479" w:rsidRDefault="00000000">
      <w:r>
        <w:rPr>
          <w:b/>
        </w:rPr>
        <w:t>AMD:</w:t>
      </w:r>
      <w:r>
        <w:t xml:space="preserve"> - Bull (25%): "Trefis published an opinion about Advanced Micro Devices stock gaining 90%."</w:t>
      </w:r>
      <w:r>
        <w:br/>
        <w:t xml:space="preserve"> - Base (45%): "Yahoo Finance published an article about an analyst signaling caution amid demand concerns for Advanced Micro Devices."</w:t>
      </w:r>
      <w:r>
        <w:br/>
        <w:t xml:space="preserve"> - Bear (25%): "Yahoo Finance published an article about the Chip Security Act putting AMD export controls and valuation in focus."</w:t>
      </w:r>
      <w:r>
        <w:br/>
        <w:t xml:space="preserve"> - Tail (5%): Export ban or negative AI cycle.</w:t>
      </w:r>
      <w:r>
        <w:br/>
        <w:t xml:space="preserve"> - Options: Elevated put/call skew.</w:t>
      </w:r>
      <w:r>
        <w:br/>
        <w:t xml:space="preserve"> - Sentiment: Retail bullish, institutions hedging.</w:t>
      </w:r>
    </w:p>
    <w:p w14:paraId="331161B3" w14:textId="77777777" w:rsidR="00733479" w:rsidRDefault="00000000">
      <w:r>
        <w:rPr>
          <w:b/>
        </w:rPr>
        <w:t>MSFT:</w:t>
      </w:r>
      <w:r>
        <w:t xml:space="preserve"> - Bull (20%): AI monetization upside.</w:t>
      </w:r>
      <w:r>
        <w:br/>
        <w:t xml:space="preserve"> - Base (50%): "r/wallstreetbets posted about Microsoft being set for its worst quarter since 2008 as AI impacts the company."</w:t>
      </w:r>
      <w:r>
        <w:br/>
        <w:t xml:space="preserve"> - Bear (25%): AI and cloud margin disappointment.</w:t>
      </w:r>
      <w:r>
        <w:br/>
        <w:t xml:space="preserve"> - Tail (5%): AI project setback.</w:t>
      </w:r>
      <w:r>
        <w:br/>
        <w:t xml:space="preserve"> - Options: High volume in downside puts.</w:t>
      </w:r>
      <w:r>
        <w:br/>
        <w:t xml:space="preserve"> - Sentiment: Neutral to bearish short-term.</w:t>
      </w:r>
    </w:p>
    <w:p w14:paraId="3CDDE18D" w14:textId="77777777" w:rsidR="00733479" w:rsidRDefault="00000000">
      <w:r>
        <w:rPr>
          <w:b/>
        </w:rPr>
        <w:t>AAPL:</w:t>
      </w:r>
      <w:r>
        <w:t xml:space="preserve"> - Bull (25%): "Seekingalpha.com reported on Apple stock price firming near $252 after WWDC date."</w:t>
      </w:r>
      <w:r>
        <w:br/>
        <w:t xml:space="preserve"> - Base (50%): Awaiting product cycle news.</w:t>
      </w:r>
      <w:r>
        <w:br/>
        <w:t xml:space="preserve"> - Bear (20%): Demand concerns.</w:t>
      </w:r>
      <w:r>
        <w:br/>
        <w:t xml:space="preserve"> - Tail (5%): Supply chain issues.</w:t>
      </w:r>
      <w:r>
        <w:br/>
        <w:t xml:space="preserve"> - Options: Mild call bias.</w:t>
      </w:r>
      <w:r>
        <w:br/>
        <w:t xml:space="preserve"> - Sentiment: Slightly bullish.</w:t>
      </w:r>
    </w:p>
    <w:p w14:paraId="2722A9AD" w14:textId="77777777" w:rsidR="00733479" w:rsidRDefault="00000000">
      <w:r>
        <w:rPr>
          <w:b/>
        </w:rPr>
        <w:t>META:</w:t>
      </w:r>
      <w:r>
        <w:t xml:space="preserve"> - Bull (20%): "Investors are demanding evidence from Meta that Llama models, Meta AI, and smart glasses generate incremental revenue."</w:t>
      </w:r>
      <w:r>
        <w:br/>
        <w:t xml:space="preserve"> - Base (45%): Awaiting AI monetization proof.</w:t>
      </w:r>
      <w:r>
        <w:br/>
        <w:t xml:space="preserve"> - Bear (30%): Regulatory/data privacy risk.</w:t>
      </w:r>
      <w:r>
        <w:br/>
        <w:t xml:space="preserve"> - Tail (5%): Major AI setback.</w:t>
      </w:r>
      <w:r>
        <w:br/>
        <w:t xml:space="preserve"> - Options: Elevated implied volatility.</w:t>
      </w:r>
      <w:r>
        <w:br/>
        <w:t xml:space="preserve"> - Sentiment: Mixed.</w:t>
      </w:r>
    </w:p>
    <w:p w14:paraId="77D42850" w14:textId="77777777" w:rsidR="00733479" w:rsidRDefault="00000000">
      <w:r>
        <w:rPr>
          <w:b/>
        </w:rPr>
        <w:t>AMZN:</w:t>
      </w:r>
      <w:r>
        <w:t xml:space="preserve"> - Bull (20%): "The Motley Fool published an article comparing Amazon and Palantir stocks, recommending to buy one and sell the other."</w:t>
      </w:r>
      <w:r>
        <w:br/>
        <w:t xml:space="preserve"> - Base (55%): Cloud and retail steady.</w:t>
      </w:r>
      <w:r>
        <w:br/>
        <w:t xml:space="preserve"> - Bear (20%): Macro headwinds.</w:t>
      </w:r>
      <w:r>
        <w:br/>
        <w:t xml:space="preserve"> - Tail (5%): AWS outage.</w:t>
      </w:r>
      <w:r>
        <w:br/>
        <w:t xml:space="preserve"> - Options: Neutral.</w:t>
      </w:r>
      <w:r>
        <w:br/>
        <w:t xml:space="preserve"> - Sentiment: Neutral to mildly bullish.</w:t>
      </w:r>
    </w:p>
    <w:p w14:paraId="211B766E" w14:textId="77777777" w:rsidR="00733479" w:rsidRDefault="00000000">
      <w:r>
        <w:rPr>
          <w:b/>
        </w:rPr>
        <w:t>AVGO:</w:t>
      </w:r>
      <w:r>
        <w:t xml:space="preserve"> - Bull (25%): "Meta's demand for custom AI ASICs, such as MTIA, makes it a primary beneficiary for Broadcom Inc.'s components."</w:t>
      </w:r>
      <w:r>
        <w:br/>
        <w:t xml:space="preserve"> - Base (50%): AI hardware demand steady.</w:t>
      </w:r>
      <w:r>
        <w:br/>
        <w:t xml:space="preserve"> - Bear (20%): Supply chain risk.</w:t>
      </w:r>
      <w:r>
        <w:br/>
        <w:t xml:space="preserve"> - Tail (5%): Regulatory action.</w:t>
      </w:r>
      <w:r>
        <w:br/>
        <w:t xml:space="preserve"> - Sentiment: Institutional bullishness.</w:t>
      </w:r>
    </w:p>
    <w:p w14:paraId="359B2D0F" w14:textId="77777777" w:rsidR="00733479" w:rsidRDefault="00000000">
      <w:r>
        <w:rPr>
          <w:b/>
        </w:rPr>
        <w:t>ORCL:</w:t>
      </w:r>
      <w:r>
        <w:t xml:space="preserve"> - Bull (15%): "Yahoo Finance published an opinion about Oracle stock and its potential to reach $400."</w:t>
      </w:r>
      <w:r>
        <w:br/>
        <w:t xml:space="preserve"> - Base (60%): Debt and AI spend concerns.</w:t>
      </w:r>
      <w:r>
        <w:br/>
        <w:t xml:space="preserve"> - Bear (20%): "TipRanks published an opinion about Oracle stock sinking due to AI debt concerns."</w:t>
      </w:r>
      <w:r>
        <w:br/>
        <w:t xml:space="preserve"> - Tail (5%): Credit downgrade.</w:t>
      </w:r>
      <w:r>
        <w:br/>
        <w:t xml:space="preserve"> - Sentiment: Cautious to bearish.</w:t>
      </w:r>
    </w:p>
    <w:p w14:paraId="1D1C5CC9" w14:textId="77777777" w:rsidR="00733479" w:rsidRDefault="00000000">
      <w:r>
        <w:rPr>
          <w:b/>
        </w:rPr>
        <w:t>MU:</w:t>
      </w:r>
      <w:r>
        <w:t xml:space="preserve"> - Bull (20%): "Seekingalpha.com published an opinion that Micron is still one of the best stocks in the current market."</w:t>
      </w:r>
      <w:r>
        <w:br/>
        <w:t xml:space="preserve"> - Base (55%): DRAM/NAND normalization.</w:t>
      </w:r>
      <w:r>
        <w:br/>
        <w:t xml:space="preserve"> - Bear (20%): Pricing pressure.</w:t>
      </w:r>
      <w:r>
        <w:br/>
        <w:t xml:space="preserve"> - Tail (5%): Export ban.</w:t>
      </w:r>
      <w:r>
        <w:br/>
        <w:t xml:space="preserve"> - Sentiment: Balanced.</w:t>
      </w:r>
    </w:p>
    <w:p w14:paraId="642057AB" w14:textId="77777777" w:rsidR="00733479" w:rsidRDefault="00000000">
      <w:r>
        <w:rPr>
          <w:b/>
        </w:rPr>
        <w:t>QCOM:</w:t>
      </w:r>
      <w:r>
        <w:t xml:space="preserve"> - Bull (20%): "simplywall.st published an analysis on Qualcomm's valuation after its recent share price weakness."</w:t>
      </w:r>
      <w:r>
        <w:br/>
        <w:t xml:space="preserve"> - Base (55%): Smartphone demand stabilizes.</w:t>
      </w:r>
      <w:r>
        <w:br/>
        <w:t xml:space="preserve"> - Bear (20%): Competition/regulatory risk.</w:t>
      </w:r>
      <w:r>
        <w:br/>
        <w:t xml:space="preserve"> - Tail (5%): Patent litigation.</w:t>
      </w:r>
      <w:r>
        <w:br/>
        <w:t xml:space="preserve"> - Sentiment: Value buyers emerging.</w:t>
      </w:r>
    </w:p>
    <w:p w14:paraId="47D0345B" w14:textId="77777777" w:rsidR="00733479" w:rsidRDefault="00000000">
      <w:r>
        <w:rPr>
          <w:b/>
        </w:rPr>
        <w:t>Options Market and Volatility Signals</w:t>
      </w:r>
    </w:p>
    <w:p w14:paraId="19755CDB" w14:textId="77777777" w:rsidR="00733479" w:rsidRDefault="00000000">
      <w:r>
        <w:t>"Morgan Stanley sent a clear message on semiconductor stocks after a selloff, as reported by thestreet.com."</w:t>
      </w:r>
    </w:p>
    <w:p w14:paraId="4677F036" w14:textId="77777777" w:rsidR="00733479" w:rsidRDefault="00000000">
      <w:r>
        <w:t>"TipRanks published an article about AMD stock slipping as gamers call for FSR 4 support."</w:t>
      </w:r>
    </w:p>
    <w:p w14:paraId="0247195E" w14:textId="77777777" w:rsidR="00733479" w:rsidRDefault="00000000">
      <w:r>
        <w:t>"Barron's published an article about Cathie Wood's trading activity in Meta and AI stocks."</w:t>
      </w:r>
    </w:p>
    <w:p w14:paraId="7CA4E524" w14:textId="77777777" w:rsidR="00733479" w:rsidRDefault="00000000">
      <w:r>
        <w:t>Options flows indicate:</w:t>
      </w:r>
    </w:p>
    <w:p w14:paraId="5CF7868C" w14:textId="77777777" w:rsidR="00733479" w:rsidRDefault="00000000">
      <w:pPr>
        <w:pStyle w:val="ListBullet"/>
      </w:pPr>
      <w:r>
        <w:t>Heavy hedging in NVDA, AMD, and MSFT, with "high volume, put/call skew, or large block trades" reflecting institutional caution.</w:t>
      </w:r>
    </w:p>
    <w:p w14:paraId="1EF18BFE" w14:textId="77777777" w:rsidR="00733479" w:rsidRDefault="00000000">
      <w:pPr>
        <w:pStyle w:val="ListBullet"/>
      </w:pPr>
      <w:r>
        <w:t>Retail call buying is seen as "a sign of overexuberance" by some, while others interpret it as confidence in an AI rebound.</w:t>
      </w:r>
    </w:p>
    <w:p w14:paraId="33944EAA" w14:textId="77777777" w:rsidR="00733479" w:rsidRDefault="00000000">
      <w:r>
        <w:rPr>
          <w:b/>
        </w:rPr>
        <w:t>Narrative Evolution and Political Risk</w:t>
      </w:r>
    </w:p>
    <w:p w14:paraId="5B9A9CDC" w14:textId="77777777" w:rsidR="00733479" w:rsidRDefault="00000000">
      <w:r>
        <w:t>The simulation shows a timeline where geopolitical shocks (e.g., "Fortune reported on Supermicro being accused of smuggling Nvidia chips and servers to China") and regulatory headlines ("House.gov published information about Chairman Mast and the HFAC advancing the Chip Security Act") dominate agent debate. Energy shocks and AI chip export controls are persistent market-movers:</w:t>
      </w:r>
    </w:p>
    <w:p w14:paraId="55807A3D" w14:textId="77777777" w:rsidR="00733479" w:rsidRDefault="00000000">
      <w:r>
        <w:t>"Tom's Hardware reports on chip material prices doubling as a result of the Middle East conflict and China's gallium export ban, affecting chipmaking materials."</w:t>
      </w:r>
    </w:p>
    <w:p w14:paraId="3CDE5997" w14:textId="77777777" w:rsidR="00733479" w:rsidRDefault="00000000">
      <w:r>
        <w:t>"FinTech Weekly published an article on U.S.–China chip tensions and conditional Nvidia exports."</w:t>
      </w:r>
    </w:p>
    <w:p w14:paraId="391FD11E" w14:textId="77777777" w:rsidR="00733479" w:rsidRDefault="00000000">
      <w:r>
        <w:t>The most likely narrative shift, according to agents, is from "macro and geopolitical anxiety" to "company-specific AI execution and earnings quality" if overnight news is benign or if a diplomatic de-escalation is announced.</w:t>
      </w:r>
    </w:p>
    <w:p w14:paraId="14A64EE2" w14:textId="77777777" w:rsidR="00733479" w:rsidRDefault="00000000">
      <w:r>
        <w:rPr>
          <w:b/>
        </w:rPr>
        <w:t>Summary Table: Per-Ticker Sentiment Distribution (Strongly Bullish → Strongly Bearish)</w:t>
      </w:r>
    </w:p>
    <w:tbl>
      <w:tblPr>
        <w:tblW w:w="0" w:type="auto"/>
        <w:tblLook w:val="04A0" w:firstRow="1" w:lastRow="0" w:firstColumn="1" w:lastColumn="0" w:noHBand="0" w:noVBand="1"/>
      </w:tblPr>
      <w:tblGrid>
        <w:gridCol w:w="819"/>
        <w:gridCol w:w="1010"/>
        <w:gridCol w:w="869"/>
        <w:gridCol w:w="928"/>
        <w:gridCol w:w="934"/>
        <w:gridCol w:w="1010"/>
      </w:tblGrid>
      <w:tr w:rsidR="00733479" w14:paraId="4411A19A" w14:textId="77777777">
        <w:tc>
          <w:tcPr>
            <w:tcW w:w="0" w:type="dxa"/>
          </w:tcPr>
          <w:p w14:paraId="4B2CE58E" w14:textId="77777777" w:rsidR="00733479" w:rsidRDefault="00000000">
            <w:r>
              <w:t>Ticker</w:t>
            </w:r>
          </w:p>
        </w:tc>
        <w:tc>
          <w:tcPr>
            <w:tcW w:w="0" w:type="dxa"/>
          </w:tcPr>
          <w:p w14:paraId="146F4DEF" w14:textId="77777777" w:rsidR="00733479" w:rsidRDefault="00000000">
            <w:r>
              <w:t>Strongly Bullish</w:t>
            </w:r>
          </w:p>
        </w:tc>
        <w:tc>
          <w:tcPr>
            <w:tcW w:w="0" w:type="dxa"/>
          </w:tcPr>
          <w:p w14:paraId="0D0D7908" w14:textId="77777777" w:rsidR="00733479" w:rsidRDefault="00000000">
            <w:r>
              <w:t>Bullish</w:t>
            </w:r>
          </w:p>
        </w:tc>
        <w:tc>
          <w:tcPr>
            <w:tcW w:w="0" w:type="dxa"/>
          </w:tcPr>
          <w:p w14:paraId="58E8EC04" w14:textId="77777777" w:rsidR="00733479" w:rsidRDefault="00000000">
            <w:r>
              <w:t>Neutral</w:t>
            </w:r>
          </w:p>
        </w:tc>
        <w:tc>
          <w:tcPr>
            <w:tcW w:w="0" w:type="dxa"/>
          </w:tcPr>
          <w:p w14:paraId="7AB3338F" w14:textId="77777777" w:rsidR="00733479" w:rsidRDefault="00000000">
            <w:r>
              <w:t>Bearish</w:t>
            </w:r>
          </w:p>
        </w:tc>
        <w:tc>
          <w:tcPr>
            <w:tcW w:w="0" w:type="dxa"/>
          </w:tcPr>
          <w:p w14:paraId="47CDFA8C" w14:textId="77777777" w:rsidR="00733479" w:rsidRDefault="00000000">
            <w:r>
              <w:t>Strongly Bearish</w:t>
            </w:r>
          </w:p>
        </w:tc>
      </w:tr>
      <w:tr w:rsidR="00733479" w14:paraId="7CCB16B0" w14:textId="77777777">
        <w:tc>
          <w:tcPr>
            <w:tcW w:w="0" w:type="dxa"/>
          </w:tcPr>
          <w:p w14:paraId="73717B7E" w14:textId="77777777" w:rsidR="00733479" w:rsidRDefault="00000000">
            <w:r>
              <w:t>NVDA</w:t>
            </w:r>
          </w:p>
        </w:tc>
        <w:tc>
          <w:tcPr>
            <w:tcW w:w="0" w:type="dxa"/>
          </w:tcPr>
          <w:p w14:paraId="639B75DA" w14:textId="77777777" w:rsidR="00733479" w:rsidRDefault="00000000">
            <w:r>
              <w:t>High</w:t>
            </w:r>
          </w:p>
        </w:tc>
        <w:tc>
          <w:tcPr>
            <w:tcW w:w="0" w:type="dxa"/>
          </w:tcPr>
          <w:p w14:paraId="5E050762" w14:textId="77777777" w:rsidR="00733479" w:rsidRDefault="00000000">
            <w:r>
              <w:t>High</w:t>
            </w:r>
          </w:p>
        </w:tc>
        <w:tc>
          <w:tcPr>
            <w:tcW w:w="0" w:type="dxa"/>
          </w:tcPr>
          <w:p w14:paraId="01F9169E" w14:textId="77777777" w:rsidR="00733479" w:rsidRDefault="00000000">
            <w:r>
              <w:t>Med</w:t>
            </w:r>
          </w:p>
        </w:tc>
        <w:tc>
          <w:tcPr>
            <w:tcW w:w="0" w:type="dxa"/>
          </w:tcPr>
          <w:p w14:paraId="4BE560F9" w14:textId="77777777" w:rsidR="00733479" w:rsidRDefault="00000000">
            <w:r>
              <w:t>Low</w:t>
            </w:r>
          </w:p>
        </w:tc>
        <w:tc>
          <w:tcPr>
            <w:tcW w:w="0" w:type="dxa"/>
          </w:tcPr>
          <w:p w14:paraId="39C6056E" w14:textId="77777777" w:rsidR="00733479" w:rsidRDefault="00000000">
            <w:r>
              <w:t>Low</w:t>
            </w:r>
          </w:p>
        </w:tc>
      </w:tr>
      <w:tr w:rsidR="00733479" w14:paraId="414FA7A9" w14:textId="77777777">
        <w:tc>
          <w:tcPr>
            <w:tcW w:w="0" w:type="dxa"/>
          </w:tcPr>
          <w:p w14:paraId="163253F4" w14:textId="77777777" w:rsidR="00733479" w:rsidRDefault="00000000">
            <w:r>
              <w:t>AMD</w:t>
            </w:r>
          </w:p>
        </w:tc>
        <w:tc>
          <w:tcPr>
            <w:tcW w:w="0" w:type="dxa"/>
          </w:tcPr>
          <w:p w14:paraId="23CB6E6A" w14:textId="77777777" w:rsidR="00733479" w:rsidRDefault="00000000">
            <w:r>
              <w:t>Med</w:t>
            </w:r>
          </w:p>
        </w:tc>
        <w:tc>
          <w:tcPr>
            <w:tcW w:w="0" w:type="dxa"/>
          </w:tcPr>
          <w:p w14:paraId="4E57A9E1" w14:textId="77777777" w:rsidR="00733479" w:rsidRDefault="00000000">
            <w:r>
              <w:t>High</w:t>
            </w:r>
          </w:p>
        </w:tc>
        <w:tc>
          <w:tcPr>
            <w:tcW w:w="0" w:type="dxa"/>
          </w:tcPr>
          <w:p w14:paraId="141D009F" w14:textId="77777777" w:rsidR="00733479" w:rsidRDefault="00000000">
            <w:r>
              <w:t>Med</w:t>
            </w:r>
          </w:p>
        </w:tc>
        <w:tc>
          <w:tcPr>
            <w:tcW w:w="0" w:type="dxa"/>
          </w:tcPr>
          <w:p w14:paraId="37AD8C1C" w14:textId="77777777" w:rsidR="00733479" w:rsidRDefault="00000000">
            <w:r>
              <w:t>Med</w:t>
            </w:r>
          </w:p>
        </w:tc>
        <w:tc>
          <w:tcPr>
            <w:tcW w:w="0" w:type="dxa"/>
          </w:tcPr>
          <w:p w14:paraId="17E4D86E" w14:textId="77777777" w:rsidR="00733479" w:rsidRDefault="00000000">
            <w:r>
              <w:t>Low</w:t>
            </w:r>
          </w:p>
        </w:tc>
      </w:tr>
      <w:tr w:rsidR="00733479" w14:paraId="5353805D" w14:textId="77777777">
        <w:tc>
          <w:tcPr>
            <w:tcW w:w="0" w:type="dxa"/>
          </w:tcPr>
          <w:p w14:paraId="27DFE4F9" w14:textId="77777777" w:rsidR="00733479" w:rsidRDefault="00000000">
            <w:r>
              <w:t>MSFT</w:t>
            </w:r>
          </w:p>
        </w:tc>
        <w:tc>
          <w:tcPr>
            <w:tcW w:w="0" w:type="dxa"/>
          </w:tcPr>
          <w:p w14:paraId="535FF17C" w14:textId="77777777" w:rsidR="00733479" w:rsidRDefault="00000000">
            <w:r>
              <w:t>Low</w:t>
            </w:r>
          </w:p>
        </w:tc>
        <w:tc>
          <w:tcPr>
            <w:tcW w:w="0" w:type="dxa"/>
          </w:tcPr>
          <w:p w14:paraId="22BFF166" w14:textId="77777777" w:rsidR="00733479" w:rsidRDefault="00000000">
            <w:r>
              <w:t>Med</w:t>
            </w:r>
          </w:p>
        </w:tc>
        <w:tc>
          <w:tcPr>
            <w:tcW w:w="0" w:type="dxa"/>
          </w:tcPr>
          <w:p w14:paraId="389C973E" w14:textId="77777777" w:rsidR="00733479" w:rsidRDefault="00000000">
            <w:r>
              <w:t>High</w:t>
            </w:r>
          </w:p>
        </w:tc>
        <w:tc>
          <w:tcPr>
            <w:tcW w:w="0" w:type="dxa"/>
          </w:tcPr>
          <w:p w14:paraId="6A630069" w14:textId="77777777" w:rsidR="00733479" w:rsidRDefault="00000000">
            <w:r>
              <w:t>Med</w:t>
            </w:r>
          </w:p>
        </w:tc>
        <w:tc>
          <w:tcPr>
            <w:tcW w:w="0" w:type="dxa"/>
          </w:tcPr>
          <w:p w14:paraId="7313A2A5" w14:textId="77777777" w:rsidR="00733479" w:rsidRDefault="00000000">
            <w:r>
              <w:t>Med</w:t>
            </w:r>
          </w:p>
        </w:tc>
      </w:tr>
      <w:tr w:rsidR="00733479" w14:paraId="10397C1A" w14:textId="77777777">
        <w:tc>
          <w:tcPr>
            <w:tcW w:w="0" w:type="dxa"/>
          </w:tcPr>
          <w:p w14:paraId="45704355" w14:textId="77777777" w:rsidR="00733479" w:rsidRDefault="00000000">
            <w:r>
              <w:t>AAPL</w:t>
            </w:r>
          </w:p>
        </w:tc>
        <w:tc>
          <w:tcPr>
            <w:tcW w:w="0" w:type="dxa"/>
          </w:tcPr>
          <w:p w14:paraId="7ED3DBA8" w14:textId="77777777" w:rsidR="00733479" w:rsidRDefault="00000000">
            <w:r>
              <w:t>Med</w:t>
            </w:r>
          </w:p>
        </w:tc>
        <w:tc>
          <w:tcPr>
            <w:tcW w:w="0" w:type="dxa"/>
          </w:tcPr>
          <w:p w14:paraId="209EBCAF" w14:textId="77777777" w:rsidR="00733479" w:rsidRDefault="00000000">
            <w:r>
              <w:t>High</w:t>
            </w:r>
          </w:p>
        </w:tc>
        <w:tc>
          <w:tcPr>
            <w:tcW w:w="0" w:type="dxa"/>
          </w:tcPr>
          <w:p w14:paraId="04B95AC6" w14:textId="77777777" w:rsidR="00733479" w:rsidRDefault="00000000">
            <w:r>
              <w:t>High</w:t>
            </w:r>
          </w:p>
        </w:tc>
        <w:tc>
          <w:tcPr>
            <w:tcW w:w="0" w:type="dxa"/>
          </w:tcPr>
          <w:p w14:paraId="55DBFF32" w14:textId="77777777" w:rsidR="00733479" w:rsidRDefault="00000000">
            <w:r>
              <w:t>Low</w:t>
            </w:r>
          </w:p>
        </w:tc>
        <w:tc>
          <w:tcPr>
            <w:tcW w:w="0" w:type="dxa"/>
          </w:tcPr>
          <w:p w14:paraId="73DA13E0" w14:textId="77777777" w:rsidR="00733479" w:rsidRDefault="00000000">
            <w:r>
              <w:t>Low</w:t>
            </w:r>
          </w:p>
        </w:tc>
      </w:tr>
      <w:tr w:rsidR="00733479" w14:paraId="30C05CCE" w14:textId="77777777">
        <w:tc>
          <w:tcPr>
            <w:tcW w:w="0" w:type="dxa"/>
          </w:tcPr>
          <w:p w14:paraId="085AB15D" w14:textId="77777777" w:rsidR="00733479" w:rsidRDefault="00000000">
            <w:r>
              <w:t>META</w:t>
            </w:r>
          </w:p>
        </w:tc>
        <w:tc>
          <w:tcPr>
            <w:tcW w:w="0" w:type="dxa"/>
          </w:tcPr>
          <w:p w14:paraId="1A52EDF1" w14:textId="77777777" w:rsidR="00733479" w:rsidRDefault="00000000">
            <w:r>
              <w:t>Low</w:t>
            </w:r>
          </w:p>
        </w:tc>
        <w:tc>
          <w:tcPr>
            <w:tcW w:w="0" w:type="dxa"/>
          </w:tcPr>
          <w:p w14:paraId="7A7EF004" w14:textId="77777777" w:rsidR="00733479" w:rsidRDefault="00000000">
            <w:r>
              <w:t>Med</w:t>
            </w:r>
          </w:p>
        </w:tc>
        <w:tc>
          <w:tcPr>
            <w:tcW w:w="0" w:type="dxa"/>
          </w:tcPr>
          <w:p w14:paraId="72CAD5DE" w14:textId="77777777" w:rsidR="00733479" w:rsidRDefault="00000000">
            <w:r>
              <w:t>High</w:t>
            </w:r>
          </w:p>
        </w:tc>
        <w:tc>
          <w:tcPr>
            <w:tcW w:w="0" w:type="dxa"/>
          </w:tcPr>
          <w:p w14:paraId="6A7B8E9F" w14:textId="77777777" w:rsidR="00733479" w:rsidRDefault="00000000">
            <w:r>
              <w:t>Med</w:t>
            </w:r>
          </w:p>
        </w:tc>
        <w:tc>
          <w:tcPr>
            <w:tcW w:w="0" w:type="dxa"/>
          </w:tcPr>
          <w:p w14:paraId="211B5609" w14:textId="77777777" w:rsidR="00733479" w:rsidRDefault="00000000">
            <w:r>
              <w:t>Med</w:t>
            </w:r>
          </w:p>
        </w:tc>
      </w:tr>
      <w:tr w:rsidR="00733479" w14:paraId="51090A8A" w14:textId="77777777">
        <w:tc>
          <w:tcPr>
            <w:tcW w:w="0" w:type="dxa"/>
          </w:tcPr>
          <w:p w14:paraId="5EB513E4" w14:textId="77777777" w:rsidR="00733479" w:rsidRDefault="00000000">
            <w:r>
              <w:t>AMZN</w:t>
            </w:r>
          </w:p>
        </w:tc>
        <w:tc>
          <w:tcPr>
            <w:tcW w:w="0" w:type="dxa"/>
          </w:tcPr>
          <w:p w14:paraId="63C8EF7D" w14:textId="77777777" w:rsidR="00733479" w:rsidRDefault="00000000">
            <w:r>
              <w:t>Low</w:t>
            </w:r>
          </w:p>
        </w:tc>
        <w:tc>
          <w:tcPr>
            <w:tcW w:w="0" w:type="dxa"/>
          </w:tcPr>
          <w:p w14:paraId="2E986A33" w14:textId="77777777" w:rsidR="00733479" w:rsidRDefault="00000000">
            <w:r>
              <w:t>Med</w:t>
            </w:r>
          </w:p>
        </w:tc>
        <w:tc>
          <w:tcPr>
            <w:tcW w:w="0" w:type="dxa"/>
          </w:tcPr>
          <w:p w14:paraId="282EED90" w14:textId="77777777" w:rsidR="00733479" w:rsidRDefault="00000000">
            <w:r>
              <w:t>High</w:t>
            </w:r>
          </w:p>
        </w:tc>
        <w:tc>
          <w:tcPr>
            <w:tcW w:w="0" w:type="dxa"/>
          </w:tcPr>
          <w:p w14:paraId="2B5C6848" w14:textId="77777777" w:rsidR="00733479" w:rsidRDefault="00000000">
            <w:r>
              <w:t>Med</w:t>
            </w:r>
          </w:p>
        </w:tc>
        <w:tc>
          <w:tcPr>
            <w:tcW w:w="0" w:type="dxa"/>
          </w:tcPr>
          <w:p w14:paraId="13196A20" w14:textId="77777777" w:rsidR="00733479" w:rsidRDefault="00000000">
            <w:r>
              <w:t>Low</w:t>
            </w:r>
          </w:p>
        </w:tc>
      </w:tr>
      <w:tr w:rsidR="00733479" w14:paraId="6FBB66EC" w14:textId="77777777">
        <w:tc>
          <w:tcPr>
            <w:tcW w:w="0" w:type="dxa"/>
          </w:tcPr>
          <w:p w14:paraId="62E643D2" w14:textId="77777777" w:rsidR="00733479" w:rsidRDefault="00000000">
            <w:r>
              <w:t>AVGO</w:t>
            </w:r>
          </w:p>
        </w:tc>
        <w:tc>
          <w:tcPr>
            <w:tcW w:w="0" w:type="dxa"/>
          </w:tcPr>
          <w:p w14:paraId="36C4BA83" w14:textId="77777777" w:rsidR="00733479" w:rsidRDefault="00000000">
            <w:r>
              <w:t>Med</w:t>
            </w:r>
          </w:p>
        </w:tc>
        <w:tc>
          <w:tcPr>
            <w:tcW w:w="0" w:type="dxa"/>
          </w:tcPr>
          <w:p w14:paraId="34340AA8" w14:textId="77777777" w:rsidR="00733479" w:rsidRDefault="00000000">
            <w:r>
              <w:t>High</w:t>
            </w:r>
          </w:p>
        </w:tc>
        <w:tc>
          <w:tcPr>
            <w:tcW w:w="0" w:type="dxa"/>
          </w:tcPr>
          <w:p w14:paraId="4B89AB6B" w14:textId="77777777" w:rsidR="00733479" w:rsidRDefault="00000000">
            <w:r>
              <w:t>High</w:t>
            </w:r>
          </w:p>
        </w:tc>
        <w:tc>
          <w:tcPr>
            <w:tcW w:w="0" w:type="dxa"/>
          </w:tcPr>
          <w:p w14:paraId="7B820048" w14:textId="77777777" w:rsidR="00733479" w:rsidRDefault="00000000">
            <w:r>
              <w:t>Low</w:t>
            </w:r>
          </w:p>
        </w:tc>
        <w:tc>
          <w:tcPr>
            <w:tcW w:w="0" w:type="dxa"/>
          </w:tcPr>
          <w:p w14:paraId="4551D73F" w14:textId="77777777" w:rsidR="00733479" w:rsidRDefault="00000000">
            <w:r>
              <w:t>Low</w:t>
            </w:r>
          </w:p>
        </w:tc>
      </w:tr>
      <w:tr w:rsidR="00733479" w14:paraId="30AEBA6F" w14:textId="77777777">
        <w:tc>
          <w:tcPr>
            <w:tcW w:w="0" w:type="dxa"/>
          </w:tcPr>
          <w:p w14:paraId="0368602D" w14:textId="77777777" w:rsidR="00733479" w:rsidRDefault="00000000">
            <w:r>
              <w:t>ORCL</w:t>
            </w:r>
          </w:p>
        </w:tc>
        <w:tc>
          <w:tcPr>
            <w:tcW w:w="0" w:type="dxa"/>
          </w:tcPr>
          <w:p w14:paraId="563E5C2A" w14:textId="77777777" w:rsidR="00733479" w:rsidRDefault="00000000">
            <w:r>
              <w:t>Low</w:t>
            </w:r>
          </w:p>
        </w:tc>
        <w:tc>
          <w:tcPr>
            <w:tcW w:w="0" w:type="dxa"/>
          </w:tcPr>
          <w:p w14:paraId="31628B7A" w14:textId="77777777" w:rsidR="00733479" w:rsidRDefault="00000000">
            <w:r>
              <w:t>Med</w:t>
            </w:r>
          </w:p>
        </w:tc>
        <w:tc>
          <w:tcPr>
            <w:tcW w:w="0" w:type="dxa"/>
          </w:tcPr>
          <w:p w14:paraId="2C8DA774" w14:textId="77777777" w:rsidR="00733479" w:rsidRDefault="00000000">
            <w:r>
              <w:t>High</w:t>
            </w:r>
          </w:p>
        </w:tc>
        <w:tc>
          <w:tcPr>
            <w:tcW w:w="0" w:type="dxa"/>
          </w:tcPr>
          <w:p w14:paraId="515DE8B4" w14:textId="77777777" w:rsidR="00733479" w:rsidRDefault="00000000">
            <w:r>
              <w:t>Med</w:t>
            </w:r>
          </w:p>
        </w:tc>
        <w:tc>
          <w:tcPr>
            <w:tcW w:w="0" w:type="dxa"/>
          </w:tcPr>
          <w:p w14:paraId="1AB519E2" w14:textId="77777777" w:rsidR="00733479" w:rsidRDefault="00000000">
            <w:r>
              <w:t>Med</w:t>
            </w:r>
          </w:p>
        </w:tc>
      </w:tr>
      <w:tr w:rsidR="00733479" w14:paraId="6EE8641D" w14:textId="77777777">
        <w:tc>
          <w:tcPr>
            <w:tcW w:w="0" w:type="dxa"/>
          </w:tcPr>
          <w:p w14:paraId="3A330B2B" w14:textId="77777777" w:rsidR="00733479" w:rsidRDefault="00000000">
            <w:r>
              <w:t>MU</w:t>
            </w:r>
          </w:p>
        </w:tc>
        <w:tc>
          <w:tcPr>
            <w:tcW w:w="0" w:type="dxa"/>
          </w:tcPr>
          <w:p w14:paraId="5340381A" w14:textId="77777777" w:rsidR="00733479" w:rsidRDefault="00000000">
            <w:r>
              <w:t>Med</w:t>
            </w:r>
          </w:p>
        </w:tc>
        <w:tc>
          <w:tcPr>
            <w:tcW w:w="0" w:type="dxa"/>
          </w:tcPr>
          <w:p w14:paraId="61B52239" w14:textId="77777777" w:rsidR="00733479" w:rsidRDefault="00000000">
            <w:r>
              <w:t>Med</w:t>
            </w:r>
          </w:p>
        </w:tc>
        <w:tc>
          <w:tcPr>
            <w:tcW w:w="0" w:type="dxa"/>
          </w:tcPr>
          <w:p w14:paraId="7CEECA4E" w14:textId="77777777" w:rsidR="00733479" w:rsidRDefault="00000000">
            <w:r>
              <w:t>High</w:t>
            </w:r>
          </w:p>
        </w:tc>
        <w:tc>
          <w:tcPr>
            <w:tcW w:w="0" w:type="dxa"/>
          </w:tcPr>
          <w:p w14:paraId="6FD41E39" w14:textId="77777777" w:rsidR="00733479" w:rsidRDefault="00000000">
            <w:r>
              <w:t>Low</w:t>
            </w:r>
          </w:p>
        </w:tc>
        <w:tc>
          <w:tcPr>
            <w:tcW w:w="0" w:type="dxa"/>
          </w:tcPr>
          <w:p w14:paraId="379875B5" w14:textId="77777777" w:rsidR="00733479" w:rsidRDefault="00000000">
            <w:r>
              <w:t>Low</w:t>
            </w:r>
          </w:p>
        </w:tc>
      </w:tr>
      <w:tr w:rsidR="00733479" w14:paraId="4CBEE8D5" w14:textId="77777777">
        <w:tc>
          <w:tcPr>
            <w:tcW w:w="0" w:type="dxa"/>
          </w:tcPr>
          <w:p w14:paraId="645591B0" w14:textId="77777777" w:rsidR="00733479" w:rsidRDefault="00000000">
            <w:r>
              <w:t>QCOM</w:t>
            </w:r>
          </w:p>
        </w:tc>
        <w:tc>
          <w:tcPr>
            <w:tcW w:w="0" w:type="dxa"/>
          </w:tcPr>
          <w:p w14:paraId="41C2EF05" w14:textId="77777777" w:rsidR="00733479" w:rsidRDefault="00000000">
            <w:r>
              <w:t>Low</w:t>
            </w:r>
          </w:p>
        </w:tc>
        <w:tc>
          <w:tcPr>
            <w:tcW w:w="0" w:type="dxa"/>
          </w:tcPr>
          <w:p w14:paraId="6E5863BD" w14:textId="77777777" w:rsidR="00733479" w:rsidRDefault="00000000">
            <w:r>
              <w:t>Med</w:t>
            </w:r>
          </w:p>
        </w:tc>
        <w:tc>
          <w:tcPr>
            <w:tcW w:w="0" w:type="dxa"/>
          </w:tcPr>
          <w:p w14:paraId="4FF72A18" w14:textId="77777777" w:rsidR="00733479" w:rsidRDefault="00000000">
            <w:r>
              <w:t>High</w:t>
            </w:r>
          </w:p>
        </w:tc>
        <w:tc>
          <w:tcPr>
            <w:tcW w:w="0" w:type="dxa"/>
          </w:tcPr>
          <w:p w14:paraId="5816ABDD" w14:textId="77777777" w:rsidR="00733479" w:rsidRDefault="00000000">
            <w:r>
              <w:t>Med</w:t>
            </w:r>
          </w:p>
        </w:tc>
        <w:tc>
          <w:tcPr>
            <w:tcW w:w="0" w:type="dxa"/>
          </w:tcPr>
          <w:p w14:paraId="78CC329F" w14:textId="77777777" w:rsidR="00733479" w:rsidRDefault="00000000">
            <w:r>
              <w:t>Low</w:t>
            </w:r>
          </w:p>
        </w:tc>
      </w:tr>
    </w:tbl>
    <w:p w14:paraId="52F722F2" w14:textId="77777777" w:rsidR="00733479" w:rsidRDefault="00000000">
      <w:r>
        <w:t xml:space="preserve"> </w:t>
      </w:r>
    </w:p>
    <w:p w14:paraId="6E048982" w14:textId="77777777" w:rsidR="00733479" w:rsidRDefault="00000000">
      <w:r>
        <w:t xml:space="preserve"> </w:t>
      </w:r>
    </w:p>
    <w:p w14:paraId="3F1C3A23" w14:textId="77777777" w:rsidR="00733479" w:rsidRDefault="00000000">
      <w:r>
        <w:t xml:space="preserve"> </w:t>
      </w:r>
    </w:p>
    <w:p w14:paraId="38EF1892" w14:textId="77777777" w:rsidR="00733479" w:rsidRDefault="00000000">
      <w:r>
        <w:t xml:space="preserve"> </w:t>
      </w:r>
    </w:p>
    <w:p w14:paraId="478E7A4C" w14:textId="77777777" w:rsidR="00733479" w:rsidRDefault="00000000">
      <w:r>
        <w:t xml:space="preserve"> </w:t>
      </w:r>
    </w:p>
    <w:p w14:paraId="3FF6869B" w14:textId="77777777" w:rsidR="00733479" w:rsidRDefault="00000000">
      <w:r>
        <w:t xml:space="preserve"> </w:t>
      </w:r>
    </w:p>
    <w:p w14:paraId="6F96CFB5" w14:textId="77777777" w:rsidR="00733479" w:rsidRDefault="00000000">
      <w:r>
        <w:t xml:space="preserve"> </w:t>
      </w:r>
    </w:p>
    <w:p w14:paraId="07AB4613" w14:textId="77777777" w:rsidR="00733479" w:rsidRDefault="00000000">
      <w:r>
        <w:t xml:space="preserve"> </w:t>
      </w:r>
    </w:p>
    <w:p w14:paraId="50ABE8FE" w14:textId="77777777" w:rsidR="00733479" w:rsidRDefault="00000000">
      <w:r>
        <w:t xml:space="preserve"> </w:t>
      </w:r>
    </w:p>
    <w:p w14:paraId="6E164AE9" w14:textId="77777777" w:rsidR="00733479" w:rsidRDefault="00000000">
      <w:r>
        <w:t xml:space="preserve"> </w:t>
      </w:r>
    </w:p>
    <w:p w14:paraId="6844C966" w14:textId="77777777" w:rsidR="00733479" w:rsidRDefault="00000000">
      <w:r>
        <w:t xml:space="preserve"> </w:t>
      </w:r>
    </w:p>
    <w:p w14:paraId="31EF3887" w14:textId="77777777" w:rsidR="00733479" w:rsidRDefault="00000000">
      <w:r>
        <w:t xml:space="preserve"> </w:t>
      </w:r>
    </w:p>
    <w:p w14:paraId="41587127" w14:textId="77777777" w:rsidR="00733479" w:rsidRDefault="00000000">
      <w:r>
        <w:t xml:space="preserve"> </w:t>
      </w:r>
    </w:p>
    <w:p w14:paraId="78F9C466" w14:textId="77777777" w:rsidR="00733479" w:rsidRDefault="00000000">
      <w:r>
        <w:t xml:space="preserve"> </w:t>
      </w:r>
    </w:p>
    <w:p w14:paraId="20F07817" w14:textId="77777777" w:rsidR="00733479" w:rsidRDefault="00000000">
      <w:r>
        <w:t xml:space="preserve"> </w:t>
      </w:r>
    </w:p>
    <w:p w14:paraId="443BC792" w14:textId="77777777" w:rsidR="00733479" w:rsidRDefault="00000000">
      <w:r>
        <w:t xml:space="preserve"> </w:t>
      </w:r>
    </w:p>
    <w:p w14:paraId="4464153D" w14:textId="77777777" w:rsidR="00733479" w:rsidRDefault="00000000">
      <w:r>
        <w:t xml:space="preserve"> </w:t>
      </w:r>
    </w:p>
    <w:p w14:paraId="4E8F9FE6" w14:textId="77777777" w:rsidR="00733479" w:rsidRDefault="00000000">
      <w:r>
        <w:t xml:space="preserve"> </w:t>
      </w:r>
    </w:p>
    <w:p w14:paraId="76F6131E" w14:textId="77777777" w:rsidR="00733479" w:rsidRDefault="00000000">
      <w:r>
        <w:t xml:space="preserve"> </w:t>
      </w:r>
    </w:p>
    <w:p w14:paraId="59485A90" w14:textId="77777777" w:rsidR="00733479" w:rsidRDefault="00000000">
      <w:r>
        <w:t xml:space="preserve"> </w:t>
      </w:r>
    </w:p>
    <w:p w14:paraId="47C7191C" w14:textId="77777777" w:rsidR="00733479" w:rsidRDefault="00000000">
      <w:r>
        <w:t xml:space="preserve"> </w:t>
      </w:r>
    </w:p>
    <w:p w14:paraId="3C1B15FF" w14:textId="77777777" w:rsidR="00733479" w:rsidRDefault="00000000">
      <w:r>
        <w:t xml:space="preserve"> </w:t>
      </w:r>
    </w:p>
    <w:p w14:paraId="7627B4C5" w14:textId="77777777" w:rsidR="00733479" w:rsidRDefault="00000000">
      <w:r>
        <w:t xml:space="preserve"> </w:t>
      </w:r>
    </w:p>
    <w:p w14:paraId="6C4EE14D" w14:textId="77777777" w:rsidR="00733479" w:rsidRDefault="00000000">
      <w:r>
        <w:t xml:space="preserve"> </w:t>
      </w:r>
    </w:p>
    <w:p w14:paraId="29262ADB" w14:textId="77777777" w:rsidR="00733479" w:rsidRDefault="00000000">
      <w:r>
        <w:t xml:space="preserve"> </w:t>
      </w:r>
    </w:p>
    <w:p w14:paraId="3846CBFB" w14:textId="77777777" w:rsidR="00733479" w:rsidRDefault="00000000">
      <w:r>
        <w:t xml:space="preserve"> </w:t>
      </w:r>
    </w:p>
    <w:p w14:paraId="0F0C2D69" w14:textId="77777777" w:rsidR="00733479" w:rsidRDefault="00000000">
      <w:r>
        <w:t xml:space="preserve"> </w:t>
      </w:r>
    </w:p>
    <w:p w14:paraId="6136C4B9" w14:textId="77777777" w:rsidR="00733479" w:rsidRDefault="00000000">
      <w:r>
        <w:t xml:space="preserve"> </w:t>
      </w:r>
    </w:p>
    <w:p w14:paraId="0D25D429" w14:textId="77777777" w:rsidR="00733479" w:rsidRDefault="00000000">
      <w:r>
        <w:t xml:space="preserve"> </w:t>
      </w:r>
    </w:p>
    <w:p w14:paraId="7F48F265" w14:textId="77777777" w:rsidR="00733479" w:rsidRDefault="00000000">
      <w:r>
        <w:t xml:space="preserve"> </w:t>
      </w:r>
    </w:p>
    <w:p w14:paraId="2C88142A" w14:textId="77777777" w:rsidR="00733479" w:rsidRDefault="00000000">
      <w:r>
        <w:t xml:space="preserve"> </w:t>
      </w:r>
    </w:p>
    <w:p w14:paraId="7B7A5251" w14:textId="77777777" w:rsidR="00733479" w:rsidRDefault="00000000">
      <w:r>
        <w:t xml:space="preserve"> </w:t>
      </w:r>
    </w:p>
    <w:p w14:paraId="1EB4DD12" w14:textId="77777777" w:rsidR="00733479" w:rsidRDefault="00000000">
      <w:r>
        <w:t xml:space="preserve"> </w:t>
      </w:r>
    </w:p>
    <w:p w14:paraId="1B91C7BE" w14:textId="77777777" w:rsidR="00733479" w:rsidRDefault="00000000">
      <w:r>
        <w:t xml:space="preserve"> </w:t>
      </w:r>
    </w:p>
    <w:p w14:paraId="42A89373" w14:textId="77777777" w:rsidR="00733479" w:rsidRDefault="00000000">
      <w:r>
        <w:t xml:space="preserve"> </w:t>
      </w:r>
    </w:p>
    <w:p w14:paraId="582D6AEF" w14:textId="77777777" w:rsidR="00733479" w:rsidRDefault="00000000">
      <w:r>
        <w:t xml:space="preserve"> </w:t>
      </w:r>
    </w:p>
    <w:p w14:paraId="616C2997" w14:textId="77777777" w:rsidR="00733479" w:rsidRDefault="00000000">
      <w:r>
        <w:t xml:space="preserve"> </w:t>
      </w:r>
    </w:p>
    <w:p w14:paraId="0D846CBC" w14:textId="77777777" w:rsidR="00733479" w:rsidRDefault="00000000">
      <w:r>
        <w:t xml:space="preserve"> </w:t>
      </w:r>
    </w:p>
    <w:p w14:paraId="2C4C2AD6" w14:textId="77777777" w:rsidR="00733479" w:rsidRDefault="00000000">
      <w:r>
        <w:t xml:space="preserve"> </w:t>
      </w:r>
    </w:p>
    <w:p w14:paraId="0114129C" w14:textId="77777777" w:rsidR="00733479" w:rsidRDefault="00000000">
      <w:r>
        <w:t xml:space="preserve"> </w:t>
      </w:r>
    </w:p>
    <w:p w14:paraId="7A1AAD5B" w14:textId="77777777" w:rsidR="00733479" w:rsidRDefault="00000000">
      <w:r>
        <w:t xml:space="preserve"> </w:t>
      </w:r>
    </w:p>
    <w:p w14:paraId="6C796F39" w14:textId="77777777" w:rsidR="00733479" w:rsidRDefault="00000000">
      <w:r>
        <w:t xml:space="preserve"> </w:t>
      </w:r>
    </w:p>
    <w:p w14:paraId="09ACC9FB" w14:textId="77777777" w:rsidR="00733479" w:rsidRDefault="00000000">
      <w:r>
        <w:t xml:space="preserve"> </w:t>
      </w:r>
    </w:p>
    <w:p w14:paraId="44CD67CB" w14:textId="77777777" w:rsidR="00733479" w:rsidRDefault="00000000">
      <w:r>
        <w:t xml:space="preserve"> </w:t>
      </w:r>
    </w:p>
    <w:p w14:paraId="1713A6C6" w14:textId="77777777" w:rsidR="00733479" w:rsidRDefault="00000000">
      <w:r>
        <w:t xml:space="preserve"> </w:t>
      </w:r>
    </w:p>
    <w:p w14:paraId="67F1AD1B" w14:textId="77777777" w:rsidR="00733479" w:rsidRDefault="00000000">
      <w:r>
        <w:t xml:space="preserve"> </w:t>
      </w:r>
    </w:p>
    <w:p w14:paraId="3D8AC0F9" w14:textId="77777777" w:rsidR="00733479" w:rsidRDefault="00000000">
      <w:r>
        <w:t xml:space="preserve"> </w:t>
      </w:r>
    </w:p>
    <w:p w14:paraId="0F19D3F9" w14:textId="77777777" w:rsidR="00733479" w:rsidRDefault="00000000">
      <w:r>
        <w:t xml:space="preserve"> </w:t>
      </w:r>
    </w:p>
    <w:p w14:paraId="6CE59DD1" w14:textId="77777777" w:rsidR="00733479" w:rsidRDefault="00000000">
      <w:r>
        <w:t xml:space="preserve"> </w:t>
      </w:r>
    </w:p>
    <w:p w14:paraId="3FE45B21" w14:textId="77777777" w:rsidR="00733479" w:rsidRDefault="00000000">
      <w:r>
        <w:t xml:space="preserve"> </w:t>
      </w:r>
    </w:p>
    <w:p w14:paraId="3688D2BC" w14:textId="77777777" w:rsidR="00733479" w:rsidRDefault="00000000">
      <w:r>
        <w:t xml:space="preserve"> </w:t>
      </w:r>
    </w:p>
    <w:p w14:paraId="3A0956A8" w14:textId="77777777" w:rsidR="00733479" w:rsidRDefault="00000000">
      <w:r>
        <w:t xml:space="preserve"> </w:t>
      </w:r>
    </w:p>
    <w:p w14:paraId="134E3523" w14:textId="77777777" w:rsidR="00733479" w:rsidRDefault="00000000">
      <w:r>
        <w:t xml:space="preserve"> </w:t>
      </w:r>
    </w:p>
    <w:p w14:paraId="3A594BD8" w14:textId="77777777" w:rsidR="00733479" w:rsidRDefault="00000000">
      <w:r>
        <w:t xml:space="preserve"> </w:t>
      </w:r>
    </w:p>
    <w:p w14:paraId="0EBF65EE" w14:textId="77777777" w:rsidR="00733479" w:rsidRDefault="00000000">
      <w:r>
        <w:t xml:space="preserve"> </w:t>
      </w:r>
    </w:p>
    <w:p w14:paraId="5FB60160" w14:textId="77777777" w:rsidR="00733479" w:rsidRDefault="00000000">
      <w:r>
        <w:t xml:space="preserve"> </w:t>
      </w:r>
    </w:p>
    <w:p w14:paraId="645F9644" w14:textId="77777777" w:rsidR="00733479" w:rsidRDefault="00000000">
      <w:r>
        <w:t xml:space="preserve"> </w:t>
      </w:r>
    </w:p>
    <w:p w14:paraId="4214991A" w14:textId="77777777" w:rsidR="00733479" w:rsidRDefault="00000000">
      <w:r>
        <w:t xml:space="preserve"> </w:t>
      </w:r>
    </w:p>
    <w:p w14:paraId="2B425197" w14:textId="77777777" w:rsidR="00733479" w:rsidRDefault="00000000">
      <w:r>
        <w:t xml:space="preserve"> </w:t>
      </w:r>
    </w:p>
    <w:p w14:paraId="2A40CAD9" w14:textId="77777777" w:rsidR="00733479" w:rsidRDefault="00000000">
      <w:r>
        <w:t xml:space="preserve"> </w:t>
      </w:r>
    </w:p>
    <w:p w14:paraId="12B2BB21" w14:textId="77777777" w:rsidR="00733479" w:rsidRDefault="00000000">
      <w:r>
        <w:t xml:space="preserve"> </w:t>
      </w:r>
    </w:p>
    <w:p w14:paraId="6DC1A1B9" w14:textId="77777777" w:rsidR="00733479" w:rsidRDefault="00000000">
      <w:r>
        <w:t xml:space="preserve"> </w:t>
      </w:r>
    </w:p>
    <w:p w14:paraId="38663403" w14:textId="77777777" w:rsidR="00733479" w:rsidRDefault="00000000">
      <w:r>
        <w:t xml:space="preserve"> </w:t>
      </w:r>
    </w:p>
    <w:p w14:paraId="43E63008" w14:textId="77777777" w:rsidR="00733479" w:rsidRDefault="00000000">
      <w:r>
        <w:t xml:space="preserve"> </w:t>
      </w:r>
    </w:p>
    <w:p w14:paraId="70CD6DAF" w14:textId="77777777" w:rsidR="00733479" w:rsidRDefault="00000000">
      <w:r>
        <w:t xml:space="preserve"> </w:t>
      </w:r>
    </w:p>
    <w:p w14:paraId="13F5B70E" w14:textId="77777777" w:rsidR="00733479" w:rsidRDefault="00000000">
      <w:r>
        <w:t xml:space="preserve"> </w:t>
      </w:r>
      <w:r>
        <w:rPr>
          <w:b/>
        </w:rPr>
        <w:t>Agent Disagreement and Debate</w:t>
      </w:r>
    </w:p>
    <w:p w14:paraId="547C5DE4" w14:textId="77777777" w:rsidR="00733479" w:rsidRDefault="00000000">
      <w:r>
        <w:t>There is pronounced disagreement over the weighting of geopolitical versus company-specific risk. Some agents argue "energy-related tickers...are poised to move most," citing supply chain and export control shocks. Others insist "technology tickers, particularly large-cap names like AAPL or NVDA, will show the most movement" due to AI and chip cycle volatility.</w:t>
      </w:r>
    </w:p>
    <w:p w14:paraId="422ACA72" w14:textId="77777777" w:rsidR="00733479" w:rsidRDefault="00000000">
      <w:r>
        <w:t>Retail and institutional sentiment remains sharply divided, with retail optimism about AI and innovation clashing with institutional concern over regulatory and macro headwinds. This divergence is further amplified by options market signals and the evolving headlines around Middle East conflict, chip export controls, and Fed policy.</w:t>
      </w:r>
    </w:p>
    <w:p w14:paraId="7EA5505A" w14:textId="77777777" w:rsidR="00733479" w:rsidRDefault="00000000">
      <w:r>
        <w:t>The simulation predicts a market on edge, with divergent probability-weighted outcomes and a high likelihood of sharp moves in response to overnight geopolitical or regulatory news.</w:t>
      </w:r>
    </w:p>
    <w:p w14:paraId="27087DD7" w14:textId="77777777" w:rsidR="00733479" w:rsidRDefault="00000000">
      <w:pPr>
        <w:pStyle w:val="Heading2"/>
      </w:pPr>
      <w:r>
        <w:t>Dominant Narratives and Agent Debates</w:t>
      </w:r>
    </w:p>
    <w:p w14:paraId="0BD05F39" w14:textId="77777777" w:rsidR="00733479" w:rsidRDefault="00000000">
      <w:r>
        <w:rPr>
          <w:b/>
        </w:rPr>
        <w:t>Divergence and Debate on S&amp;P 500 Direction</w:t>
      </w:r>
    </w:p>
    <w:p w14:paraId="53E1D770" w14:textId="77777777" w:rsidR="00733479" w:rsidRDefault="00000000">
      <w:r>
        <w:t>Agents across institutional, hedge fund, macro, retail, and political spheres predict a volatile but range-bound S&amp;P 500 session for 2026-03-30, with probability-weighted scenarios debated intensely. Institutional analysts stress “the S&amp;P 500’s probability range for tomorrow is likely to remain within a moderate band, reflecting prevailing macroeconomic stability and measured investor sentiment.” However, risk managers and macro strategists warn of “tail risk to the downside due to persistent concerns around inflation and central bank policy ambiguity.” Retail traders echo a “decent chance we see consolidation unless some big macro catalyst hits—think +/- 0.5% as the most likely move,” but also admit the crowd will “flip fast from bullish to fearful” if inflation or geopolitical headlines surprise.</w:t>
      </w:r>
    </w:p>
    <w:p w14:paraId="1A12B357" w14:textId="77777777" w:rsidR="00733479" w:rsidRDefault="00000000">
      <w:r>
        <w:rPr>
          <w:b/>
        </w:rPr>
        <w:t>Which Ticker Will Move Most and Why</w:t>
      </w:r>
    </w:p>
    <w:p w14:paraId="5A76C74D" w14:textId="77777777" w:rsidR="00733479" w:rsidRDefault="00000000">
      <w:r>
        <w:t>There is near-unanimous focus on Nvidia (NVDA) as the most likely candidate for outsized moves, but disagreement on the drivers and direction:</w:t>
      </w:r>
    </w:p>
    <w:p w14:paraId="19C8C5BE" w14:textId="77777777" w:rsidR="00733479" w:rsidRDefault="00000000">
      <w:r>
        <w:t>“Among technology stocks, NVIDIA (NVDA) is most likely to see outsized moves in the immediate term. Recent market focus on artificial intelligence and data center growth has heightened sensitivity to any new developments or news regarding its product pipeline, guidance, or regulatory environment.” (Bank of America)</w:t>
      </w:r>
    </w:p>
    <w:p w14:paraId="4656CBA9" w14:textId="77777777" w:rsidR="00733479" w:rsidRDefault="00000000">
      <w:r>
        <w:t>“Among tech tickers, Nvidia (NVDA) is currently positioned for potential outsized moves due to its central role in AI-related narratives and ongoing volatility following recent earnings.” (Global Hedge Fund)</w:t>
      </w:r>
    </w:p>
    <w:p w14:paraId="0ACFF0BC" w14:textId="77777777" w:rsidR="00733479" w:rsidRDefault="00000000">
      <w:r>
        <w:t>Retail traders describe NVDA as “the undisputed meme stock king right now in retail trading circles, driven by relentless AI hype and wild options activity.” Options market agents highlight “elevated implied volatility due to its status as a market darling, outsized index weighting, and sensitivity to shifts in AI sentiment or supply chain news.”</w:t>
      </w:r>
    </w:p>
    <w:p w14:paraId="665303B5" w14:textId="77777777" w:rsidR="00733479" w:rsidRDefault="00000000">
      <w:r>
        <w:rPr>
          <w:b/>
        </w:rPr>
        <w:t>Dominant Narrative Drivers and Shifting Catalysts</w:t>
      </w:r>
    </w:p>
    <w:p w14:paraId="19C2256D" w14:textId="77777777" w:rsidR="00733479" w:rsidRDefault="00000000">
      <w:r>
        <w:t>The dominant narrative is a tug-of-war between macro stability and the risk of abrupt shocks. Institutional and macro agents emphasize the ongoing “narrative around Federal Reserve policy and inflation expectations,” while tech-focused managers see the next catalyst as a “transition from theoretical AI adoption to evidence of material productivity and revenue growth across sectors.” Political and macro strategists warn that “should unexpected economic news or geopolitical escalations arise, we could see volatility skewing that range toward either direction.”</w:t>
      </w:r>
    </w:p>
    <w:p w14:paraId="482284F0" w14:textId="77777777" w:rsidR="00733479" w:rsidRDefault="00000000">
      <w:r>
        <w:t>Key facts from the simulation reinforce the multi-faceted nature of these drivers:</w:t>
      </w:r>
    </w:p>
    <w:p w14:paraId="6F52C9D2" w14:textId="77777777" w:rsidR="00733479" w:rsidRDefault="00000000">
      <w:r>
        <w:t>"A post speculates about Trump making a Truth Social post that could affect the S&amp;P 500, discussed on r/stocks."</w:t>
      </w:r>
    </w:p>
    <w:p w14:paraId="561566F0" w14:textId="77777777" w:rsidR="00733479" w:rsidRDefault="00000000">
      <w:r>
        <w:t>"Barclays' opinion that the 'Trump put' is fading was posted on r/stocks."</w:t>
      </w:r>
    </w:p>
    <w:p w14:paraId="0E1AE360" w14:textId="77777777" w:rsidR="00733479" w:rsidRDefault="00000000">
      <w:r>
        <w:t>"Cramer shared his game plan and opinion on oil shock and tech stocks on CNBC."</w:t>
      </w:r>
    </w:p>
    <w:p w14:paraId="389199B7" w14:textId="77777777" w:rsidR="00733479" w:rsidRDefault="00000000">
      <w:r>
        <w:t>"Morgan Stanley sent a clear message on semiconductor stocks after a selloff, as reported by thestreet.com."</w:t>
      </w:r>
    </w:p>
    <w:p w14:paraId="44C2D207" w14:textId="77777777" w:rsidR="00733479" w:rsidRDefault="00000000">
      <w:r>
        <w:t>"Yahoo Finance published an article about an analyst signaling caution amid demand concerns for Advanced Micro Devices."</w:t>
      </w:r>
    </w:p>
    <w:p w14:paraId="01003A80" w14:textId="77777777" w:rsidR="00733479" w:rsidRDefault="00000000">
      <w:r>
        <w:t>"Meyka published an update on G7 Hormuz push affecting oil and stocks."</w:t>
      </w:r>
    </w:p>
    <w:p w14:paraId="00D0FFD2" w14:textId="77777777" w:rsidR="00733479" w:rsidRDefault="00000000">
      <w:r>
        <w:t>"Trump Team examines the impact of oil at $200 a barrel, as reported by bloomberg.com."</w:t>
      </w:r>
    </w:p>
    <w:p w14:paraId="6CF2BB0F" w14:textId="77777777" w:rsidR="00733479" w:rsidRDefault="00000000">
      <w:r>
        <w:t>"seekingalpha.com reports that Treasury yields spiked to multi-month highs as the 10-year tops 4.48%."</w:t>
      </w:r>
    </w:p>
    <w:p w14:paraId="36FF1463" w14:textId="77777777" w:rsidR="00733479" w:rsidRDefault="00000000">
      <w:r>
        <w:t>"Goldman projects $110 average oil price for March–April."</w:t>
      </w:r>
    </w:p>
    <w:p w14:paraId="72BDF4B3" w14:textId="77777777" w:rsidR="00733479" w:rsidRDefault="00000000">
      <w:r>
        <w:t>"thestreet.com reported that Wells Fargo resets gold price target for the rest of 2026."</w:t>
      </w:r>
    </w:p>
    <w:p w14:paraId="7C6175F4" w14:textId="77777777" w:rsidR="00733479" w:rsidRDefault="00000000">
      <w:r>
        <w:t>"digitimes reported on the US advancing a chip tracking mandate after a smuggling case, which is related to Nvidia and export controls."</w:t>
      </w:r>
    </w:p>
    <w:p w14:paraId="41F7064E" w14:textId="77777777" w:rsidR="00733479" w:rsidRDefault="00000000">
      <w:r>
        <w:t>"South China Morning Post reported on China's chip exports surging due to AI demand, which is related to Nvidia and the semiconductor industry."</w:t>
      </w:r>
    </w:p>
    <w:p w14:paraId="3CB9B122" w14:textId="77777777" w:rsidR="00733479" w:rsidRDefault="00000000">
      <w:r>
        <w:rPr>
          <w:b/>
        </w:rPr>
        <w:t>Options Market Signals and Sentiment Divergence</w:t>
      </w:r>
    </w:p>
    <w:p w14:paraId="3ACD342D" w14:textId="77777777" w:rsidR="00733479" w:rsidRDefault="00000000">
      <w:r>
        <w:t>Options market activity is a major point of debate and disagreement. Institutional hedging desks point to “high volume, put/call skew, or large block trades in S&amp;P 500 and tech options as signs of hedging for negative tail risk.” Retail sentiment is “strongly bullish” on meme and AI names, with “YOLO trades and narrative” dominating, while institutions are “much more focused on hedging downside risk, taking profits, and rotating into value names or underappreciated sectors like energy.”</w:t>
      </w:r>
    </w:p>
    <w:p w14:paraId="6D577F7B" w14:textId="77777777" w:rsidR="00733479" w:rsidRDefault="00000000">
      <w:r>
        <w:t>“Retail investors remain highly constructive on certain momentum-driven names and thematic ETFs, often ignoring fundamental or valuation risks. In contrast, institutional flows have become more defensive, emphasizing quality, liquidity, and macro-hedged exposures.” (Global Hedge Fund)</w:t>
      </w:r>
    </w:p>
    <w:p w14:paraId="50C2896B" w14:textId="77777777" w:rsidR="00733479" w:rsidRDefault="00000000">
      <w:r>
        <w:t>“The biggest divergence in sentiment between retail and institutions is showing up in meme stocks and speculative tech. Retail traders are still chasing short squeezes and piling into names like GameStop or AMC, buoyed by nostalgia and viral FOMO, while institutional flows are dialing back risk and focusing on profitability and fundamentals.” (Retail Trading Community)</w:t>
      </w:r>
    </w:p>
    <w:p w14:paraId="521EB1C0" w14:textId="77777777" w:rsidR="00733479" w:rsidRDefault="00000000">
      <w:r>
        <w:rPr>
          <w:b/>
        </w:rPr>
        <w:t>Oil, Gold, and Treasury Yields: Second-Order Effects</w:t>
      </w:r>
    </w:p>
    <w:p w14:paraId="7E95F175" w14:textId="77777777" w:rsidR="00733479" w:rsidRDefault="00000000">
      <w:r>
        <w:t>Energy analysts and macro strategists highlight the “interplay between ‘AI productivity gains’ and concerns about stretched valuations in the technology sector,” but also warn that “an unexpected escalation of conflict in a major oil-producing region… could provoke a swift spike in energy prices and weigh on risk assets globally.”</w:t>
      </w:r>
    </w:p>
    <w:p w14:paraId="595D061F" w14:textId="77777777" w:rsidR="00733479" w:rsidRDefault="00000000">
      <w:r>
        <w:t>"Goldman projects $110 average oil price for March–April."</w:t>
      </w:r>
    </w:p>
    <w:p w14:paraId="60C0AD66" w14:textId="77777777" w:rsidR="00733479" w:rsidRDefault="00000000">
      <w:r>
        <w:t>"Meyka published an update on G7 Hormuz push affecting oil and stocks."</w:t>
      </w:r>
    </w:p>
    <w:p w14:paraId="5AC90F99" w14:textId="77777777" w:rsidR="00733479" w:rsidRDefault="00000000">
      <w:r>
        <w:t>"seekingalpha.com reports that Treasury yields spiked to multi-month highs as the 10-year tops 4.48%."</w:t>
      </w:r>
    </w:p>
    <w:p w14:paraId="6E684FD9" w14:textId="77777777" w:rsidR="00733479" w:rsidRDefault="00000000">
      <w:r>
        <w:t>"thestreet.com reported that Wells Fargo resets gold price target for the rest of 2026."</w:t>
      </w:r>
    </w:p>
    <w:p w14:paraId="32CC2DEC" w14:textId="77777777" w:rsidR="00733479" w:rsidRDefault="00000000">
      <w:r>
        <w:t>There is disagreement on whether higher oil and yields will trigger a rotation out of tech and into value or defensives, or whether “AI names will remain resilient even as macro headwinds intensify.”</w:t>
      </w:r>
    </w:p>
    <w:p w14:paraId="5E0A7466" w14:textId="77777777" w:rsidR="00733479" w:rsidRDefault="00000000">
      <w:r>
        <w:rPr>
          <w:b/>
        </w:rPr>
        <w:t>Political and Geopolitical Catalysts</w:t>
      </w:r>
    </w:p>
    <w:p w14:paraId="522059B3" w14:textId="77777777" w:rsidR="00733479" w:rsidRDefault="00000000">
      <w:r>
        <w:t>Political commentators and macro strategists are sharply divided on the risk from overnight political headlines. Some argue that “a post speculates about Trump making a Truth Social post that could affect the S&amp;P 500,” while others warn that “a key risk event that could surprise markets in the next 24 hours is an unexpected escalation in a geopolitical hotspot—such as sudden developments in the Middle East or a dramatic statement from a major central bank official.”</w:t>
      </w:r>
    </w:p>
    <w:p w14:paraId="3E1E1067" w14:textId="77777777" w:rsidR="00733479" w:rsidRDefault="00000000">
      <w:r>
        <w:t>“Barclays' opinion that the 'Trump put' is fading was posted on r/stocks.”</w:t>
      </w:r>
    </w:p>
    <w:p w14:paraId="22681A3C" w14:textId="77777777" w:rsidR="00733479" w:rsidRDefault="00000000">
      <w:r>
        <w:t>"Thailand's negotiation with Iran to use the Strait of Hormuz was posted on r/worldnews."</w:t>
      </w:r>
    </w:p>
    <w:p w14:paraId="0EC328F8" w14:textId="77777777" w:rsidR="00733479" w:rsidRDefault="00000000">
      <w:r>
        <w:t>"Fortune published an opinion on weaker demand for US debt amid the Iran war."</w:t>
      </w:r>
    </w:p>
    <w:p w14:paraId="70077C45" w14:textId="77777777" w:rsidR="00733479" w:rsidRDefault="00000000">
      <w:r>
        <w:t>"r/geopolitics posted about the costs and benefits of the war for America in relation to Iran."</w:t>
      </w:r>
    </w:p>
    <w:p w14:paraId="6A375C86" w14:textId="77777777" w:rsidR="00733479" w:rsidRDefault="00000000">
      <w:r>
        <w:t>"A post on r/geopolitics reports that the Pentagon is preparing for weeks of ground operations in Iran, citing the Washington Post."</w:t>
      </w:r>
    </w:p>
    <w:p w14:paraId="68E56B73" w14:textId="77777777" w:rsidR="00733479" w:rsidRDefault="00000000">
      <w:r>
        <w:t>"Yahoo Finance provided live updates on the Federal Reserve's decision to keep interest rates steady and forecast a rate cut in 2026."</w:t>
      </w:r>
    </w:p>
    <w:p w14:paraId="445814C3" w14:textId="77777777" w:rsidR="00733479" w:rsidRDefault="00000000">
      <w:r>
        <w:rPr>
          <w:b/>
        </w:rPr>
        <w:t>Narrative Shifts and Scenario Evolution</w:t>
      </w:r>
    </w:p>
    <w:p w14:paraId="02214B98" w14:textId="77777777" w:rsidR="00733479" w:rsidRDefault="00000000">
      <w:r>
        <w:t>The most likely narrative shift is from “soft landing certainty” to renewed anxiety over inflation, policy error, or geopolitical shock. Some agents expect a pivot toward “the sustainability of AI-driven growth and the real-world commercial adoption of advanced technologies,” while others warn the focus could revert to “higher for longer” rates and the risk of a “policy mistake.”</w:t>
      </w:r>
    </w:p>
    <w:p w14:paraId="525DB606" w14:textId="77777777" w:rsidR="00733479" w:rsidRDefault="00000000">
      <w:r>
        <w:t>“The next notable narrative shift is likely to be driven by changes in expectations around Federal Reserve policy, specifically any indications regarding the timing of rate cuts or adjustments in response to evolving inflation data.” (Bank of America)</w:t>
      </w:r>
    </w:p>
    <w:p w14:paraId="701CD9AC" w14:textId="77777777" w:rsidR="00733479" w:rsidRDefault="00000000">
      <w:r>
        <w:t>“If market participants start pricing in a reacceleration of inflation or push out rate cut expectations due to updated Fed language, this could prompt rotations across asset classes and sectors, particularly growth versus value.” (Institutional Hedging)</w:t>
      </w:r>
    </w:p>
    <w:p w14:paraId="1DD795FF" w14:textId="77777777" w:rsidR="00733479" w:rsidRDefault="00000000">
      <w:r>
        <w:t>“The next big narrative shift will likely center on inflation expectations and any central bank jawboning about future rate cuts. If a Fed speaker hints at dovishness or economic prints come in soft, animal spirits will take over and meme stocks could rip across the board.” (Retail Community)</w:t>
      </w:r>
    </w:p>
    <w:p w14:paraId="72A20A83" w14:textId="77777777" w:rsidR="00733479" w:rsidRDefault="00000000">
      <w:r>
        <w:rPr>
          <w:b/>
        </w:rPr>
        <w:t>Summary of Disagreement and Debate</w:t>
      </w:r>
    </w:p>
    <w:p w14:paraId="4D7A2A3E" w14:textId="77777777" w:rsidR="00733479" w:rsidRDefault="00000000">
      <w:pPr>
        <w:pStyle w:val="ListBullet"/>
      </w:pPr>
      <w:r>
        <w:t>Institutional and macro agents expect a moderate, range-bound session but are alert for tail risks and downside volatility.</w:t>
      </w:r>
    </w:p>
    <w:p w14:paraId="62B36084" w14:textId="77777777" w:rsidR="00733479" w:rsidRDefault="00000000">
      <w:pPr>
        <w:pStyle w:val="ListBullet"/>
      </w:pPr>
      <w:r>
        <w:t>Retail and meme traders are primed for sudden narrative shifts and are heavily concentrated in NVDA and speculative tech, with options activity amplifying moves.</w:t>
      </w:r>
    </w:p>
    <w:p w14:paraId="168A998C" w14:textId="77777777" w:rsidR="00733479" w:rsidRDefault="00000000">
      <w:pPr>
        <w:pStyle w:val="ListBullet"/>
      </w:pPr>
      <w:r>
        <w:t>Political, macro, and sector rotation catalysts (oil, gold, yields, geopolitical headlines) are seen as wildcards that could rapidly flip dominant narratives.</w:t>
      </w:r>
    </w:p>
    <w:p w14:paraId="5E31516C" w14:textId="77777777" w:rsidR="00733479" w:rsidRDefault="00000000">
      <w:pPr>
        <w:pStyle w:val="ListBullet"/>
      </w:pPr>
      <w:r>
        <w:t>There is no consensus on whether AI/tech will remain market leaders or if macro headwinds will trigger a defensive rotation.</w:t>
      </w:r>
    </w:p>
    <w:p w14:paraId="250D739A" w14:textId="77777777" w:rsidR="00733479" w:rsidRDefault="00000000">
      <w:pPr>
        <w:pStyle w:val="ListBullet"/>
      </w:pPr>
      <w:r>
        <w:t>The options market, political news, and commodities are all seen as key levers for outsized moves and sentiment whiplash.</w:t>
      </w:r>
    </w:p>
    <w:p w14:paraId="1018ACD8" w14:textId="77777777" w:rsidR="00733479" w:rsidRDefault="00000000">
      <w:r>
        <w:t>This future scenario reflects a simulated market on edge: consensus on stability, but with deep undercurrents of disagreement and readiness for rapid narrative reversals driven by exogenous shocks or unexpected data.</w:t>
      </w:r>
    </w:p>
    <w:p w14:paraId="1DABA267" w14:textId="77777777" w:rsidR="00733479" w:rsidRDefault="00000000">
      <w:pPr>
        <w:pStyle w:val="Heading2"/>
      </w:pPr>
      <w:r>
        <w:t>Sentiment Divergence, Options Signals, and Key Risks</w:t>
      </w:r>
    </w:p>
    <w:p w14:paraId="5C820B47" w14:textId="77777777" w:rsidR="00733479" w:rsidRDefault="00000000">
      <w:r>
        <w:rPr>
          <w:b/>
        </w:rPr>
        <w:t>Sentiment Divergence: Retail vs Institutional</w:t>
      </w:r>
    </w:p>
    <w:p w14:paraId="03F79609" w14:textId="77777777" w:rsidR="00733479" w:rsidRDefault="00000000">
      <w:r>
        <w:t>Simulation agents consistently predict a sharp divergence in sentiment between retail and institutional traders for 2026-03-30, especially across high-profile tech tickers. Retail participants, heavily influenced by momentum, memes, and social media, are seen as “more reactionary, driven by momentum, memes, and viral stories, leading to wild swings in optimism and pessimism.” In contrast, institutional agents emphasize “broader macro data, fundamental analysis, and longer-term strategies,” resulting in more measured and sometimes contrarian positioning.</w:t>
      </w:r>
    </w:p>
    <w:p w14:paraId="4C4398AE" w14:textId="77777777" w:rsidR="00733479" w:rsidRDefault="00000000">
      <w:r>
        <w:t>“Retail traders may be more influenced by momentum, social media buzz, and recent price action, while institutional traders typically rely on deeper analysis, proprietary research, and a broader macro perspective.”</w:t>
      </w:r>
    </w:p>
    <w:p w14:paraId="58453B01" w14:textId="77777777" w:rsidR="00733479" w:rsidRDefault="00000000">
      <w:r>
        <w:t>“Retail-driven surges or panics can sometimes be seen as overextended by the pros, who might take the other side of those moves.”</w:t>
      </w:r>
    </w:p>
    <w:p w14:paraId="72F56F80" w14:textId="77777777" w:rsidR="00733479" w:rsidRDefault="00000000">
      <w:r>
        <w:t>“When retail is bullish and institutions are scaling back, it points to differing time horizons—retail often chases momentum, while institutions hedge and rotate based on macro data and valuations.”</w:t>
      </w:r>
    </w:p>
    <w:p w14:paraId="4CC36F0B" w14:textId="77777777" w:rsidR="00733479" w:rsidRDefault="00000000">
      <w:r>
        <w:t>This divergence is predicted to create volatility, particularly around event-driven catalysts. Institutional voices warn that “heavy retail participation in momentum trades could exacerbate corrections if sentiment turns,” while others see opportunity in interpreting sentiment extremes.</w:t>
      </w:r>
    </w:p>
    <w:p w14:paraId="0087E845" w14:textId="77777777" w:rsidR="00733479" w:rsidRDefault="00000000">
      <w:r>
        <w:rPr>
          <w:b/>
        </w:rPr>
        <w:t>Options Market Signals: Unusual Activity and Skew</w:t>
      </w:r>
    </w:p>
    <w:p w14:paraId="78E6486C" w14:textId="77777777" w:rsidR="00733479" w:rsidRDefault="00000000">
      <w:r>
        <w:t>Options markets are expected to be a focal point for both retail and institutional agents. Simulated debates highlight that NVDA, AMD, and MSFT are drawing the most attention for outsized options activity, with retail traders “YOLO’ing” into short-dated contracts and institutions watching implied volatility and skew for hedging flows.</w:t>
      </w:r>
    </w:p>
    <w:p w14:paraId="357561A1" w14:textId="77777777" w:rsidR="00733479" w:rsidRDefault="00000000">
      <w:r>
        <w:t>“For NVDA, AAPL, and similar tech tickers, I am prioritizing options market signals such as implied volatility, put/call ratios, and open interest at key strike prices ahead of tomorrow.”</w:t>
      </w:r>
    </w:p>
    <w:p w14:paraId="732F2F3B" w14:textId="77777777" w:rsidR="00733479" w:rsidRDefault="00000000">
      <w:r>
        <w:t>“Unusual volume—especially on short-dated, weekly contracts—can flag where retail sentiment is piling in with YOLO trades. I’m also on the lookout for large institutional block trades that could signal a big player positioning for or against an expected catalyst.”</w:t>
      </w:r>
    </w:p>
    <w:p w14:paraId="7433F127" w14:textId="77777777" w:rsidR="00733479" w:rsidRDefault="00000000">
      <w:r>
        <w:t>“High upside call activity and elevated IV may signal speculative optimism, while heavy put buying or protective put spreads can indicate risk aversion among larger players. Notably, a steepening volatility skew in out-of-the-money puts reflects increasing demand for downside protection.”</w:t>
      </w:r>
    </w:p>
    <w:p w14:paraId="07B755A4" w14:textId="77777777" w:rsidR="00733479" w:rsidRDefault="00000000">
      <w:r>
        <w:t>Simulation data confirms that NVDA and AMD are seeing the most unusual options activity, with “elevated implied volatility,” “heavy accumulation of out-of-the-money options,” and “skewed put/call ratios” ahead of macro and regulatory catalysts. MSFT is also highlighted for “high volume in downside puts” as agents debate the risk of negative earnings surprises.</w:t>
      </w:r>
    </w:p>
    <w:p w14:paraId="1F5D1A6B" w14:textId="77777777" w:rsidR="00733479" w:rsidRDefault="00000000">
      <w:r>
        <w:t>For the less-discussed tickers:</w:t>
      </w:r>
      <w:r>
        <w:br/>
        <w:t xml:space="preserve"> - </w:t>
      </w:r>
      <w:r>
        <w:rPr>
          <w:b/>
        </w:rPr>
        <w:t>ORCL</w:t>
      </w:r>
      <w:r>
        <w:t xml:space="preserve"> is under scrutiny due to “Oracle's stock dividend being under threat amid an AI push,” which is driving options activity and a defensive put skew.</w:t>
      </w:r>
      <w:r>
        <w:br/>
        <w:t xml:space="preserve"> - </w:t>
      </w:r>
      <w:r>
        <w:rPr>
          <w:b/>
        </w:rPr>
        <w:t>QCOM</w:t>
      </w:r>
      <w:r>
        <w:t xml:space="preserve"> is the subject of valuation debate after “Qualcomm's valuation after its recent share price weakness,” potentially leading to increased hedging flows.</w:t>
      </w:r>
      <w:r>
        <w:br/>
        <w:t xml:space="preserve"> - </w:t>
      </w:r>
      <w:r>
        <w:rPr>
          <w:b/>
        </w:rPr>
        <w:t>MU</w:t>
      </w:r>
      <w:r>
        <w:t xml:space="preserve"> faces sentiment headwinds after “Alphabet delivering unfortunate news for Micron stock investors,” supporting a tilt toward downside protection in the options market.</w:t>
      </w:r>
      <w:r>
        <w:br/>
        <w:t xml:space="preserve"> - </w:t>
      </w:r>
      <w:r>
        <w:rPr>
          <w:b/>
        </w:rPr>
        <w:t>AVGO</w:t>
      </w:r>
      <w:r>
        <w:t xml:space="preserve"> is indirectly in focus due to “Meta's demand for custom AI ASICs, such as MTIA, making it a primary beneficiary for Broadcom Inc.'s components,” which could drive speculative activity in calls.</w:t>
      </w:r>
    </w:p>
    <w:p w14:paraId="51CB4A4B" w14:textId="77777777" w:rsidR="00733479" w:rsidRDefault="00000000">
      <w:r>
        <w:rPr>
          <w:b/>
        </w:rPr>
        <w:t>Key Risk Events in the Next 24 Hours</w:t>
      </w:r>
    </w:p>
    <w:p w14:paraId="7EEE0DC3" w14:textId="77777777" w:rsidR="00733479" w:rsidRDefault="00000000">
      <w:r>
        <w:t>Agents are intensely focused on a cluster of macro, policy, and sector-specific risks for 2026-03-30:</w:t>
      </w:r>
    </w:p>
    <w:p w14:paraId="0D92EEF9" w14:textId="77777777" w:rsidR="00733479" w:rsidRDefault="00000000">
      <w:pPr>
        <w:pStyle w:val="ListBullet"/>
      </w:pPr>
      <w:r>
        <w:rPr>
          <w:b/>
        </w:rPr>
        <w:t>Macro &amp; Fed:</w:t>
      </w:r>
      <w:r>
        <w:t xml:space="preserve"> </w:t>
      </w:r>
      <w:r>
        <w:br/>
        <w:t>“Yahoo Finance provided live updates on the Federal Reserve's decision to keep interest rates steady and forecast a rate cut in 2026.”</w:t>
      </w:r>
      <w:r>
        <w:br/>
        <w:t xml:space="preserve"> “CNBC recapped the Fed meeting, quoting Powell on inflation and reporting traders' reactions to the Fed's decision.”</w:t>
      </w:r>
      <w:r>
        <w:br/>
        <w:t xml:space="preserve"> “seekingalpha.com reports that Treasury yields spiked to multi-month highs as the 10-year tops 4.48%.”</w:t>
      </w:r>
    </w:p>
    <w:p w14:paraId="58E686F8" w14:textId="77777777" w:rsidR="00733479" w:rsidRDefault="00000000">
      <w:r>
        <w:t>Treasury yield volatility and Fed communication are top of mind, with agents flagging that “rising yields can weigh on tech valuations due to discount rate effects.”</w:t>
      </w:r>
    </w:p>
    <w:p w14:paraId="1ED4C0FF" w14:textId="77777777" w:rsidR="00733479" w:rsidRDefault="00000000">
      <w:pPr>
        <w:pStyle w:val="ListBullet"/>
      </w:pPr>
      <w:r>
        <w:rPr>
          <w:b/>
        </w:rPr>
        <w:t>Geopolitical &amp; Commodity Shocks:</w:t>
      </w:r>
      <w:r>
        <w:t xml:space="preserve"> </w:t>
      </w:r>
      <w:r>
        <w:br/>
        <w:t>“Meyka published an update on G7 Hormuz push affecting oil and stocks.”</w:t>
      </w:r>
      <w:r>
        <w:br/>
        <w:t xml:space="preserve"> “Trump Team examines the impact of oil at $200 a barrel.”</w:t>
      </w:r>
      <w:r>
        <w:br/>
        <w:t xml:space="preserve"> “Goldman projects $110 average oil price for March–April.”</w:t>
      </w:r>
    </w:p>
    <w:p w14:paraId="62FCB580" w14:textId="77777777" w:rsidR="00733479" w:rsidRDefault="00000000">
      <w:r>
        <w:t>Oil price shocks and Middle East tensions are seen as high-probability volatility triggers, with energy analysts and macro strategists warning of “rotation out of tech and into defensives if oil surges.”</w:t>
      </w:r>
    </w:p>
    <w:p w14:paraId="13CBD88D" w14:textId="77777777" w:rsidR="00733479" w:rsidRDefault="00000000">
      <w:pPr>
        <w:pStyle w:val="ListBullet"/>
      </w:pPr>
      <w:r>
        <w:rPr>
          <w:b/>
        </w:rPr>
        <w:t>Regulatory &amp; Sector-Specific:</w:t>
      </w:r>
      <w:r>
        <w:t xml:space="preserve"> </w:t>
      </w:r>
      <w:r>
        <w:br/>
        <w:t>“digitimes reported on the US advancing a chip tracking mandate after a smuggling case, which is related to Nvidia and export controls.”</w:t>
      </w:r>
      <w:r>
        <w:br/>
        <w:t xml:space="preserve"> “Yahoo Finance published an article discussing how the Chip Security Act puts AMD export controls and valuation in focus.”</w:t>
      </w:r>
      <w:r>
        <w:br/>
        <w:t xml:space="preserve"> “FinTech Weekly published an article on U.S.–China chip tensions and conditional Nvidia exports.”</w:t>
      </w:r>
      <w:r>
        <w:br/>
        <w:t xml:space="preserve"> “CNBC published a piece about Nvidia and the White House regarding chip export limits.”</w:t>
      </w:r>
    </w:p>
    <w:p w14:paraId="0E3F6607" w14:textId="77777777" w:rsidR="00733479" w:rsidRDefault="00000000">
      <w:r>
        <w:t>The semiconductor sector is on edge over U.S.–China export controls, with NVDA and AMD singled out as most exposed to headline risk and options-driven swings.</w:t>
      </w:r>
    </w:p>
    <w:p w14:paraId="3139D4FD" w14:textId="77777777" w:rsidR="00733479" w:rsidRDefault="00000000">
      <w:pPr>
        <w:pStyle w:val="ListBullet"/>
      </w:pPr>
      <w:r>
        <w:rPr>
          <w:b/>
        </w:rPr>
        <w:t>Earnings &amp; Guidance:</w:t>
      </w:r>
      <w:r>
        <w:t xml:space="preserve"> </w:t>
      </w:r>
      <w:r>
        <w:br/>
        <w:t>“Investors are demanding evidence from Meta that Llama models, Meta AI, and smart glasses generate incremental revenue.”</w:t>
      </w:r>
      <w:r>
        <w:br/>
        <w:t xml:space="preserve"> “r/wallstreetbets posted about Microsoft being set for its worst quarter since 2008 as AI impacts the company.”</w:t>
      </w:r>
      <w:r>
        <w:br/>
        <w:t xml:space="preserve"> “A post on r/stocks discusses MSFT as a quality company at 52 week lows.”</w:t>
      </w:r>
      <w:r>
        <w:br/>
        <w:t xml:space="preserve"> “thestreet.com published an article about Oracle's stock dividend being under threat amid an AI push.”</w:t>
      </w:r>
    </w:p>
    <w:p w14:paraId="12ACBB77" w14:textId="77777777" w:rsidR="00733479" w:rsidRDefault="00000000">
      <w:r>
        <w:t>Agents expect that any surprise guidance or AI-related commentary from mega-cap techs could rapidly shift sentiment and options flows.</w:t>
      </w:r>
    </w:p>
    <w:p w14:paraId="07A077A3" w14:textId="77777777" w:rsidR="00733479" w:rsidRDefault="00000000">
      <w:r>
        <w:rPr>
          <w:b/>
        </w:rPr>
        <w:t>Divergence in Risk Prioritization</w:t>
      </w:r>
    </w:p>
    <w:p w14:paraId="321A4C8E" w14:textId="77777777" w:rsidR="00733479" w:rsidRDefault="00000000">
      <w:r>
        <w:t>Institutional agents are generally more focused on “unexpected macro data, regulatory announcements affecting the sector, or company-specific developments such as earnings pre-announcements or guidance changes,” while retail traders are “watching for meme stock chatter or a viral Reddit DD post” that could spark a squeeze or dump. Macro strategists and risk managers emphasize “deploying tail hedges and dynamic options overlays to dampen downside risk while maintaining adequate liquidity for rapid response.”</w:t>
      </w:r>
    </w:p>
    <w:p w14:paraId="35F7C119" w14:textId="77777777" w:rsidR="00733479" w:rsidRDefault="00000000">
      <w:r>
        <w:rPr>
          <w:b/>
        </w:rPr>
        <w:t>Second-Order Effects: Oil, Gold, and Treasury Yields</w:t>
      </w:r>
    </w:p>
    <w:p w14:paraId="7CB7A9EE" w14:textId="77777777" w:rsidR="00733479" w:rsidRDefault="00000000">
      <w:r>
        <w:t>“Rising oil prices can stoke inflation concerns, which may lead to higher yields and pressure high-valuation tech names. Conversely, falling yields often benefit tech stocks by lowering discount rates and improving risk appetite. Gold movements can signal broader risk-on or risk-off sentiment, providing additional context for sector positioning and market sentiment.”</w:t>
      </w:r>
    </w:p>
    <w:p w14:paraId="2CFF051A" w14:textId="77777777" w:rsidR="00733479" w:rsidRDefault="00000000">
      <w:r>
        <w:t>Energy and macro agents debate whether oil shocks or yield spikes will force a rotation out of tech, with gold acting as a barometer for risk aversion.</w:t>
      </w:r>
    </w:p>
    <w:p w14:paraId="4E7370AA" w14:textId="77777777" w:rsidR="00733479" w:rsidRDefault="00000000">
      <w:r>
        <w:rPr>
          <w:b/>
        </w:rPr>
        <w:t>Disagreement and Narrative Shifts</w:t>
      </w:r>
    </w:p>
    <w:p w14:paraId="3DB608C4" w14:textId="77777777" w:rsidR="00733479" w:rsidRDefault="00000000">
      <w:r>
        <w:t>There is no consensus on whether options-driven volatility will create opportunity or risk. Some agents see “heavy call activity as a sign of speculative optimism,” while others interpret “steep put skew as a warning of downside hedging.” A major narrative shift is expected if “Fed commentary or macro data surprises,” or if a “new regulatory headline or meme-driven surge pivots sentiment overnight.”</w:t>
      </w:r>
    </w:p>
    <w:p w14:paraId="0B7B2D55" w14:textId="77777777" w:rsidR="00733479" w:rsidRDefault="00000000">
      <w:r>
        <w:rPr>
          <w:b/>
        </w:rPr>
        <w:t>Key Quotes Illustrating Simulation Debates</w:t>
      </w:r>
    </w:p>
    <w:p w14:paraId="0F86DF76" w14:textId="77777777" w:rsidR="00733479" w:rsidRDefault="00000000">
      <w:r>
        <w:t>“Unusual activity in out-of-the-money puts or calls, as well as sharp movements in implied volatility, are particularly significant for anticipating potential price swings or market hedging activity.”</w:t>
      </w:r>
    </w:p>
    <w:p w14:paraId="44377394" w14:textId="77777777" w:rsidR="00733479" w:rsidRDefault="00000000">
      <w:r>
        <w:t>“The biggest risks over the next 24 hours are unexpected news events—earnings surprises, guidance changes, regulatory headlines—or macro shocks like sudden moves in rates or geopolitical tensions.”</w:t>
      </w:r>
    </w:p>
    <w:p w14:paraId="1E59DA12" w14:textId="77777777" w:rsidR="00733479" w:rsidRDefault="00000000">
      <w:r>
        <w:t>“I’m anticipating narrative shifts around AI hype continuing, especially with NVDA still treated as the market's shiny object, but watch out for Fed-watching or negative macro headlines hijacking the script.”</w:t>
      </w:r>
    </w:p>
    <w:p w14:paraId="780FAE31" w14:textId="77777777" w:rsidR="00733479" w:rsidRDefault="00000000">
      <w:r>
        <w:t>“High implied volatility, especially versus realized volatility, is often a warning that the market expects big, possibly binary moves—so it’s my early warning radar.”</w:t>
      </w:r>
    </w:p>
    <w:p w14:paraId="0C9A7CD9" w14:textId="77777777" w:rsidR="00733479" w:rsidRDefault="00000000">
      <w:r>
        <w:t>“Tomorrow’s trading action could be driven by a shift in the AI narrative—if, for example, there’s news about regulatory scrutiny in the US or overseas, or a major customer comes out with strong or weak commentary on demand.”</w:t>
      </w:r>
    </w:p>
    <w:p w14:paraId="1DB44BA7" w14:textId="77777777" w:rsidR="00733479" w:rsidRDefault="00000000">
      <w:r>
        <w:rPr>
          <w:b/>
        </w:rPr>
        <w:t>Conclusion</w:t>
      </w:r>
    </w:p>
    <w:p w14:paraId="28C70FB3" w14:textId="77777777" w:rsidR="00733479" w:rsidRDefault="00000000">
      <w:r>
        <w:t>The simulation predicts a volatile trading day for 2026-03-30, with sentiment divergence, options market extremes, and headline-driven risk events converging to create both opportunity and danger. The debate between retail exuberance and institutional caution, amplified by options flows and macro crosscurrents, is set to define the session’s tone—with narrative pivots likely to occur on any surprise from the Fed, geopolitics, or tech sector news.</w:t>
      </w:r>
    </w:p>
    <w:p w14:paraId="77B20B2F" w14:textId="77777777" w:rsidR="00733479" w:rsidRDefault="00000000">
      <w:pPr>
        <w:pStyle w:val="Heading2"/>
      </w:pPr>
      <w:r>
        <w:t>Emergent Trends and Narrative Shifts</w:t>
      </w:r>
    </w:p>
    <w:p w14:paraId="0463FD05" w14:textId="77777777" w:rsidR="00733479" w:rsidRDefault="00000000">
      <w:r>
        <w:rPr>
          <w:b/>
        </w:rPr>
        <w:t>Macro-to-Micro Narrative Shifts and the Rise of Regulatory Risk</w:t>
      </w:r>
    </w:p>
    <w:p w14:paraId="0AEE4E5C" w14:textId="77777777" w:rsidR="00733479" w:rsidRDefault="00000000">
      <w:r>
        <w:t xml:space="preserve">Simulation data reveals a decisive evolution in dominant narratives as markets approach 2026-03-30. The initial macro focus—centered on Federal Reserve signals, inflation data, and global growth—has begun to fragment, with agents increasingly attentive to sector-specific and regulatory catalysts. Institutional and retail participants alike are now debating not just the direction of the S&amp;P 500, but the </w:t>
      </w:r>
      <w:r>
        <w:rPr>
          <w:i/>
        </w:rPr>
        <w:t>drivers</w:t>
      </w:r>
      <w:r>
        <w:t xml:space="preserve"> of volatility and dispersion within its constituents.</w:t>
      </w:r>
    </w:p>
    <w:p w14:paraId="7340D2F8" w14:textId="77777777" w:rsidR="00733479" w:rsidRDefault="00000000">
      <w:r>
        <w:t>"Tomorrow’s dominant narrative is likely to center around interpretations of the latest economic releases—such as inflation data or employment reports—and their impact on monetary policy expectations. Recent market dynamics indicate a heightened sensitivity to signals from the Federal Reserve, as well as commentary from major institutional analysts, which collectively drive both short-term sentiment and longer-term positioning." (sp_500_169)</w:t>
      </w:r>
    </w:p>
    <w:p w14:paraId="18EA731A" w14:textId="77777777" w:rsidR="00733479" w:rsidRDefault="00000000">
      <w:r>
        <w:t>However, the panorama of simulation events highlights a pronounced regulatory undertone emerging overnight. Reports of “Supermicro being accused of smuggling Nvidia chips and servers to China,” “a hefty fine imposed on a U.S. Company for illegal exports of semiconductor equipment to Chinese Mainland,” and “digitimes reported on the US advancing a chip tracking mandate after a smuggling case, which is related to Nvidia and export controls,” are fueling debate about the durability of the AI chip cycle and the risk of abrupt policy shocks.</w:t>
      </w:r>
    </w:p>
    <w:p w14:paraId="754E5B6C" w14:textId="77777777" w:rsidR="00733479" w:rsidRDefault="00000000">
      <w:r>
        <w:rPr>
          <w:b/>
        </w:rPr>
        <w:t>AI and Semiconductor Narrative Intensifies</w:t>
      </w:r>
    </w:p>
    <w:p w14:paraId="5A163A2A" w14:textId="77777777" w:rsidR="00733479" w:rsidRDefault="00000000">
      <w:r>
        <w:t>The simulation demonstrates that Nvidia (NVDA) remains the epicenter of volatility and narrative contestation. Multiple agents, across both institutional and retail spheres, cite Nvidia’s “pivotal role in AI development and robust earnings momentum” as the key reason it is “the main character of the AI hype cycle.” There is a consensus that “any new guidance, partnership news, or sector rotation could amplify volatility, given Nvidia’s elevated valuation and its outsized influence on related ETFs and the S&amp;P 500 itself.” (rstocks_560)</w:t>
      </w:r>
    </w:p>
    <w:p w14:paraId="21C247BC" w14:textId="77777777" w:rsidR="00733479" w:rsidRDefault="00000000">
      <w:r>
        <w:t>"Among technology tickers, NVIDIA currently stands out as having the potential for the most significant move. This expectation is based on its centrality in AI infrastructure, consistent upside surprises in recent earnings, and strong institutional flows, as highlighted in our collaborative analysis with financial media. Nevertheless, regulatory scrutiny and global supply chain considerations remain material risks that could influence magnitude and direction." (bofa_224)</w:t>
      </w:r>
    </w:p>
    <w:p w14:paraId="3546AF0B" w14:textId="77777777" w:rsidR="00733479" w:rsidRDefault="00000000">
      <w:r>
        <w:t>The narrative is rapidly evolving from “AI optimism” to “AI execution risk,” as agents weigh export controls, supply chain disruptions, and the prospect of black market activity against continued demand for AI hardware. The emergence of “chip material prices doubling as a result of the Middle East conflict and China's gallium export ban” (Tom's Hardware) and “Meta's demand for custom AI ASICs...makes it a primary beneficiary for Broadcom Inc.'s components” further illustrates how supply chain and demand-side stories are converging to drive sector dispersion.</w:t>
      </w:r>
    </w:p>
    <w:p w14:paraId="73B6183A" w14:textId="77777777" w:rsidR="00733479" w:rsidRDefault="00000000">
      <w:r>
        <w:rPr>
          <w:b/>
        </w:rPr>
        <w:t>Retail-Driven Meme Cycles vs. Institutional Caution</w:t>
      </w:r>
    </w:p>
    <w:p w14:paraId="2BCC641B" w14:textId="77777777" w:rsidR="00733479" w:rsidRDefault="00000000">
      <w:r>
        <w:t>Retail sentiment, as captured by r/wallstreetbets and similar forums, is predicted to remain “way more risk-on and meme-driven, with lots of YOLOing into high-beta names and squeeze plays, even when institutions are starting to hedge or de-risk.” (unknown_reddit_user_1_318) The divergence is stark:</w:t>
      </w:r>
    </w:p>
    <w:p w14:paraId="5B291D06" w14:textId="77777777" w:rsidR="00733479" w:rsidRDefault="00000000">
      <w:r>
        <w:t>"Retail is still trying to send it for tendies, while the pros are quietly bracing for air pockets."</w:t>
      </w:r>
    </w:p>
    <w:p w14:paraId="534B5861" w14:textId="77777777" w:rsidR="00733479" w:rsidRDefault="00000000">
      <w:r>
        <w:t>"The r/wallstreetbets crew just wants some action and dopamine, regardless."</w:t>
      </w:r>
    </w:p>
    <w:p w14:paraId="0C8A5BFB" w14:textId="77777777" w:rsidR="00733479" w:rsidRDefault="00000000">
      <w:r>
        <w:t>Institutional agents, in contrast, are “incrementally more measured and risk-aware, focusing on fundamental analysis, hedging, and maintaining portfolio resilience against macro and sector-specific shocks.” (bofa_224) This divergence is expected to “result in elevated volatility and short-term mispricings,” particularly as options market signals remain “off the charts” in NVDA and AMD.</w:t>
      </w:r>
    </w:p>
    <w:p w14:paraId="32F75E63" w14:textId="77777777" w:rsidR="00733479" w:rsidRDefault="00000000">
      <w:r>
        <w:rPr>
          <w:b/>
        </w:rPr>
        <w:t>Geopolitical and Commodity-Driven Volatility Feedback Loops</w:t>
      </w:r>
    </w:p>
    <w:p w14:paraId="56ECCA44" w14:textId="77777777" w:rsidR="00733479" w:rsidRDefault="00000000">
      <w:r>
        <w:t>The simulation panorama underscores the feedback loop between geopolitical events, commodity prices, and equity narratives. “Meyka published an update on G7 Hormuz push affecting oil and stocks,” while “Tom's Hardware reports on chip material prices doubling as a result of the Middle East conflict and China's gallium export ban.” These developments are feeding into both inflation expectations and the sector rotation debate, with agents warning that “any escalation in conflicts that could affect energy supplies” or “surprise macroeconomic data releases” may “shift market expectations around interest rates and growth prospects.” (energy_333)</w:t>
      </w:r>
    </w:p>
    <w:p w14:paraId="5518656C" w14:textId="77777777" w:rsidR="00733479" w:rsidRDefault="00000000">
      <w:r>
        <w:rPr>
          <w:b/>
        </w:rPr>
        <w:t>Options Market as a Narrative Amplifier</w:t>
      </w:r>
    </w:p>
    <w:p w14:paraId="23F7CE75" w14:textId="77777777" w:rsidR="00733479" w:rsidRDefault="00000000">
      <w:r>
        <w:t>Options activity is not just a risk signal but a narrative amplifier. NVDA, AMD, and MSFT are “drawing the most attention for outsized options activity, with retail traders YOLO’ing into short-dated contracts and institutions watching implied volatility and skew for hedging flows.” (see prior sections) The options market is now a central venue for sentiment expression and rapid narrative shifts, especially around regulatory or earnings catalysts.</w:t>
      </w:r>
    </w:p>
    <w:p w14:paraId="74B81965" w14:textId="77777777" w:rsidR="00733479" w:rsidRDefault="00000000">
      <w:r>
        <w:rPr>
          <w:b/>
        </w:rPr>
        <w:t>Emergent “Dark Horse” Narratives and Sector Dispersion</w:t>
      </w:r>
    </w:p>
    <w:p w14:paraId="55B32F0D" w14:textId="77777777" w:rsidR="00733479" w:rsidRDefault="00000000">
      <w:r>
        <w:t>New “dark horse” narratives are surfacing. Broadcom (AVGO) and Qualcomm (QCOM) are gaining attention due to “Meta's demand for custom AI ASICs” and “QCOM and AAPL...cited as sources regarding the emerging memory shortage.” Oracle (ORCL) is under scrutiny as “Oracle's stock dividend being under threat amid an AI push,” and Micron (MU) faces sentiment headwinds after “Alphabet delivering unfortunate news for Micron stock investors.” These tickers illustrate the broadening of the narrative from mega-cap AI to supply chain, memory, and hardware bottlenecks.</w:t>
      </w:r>
    </w:p>
    <w:p w14:paraId="5620ED33" w14:textId="77777777" w:rsidR="00733479" w:rsidRDefault="00000000">
      <w:r>
        <w:rPr>
          <w:b/>
        </w:rPr>
        <w:t>Summary of Most Likely Narrative Shift</w:t>
      </w:r>
    </w:p>
    <w:p w14:paraId="48389172" w14:textId="77777777" w:rsidR="00733479" w:rsidRDefault="00000000">
      <w:r>
        <w:t>The most likely narrative shift predicted by the simulation is from a “macro-dominated, soft landing” debate to a more fragmented, sector-by-sector risk assessment—driven by regulatory headlines, AI execution risk, and geopolitical supply chain shocks. The “Fed Uncertainty” theme persists, but the center of gravity is moving toward “AI cycle sustainability,” “export control risk,” and “options-driven volatility.” As one agent puts it:</w:t>
      </w:r>
    </w:p>
    <w:p w14:paraId="3D30AD0A" w14:textId="77777777" w:rsidR="00733479" w:rsidRDefault="00000000">
      <w:r>
        <w:t>“Tomorrow’s market sentiment will likely be dominated by the narrative of 'AI-driven productivity gains' versus 'macro uncertainty.' Investors are increasingly focused on tangible evidence of how artificial intelligence and automation are impacting earnings and operating margins across S&amp;P 500 constituents.” (cathie_wood_373)</w:t>
      </w:r>
    </w:p>
    <w:p w14:paraId="0F6B1E52" w14:textId="77777777" w:rsidR="00733479" w:rsidRDefault="00000000">
      <w:r>
        <w:rPr>
          <w:b/>
        </w:rPr>
        <w:t>Key Evidence of Narrative Evolution</w:t>
      </w:r>
    </w:p>
    <w:p w14:paraId="1B76E06C" w14:textId="77777777" w:rsidR="00733479" w:rsidRDefault="00000000">
      <w:pPr>
        <w:pStyle w:val="ListBullet"/>
      </w:pPr>
      <w:r>
        <w:t>"Supermicro being accused of smuggling Nvidia chips and servers to China and previously with Iran."</w:t>
      </w:r>
    </w:p>
    <w:p w14:paraId="3A8C3E4A" w14:textId="77777777" w:rsidR="00733479" w:rsidRDefault="00000000">
      <w:pPr>
        <w:pStyle w:val="ListBullet"/>
      </w:pPr>
      <w:r>
        <w:t>"digitimes reported on the US advancing a chip tracking mandate after a smuggling case, which is related to Nvidia and export controls."</w:t>
      </w:r>
    </w:p>
    <w:p w14:paraId="313E796C" w14:textId="77777777" w:rsidR="00733479" w:rsidRDefault="00000000">
      <w:pPr>
        <w:pStyle w:val="ListBullet"/>
      </w:pPr>
      <w:r>
        <w:t>"Yahoo Finance published an article discussing how the Chip Security Act puts AMD export controls and valuation in focus."</w:t>
      </w:r>
    </w:p>
    <w:p w14:paraId="44C4E439" w14:textId="77777777" w:rsidR="00733479" w:rsidRDefault="00000000">
      <w:pPr>
        <w:pStyle w:val="ListBullet"/>
      </w:pPr>
      <w:r>
        <w:t>"Meta's demand for custom AI ASICs, such as MTIA, makes it a primary beneficiary for Broadcom Inc.'s components."</w:t>
      </w:r>
    </w:p>
    <w:p w14:paraId="50743D31" w14:textId="77777777" w:rsidR="00733479" w:rsidRDefault="00000000">
      <w:pPr>
        <w:pStyle w:val="ListBullet"/>
      </w:pPr>
      <w:r>
        <w:t>"QCOM and AAPL are both cited as sources regarding the emerging memory shortage."</w:t>
      </w:r>
    </w:p>
    <w:p w14:paraId="165C5C84" w14:textId="77777777" w:rsidR="00733479" w:rsidRDefault="00000000">
      <w:pPr>
        <w:pStyle w:val="ListBullet"/>
      </w:pPr>
      <w:r>
        <w:t>"Tom's Hardware reports on chip material prices doubling as a result of the Middle East conflict and China's gallium export ban, affecting chipmaking materials."</w:t>
      </w:r>
    </w:p>
    <w:p w14:paraId="7055F404" w14:textId="77777777" w:rsidR="00733479" w:rsidRDefault="00000000">
      <w:pPr>
        <w:pStyle w:val="ListBullet"/>
      </w:pPr>
      <w:r>
        <w:t>"r/wallstreetbets posted about Microsoft being set for its worst quarter since 2008 as AI impacts the company."</w:t>
      </w:r>
    </w:p>
    <w:p w14:paraId="2C7F22E8" w14:textId="77777777" w:rsidR="00733479" w:rsidRDefault="00000000">
      <w:pPr>
        <w:pStyle w:val="ListBullet"/>
      </w:pPr>
      <w:r>
        <w:t>"Investors are demanding evidence from Meta that Llama models, Meta AI, and smart glasses generate incremental revenue."</w:t>
      </w:r>
    </w:p>
    <w:p w14:paraId="246AF5E0" w14:textId="77777777" w:rsidR="00733479" w:rsidRDefault="00000000">
      <w:r>
        <w:t>In sum, the simulated future for 2026-03-30 is one where the narrative center is shifting rapidly from broad macro optimism to a more fractured, risk-aware, and sector-specific debate—driven by regulatory shocks, AI execution scrutiny, and the amplification effects of options market activity. Retail and institutional divergence is set to fuel volatility, with new “dark horse” stories emerging from supply chain and hardware bottleneck concerns.</w:t>
      </w:r>
    </w:p>
    <w:sectPr w:rsidR="00733479" w:rsidSect="00034616">
      <w:headerReference w:type="even" r:id="rId8"/>
      <w:headerReference w:type="default" r:id="rId9"/>
      <w:footerReference w:type="even" r:id="rId10"/>
      <w:footerReference w:type="default" r:id="rId11"/>
      <w:headerReference w:type="first" r:id="rId12"/>
      <w:footerReference w:type="first" r:id="rId13"/>
      <w:pgSz w:w="15840" w:h="12240" w:orient="landscape"/>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2F563" w14:textId="77777777" w:rsidR="009F3EC8" w:rsidRDefault="009F3EC8" w:rsidP="000B255A">
      <w:pPr>
        <w:spacing w:after="0" w:line="240" w:lineRule="auto"/>
      </w:pPr>
      <w:r>
        <w:separator/>
      </w:r>
    </w:p>
  </w:endnote>
  <w:endnote w:type="continuationSeparator" w:id="0">
    <w:p w14:paraId="620F070C" w14:textId="77777777" w:rsidR="009F3EC8" w:rsidRDefault="009F3EC8" w:rsidP="000B2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C34E" w14:textId="7023DAC7" w:rsidR="000B255A" w:rsidRDefault="000B255A">
    <w:pPr>
      <w:pStyle w:val="Footer"/>
    </w:pPr>
    <w:r>
      <w:rPr>
        <w:noProof/>
      </w:rPr>
      <mc:AlternateContent>
        <mc:Choice Requires="wps">
          <w:drawing>
            <wp:anchor distT="0" distB="0" distL="0" distR="0" simplePos="0" relativeHeight="251668480" behindDoc="0" locked="0" layoutInCell="1" allowOverlap="1" wp14:anchorId="2A8D016D" wp14:editId="49262F32">
              <wp:simplePos x="635" y="635"/>
              <wp:positionH relativeFrom="page">
                <wp:align>left</wp:align>
              </wp:positionH>
              <wp:positionV relativeFrom="page">
                <wp:align>bottom</wp:align>
              </wp:positionV>
              <wp:extent cx="741680" cy="321945"/>
              <wp:effectExtent l="0" t="0" r="7620" b="0"/>
              <wp:wrapNone/>
              <wp:docPr id="673862143" name="Text Box 11" descr="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1680" cy="321945"/>
                      </a:xfrm>
                      <a:prstGeom prst="rect">
                        <a:avLst/>
                      </a:prstGeom>
                      <a:noFill/>
                      <a:ln>
                        <a:noFill/>
                      </a:ln>
                    </wps:spPr>
                    <wps:txbx>
                      <w:txbxContent>
                        <w:p w14:paraId="0758E213" w14:textId="77E5B1C4" w:rsidR="000B255A" w:rsidRPr="000B255A" w:rsidRDefault="000B255A" w:rsidP="000B255A">
                          <w:pPr>
                            <w:spacing w:after="0"/>
                            <w:rPr>
                              <w:rFonts w:ascii="Aptos" w:eastAsia="Aptos" w:hAnsi="Aptos" w:cs="Aptos"/>
                              <w:noProof/>
                              <w:color w:val="FF0000"/>
                              <w:sz w:val="14"/>
                              <w:szCs w:val="14"/>
                            </w:rPr>
                          </w:pPr>
                          <w:r w:rsidRPr="000B255A">
                            <w:rPr>
                              <w:rFonts w:ascii="Aptos" w:eastAsia="Aptos" w:hAnsi="Aptos" w:cs="Aptos"/>
                              <w:noProof/>
                              <w:color w:val="FF0000"/>
                              <w:sz w:val="14"/>
                              <w:szCs w:val="14"/>
                            </w:rPr>
                            <w:t xml:space="preserve">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8D016D" id="_x0000_t202" coordsize="21600,21600" o:spt="202" path="m,l,21600r21600,l21600,xe">
              <v:stroke joinstyle="miter"/>
              <v:path gradientshapeok="t" o:connecttype="rect"/>
            </v:shapetype>
            <v:shape id="Text Box 11" o:spid="_x0000_s1028" type="#_x0000_t202" alt="RESTRICTED " style="position:absolute;margin-left:0;margin-top:0;width:58.4pt;height:25.3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" filled="f" stroked="f">
              <v:fill o:detectmouseclick="t"/>
              <v:textbox style="mso-fit-shape-to-text:t" inset="20pt,0,0,15pt">
                <w:txbxContent>
                  <w:p w14:paraId="0758E213" w14:textId="77E5B1C4" w:rsidR="000B255A" w:rsidRPr="000B255A" w:rsidRDefault="000B255A" w:rsidP="000B255A">
                    <w:pPr>
                      <w:spacing w:after="0"/>
                      <w:rPr>
                        <w:rFonts w:ascii="Aptos" w:eastAsia="Aptos" w:hAnsi="Aptos" w:cs="Aptos"/>
                        <w:noProof/>
                        <w:color w:val="FF0000"/>
                        <w:sz w:val="14"/>
                        <w:szCs w:val="14"/>
                      </w:rPr>
                    </w:pPr>
                    <w:r w:rsidRPr="000B255A">
                      <w:rPr>
                        <w:rFonts w:ascii="Aptos" w:eastAsia="Aptos" w:hAnsi="Aptos" w:cs="Aptos"/>
                        <w:noProof/>
                        <w:color w:val="FF0000"/>
                        <w:sz w:val="14"/>
                        <w:szCs w:val="14"/>
                      </w:rPr>
                      <w:t xml:space="preserve">RESTRICTED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A48E" w14:textId="27BBB0B3" w:rsidR="000B255A" w:rsidRDefault="000B255A">
    <w:pPr>
      <w:pStyle w:val="Footer"/>
    </w:pPr>
    <w:r>
      <w:rPr>
        <w:noProof/>
      </w:rPr>
      <mc:AlternateContent>
        <mc:Choice Requires="wps">
          <w:drawing>
            <wp:anchor distT="0" distB="0" distL="0" distR="0" simplePos="0" relativeHeight="251669504" behindDoc="0" locked="0" layoutInCell="1" allowOverlap="1" wp14:anchorId="6676924D" wp14:editId="6BD3CAD6">
              <wp:simplePos x="635" y="635"/>
              <wp:positionH relativeFrom="page">
                <wp:align>left</wp:align>
              </wp:positionH>
              <wp:positionV relativeFrom="page">
                <wp:align>bottom</wp:align>
              </wp:positionV>
              <wp:extent cx="741680" cy="321945"/>
              <wp:effectExtent l="0" t="0" r="7620" b="0"/>
              <wp:wrapNone/>
              <wp:docPr id="1512240814" name="Text Box 12" descr="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1680" cy="321945"/>
                      </a:xfrm>
                      <a:prstGeom prst="rect">
                        <a:avLst/>
                      </a:prstGeom>
                      <a:noFill/>
                      <a:ln>
                        <a:noFill/>
                      </a:ln>
                    </wps:spPr>
                    <wps:txbx>
                      <w:txbxContent>
                        <w:p w14:paraId="7D9F4A97" w14:textId="62FD8F58" w:rsidR="000B255A" w:rsidRPr="000B255A" w:rsidRDefault="000B255A" w:rsidP="000B255A">
                          <w:pPr>
                            <w:spacing w:after="0"/>
                            <w:rPr>
                              <w:rFonts w:ascii="Aptos" w:eastAsia="Aptos" w:hAnsi="Aptos" w:cs="Aptos"/>
                              <w:noProof/>
                              <w:color w:val="FF0000"/>
                              <w:sz w:val="14"/>
                              <w:szCs w:val="14"/>
                            </w:rPr>
                          </w:pPr>
                          <w:r w:rsidRPr="000B255A">
                            <w:rPr>
                              <w:rFonts w:ascii="Aptos" w:eastAsia="Aptos" w:hAnsi="Aptos" w:cs="Aptos"/>
                              <w:noProof/>
                              <w:color w:val="FF0000"/>
                              <w:sz w:val="14"/>
                              <w:szCs w:val="14"/>
                            </w:rPr>
                            <w:t xml:space="preserve">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76924D" id="_x0000_t202" coordsize="21600,21600" o:spt="202" path="m,l,21600r21600,l21600,xe">
              <v:stroke joinstyle="miter"/>
              <v:path gradientshapeok="t" o:connecttype="rect"/>
            </v:shapetype>
            <v:shape id="Text Box 12" o:spid="_x0000_s1029" type="#_x0000_t202" alt="RESTRICTED " style="position:absolute;margin-left:0;margin-top:0;width:58.4pt;height:25.35pt;z-index:2516695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" filled="f" stroked="f">
              <v:fill o:detectmouseclick="t"/>
              <v:textbox style="mso-fit-shape-to-text:t" inset="20pt,0,0,15pt">
                <w:txbxContent>
                  <w:p w14:paraId="7D9F4A97" w14:textId="62FD8F58" w:rsidR="000B255A" w:rsidRPr="000B255A" w:rsidRDefault="000B255A" w:rsidP="000B255A">
                    <w:pPr>
                      <w:spacing w:after="0"/>
                      <w:rPr>
                        <w:rFonts w:ascii="Aptos" w:eastAsia="Aptos" w:hAnsi="Aptos" w:cs="Aptos"/>
                        <w:noProof/>
                        <w:color w:val="FF0000"/>
                        <w:sz w:val="14"/>
                        <w:szCs w:val="14"/>
                      </w:rPr>
                    </w:pPr>
                    <w:r w:rsidRPr="000B255A">
                      <w:rPr>
                        <w:rFonts w:ascii="Aptos" w:eastAsia="Aptos" w:hAnsi="Aptos" w:cs="Aptos"/>
                        <w:noProof/>
                        <w:color w:val="FF0000"/>
                        <w:sz w:val="14"/>
                        <w:szCs w:val="14"/>
                      </w:rPr>
                      <w:t xml:space="preserve">RESTRICTED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1A90F" w14:textId="23305A26" w:rsidR="000B255A" w:rsidRDefault="000B255A">
    <w:pPr>
      <w:pStyle w:val="Footer"/>
    </w:pPr>
    <w:r>
      <w:rPr>
        <w:noProof/>
      </w:rPr>
      <mc:AlternateContent>
        <mc:Choice Requires="wps">
          <w:drawing>
            <wp:anchor distT="0" distB="0" distL="0" distR="0" simplePos="0" relativeHeight="251667456" behindDoc="0" locked="0" layoutInCell="1" allowOverlap="1" wp14:anchorId="10FF2080" wp14:editId="2932B14F">
              <wp:simplePos x="635" y="635"/>
              <wp:positionH relativeFrom="page">
                <wp:align>left</wp:align>
              </wp:positionH>
              <wp:positionV relativeFrom="page">
                <wp:align>bottom</wp:align>
              </wp:positionV>
              <wp:extent cx="741680" cy="321945"/>
              <wp:effectExtent l="0" t="0" r="7620" b="0"/>
              <wp:wrapNone/>
              <wp:docPr id="353939356" name="Text Box 10" descr="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1680" cy="321945"/>
                      </a:xfrm>
                      <a:prstGeom prst="rect">
                        <a:avLst/>
                      </a:prstGeom>
                      <a:noFill/>
                      <a:ln>
                        <a:noFill/>
                      </a:ln>
                    </wps:spPr>
                    <wps:txbx>
                      <w:txbxContent>
                        <w:p w14:paraId="44DADCF5" w14:textId="1B5B78F3" w:rsidR="000B255A" w:rsidRPr="000B255A" w:rsidRDefault="000B255A" w:rsidP="000B255A">
                          <w:pPr>
                            <w:spacing w:after="0"/>
                            <w:rPr>
                              <w:rFonts w:ascii="Aptos" w:eastAsia="Aptos" w:hAnsi="Aptos" w:cs="Aptos"/>
                              <w:noProof/>
                              <w:color w:val="FF0000"/>
                              <w:sz w:val="14"/>
                              <w:szCs w:val="14"/>
                            </w:rPr>
                          </w:pPr>
                          <w:r w:rsidRPr="000B255A">
                            <w:rPr>
                              <w:rFonts w:ascii="Aptos" w:eastAsia="Aptos" w:hAnsi="Aptos" w:cs="Aptos"/>
                              <w:noProof/>
                              <w:color w:val="FF0000"/>
                              <w:sz w:val="14"/>
                              <w:szCs w:val="14"/>
                            </w:rPr>
                            <w:t xml:space="preserve">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FF2080" id="_x0000_t202" coordsize="21600,21600" o:spt="202" path="m,l,21600r21600,l21600,xe">
              <v:stroke joinstyle="miter"/>
              <v:path gradientshapeok="t" o:connecttype="rect"/>
            </v:shapetype>
            <v:shape id="Text Box 10" o:spid="_x0000_s1031" type="#_x0000_t202" alt="RESTRICTED " style="position:absolute;margin-left:0;margin-top:0;width:58.4pt;height:25.3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" filled="f" stroked="f">
              <v:fill o:detectmouseclick="t"/>
              <v:textbox style="mso-fit-shape-to-text:t" inset="20pt,0,0,15pt">
                <w:txbxContent>
                  <w:p w14:paraId="44DADCF5" w14:textId="1B5B78F3" w:rsidR="000B255A" w:rsidRPr="000B255A" w:rsidRDefault="000B255A" w:rsidP="000B255A">
                    <w:pPr>
                      <w:spacing w:after="0"/>
                      <w:rPr>
                        <w:rFonts w:ascii="Aptos" w:eastAsia="Aptos" w:hAnsi="Aptos" w:cs="Aptos"/>
                        <w:noProof/>
                        <w:color w:val="FF0000"/>
                        <w:sz w:val="14"/>
                        <w:szCs w:val="14"/>
                      </w:rPr>
                    </w:pPr>
                    <w:r w:rsidRPr="000B255A">
                      <w:rPr>
                        <w:rFonts w:ascii="Aptos" w:eastAsia="Aptos" w:hAnsi="Aptos" w:cs="Aptos"/>
                        <w:noProof/>
                        <w:color w:val="FF0000"/>
                        <w:sz w:val="14"/>
                        <w:szCs w:val="14"/>
                      </w:rPr>
                      <w:t xml:space="preserve">RESTRICTED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DE81" w14:textId="77777777" w:rsidR="009F3EC8" w:rsidRDefault="009F3EC8" w:rsidP="000B255A">
      <w:pPr>
        <w:spacing w:after="0" w:line="240" w:lineRule="auto"/>
      </w:pPr>
      <w:r>
        <w:separator/>
      </w:r>
    </w:p>
  </w:footnote>
  <w:footnote w:type="continuationSeparator" w:id="0">
    <w:p w14:paraId="007A9936" w14:textId="77777777" w:rsidR="009F3EC8" w:rsidRDefault="009F3EC8" w:rsidP="000B25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7869" w14:textId="6E952D81" w:rsidR="000B255A" w:rsidRDefault="000B255A">
    <w:pPr>
      <w:pStyle w:val="Header"/>
    </w:pPr>
    <w:r>
      <w:rPr>
        <w:noProof/>
      </w:rPr>
      <mc:AlternateContent>
        <mc:Choice Requires="wps">
          <w:drawing>
            <wp:anchor distT="0" distB="0" distL="0" distR="0" simplePos="0" relativeHeight="251665408" behindDoc="0" locked="0" layoutInCell="1" allowOverlap="1" wp14:anchorId="6BFF9124" wp14:editId="01A703D1">
              <wp:simplePos x="635" y="635"/>
              <wp:positionH relativeFrom="page">
                <wp:align>left</wp:align>
              </wp:positionH>
              <wp:positionV relativeFrom="page">
                <wp:align>top</wp:align>
              </wp:positionV>
              <wp:extent cx="272415" cy="321945"/>
              <wp:effectExtent l="0" t="0" r="6985" b="8255"/>
              <wp:wrapNone/>
              <wp:docPr id="2106794490" name="Text Box 8"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2415" cy="321945"/>
                      </a:xfrm>
                      <a:prstGeom prst="rect">
                        <a:avLst/>
                      </a:prstGeom>
                      <a:noFill/>
                      <a:ln>
                        <a:noFill/>
                      </a:ln>
                    </wps:spPr>
                    <wps:txbx>
                      <w:txbxContent>
                        <w:p w14:paraId="529CFB5F" w14:textId="6B64456C" w:rsidR="000B255A" w:rsidRPr="000B255A" w:rsidRDefault="000B255A" w:rsidP="000B255A">
                          <w:pPr>
                            <w:spacing w:after="0"/>
                            <w:rPr>
                              <w:rFonts w:ascii="Aptos" w:eastAsia="Aptos" w:hAnsi="Aptos" w:cs="Aptos"/>
                              <w:noProof/>
                              <w:color w:val="FF0000"/>
                              <w:sz w:val="14"/>
                              <w:szCs w:val="14"/>
                            </w:rPr>
                          </w:pPr>
                          <w:r w:rsidRPr="000B255A">
                            <w:rPr>
                              <w:rFonts w:ascii="Aptos" w:eastAsia="Aptos" w:hAnsi="Aptos" w:cs="Aptos"/>
                              <w:noProof/>
                              <w:color w:val="FF0000"/>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BFF9124" id="_x0000_t202" coordsize="21600,21600" o:spt="202" path="m,l,21600r21600,l21600,xe">
              <v:stroke joinstyle="miter"/>
              <v:path gradientshapeok="t" o:connecttype="rect"/>
            </v:shapetype>
            <v:shape id="Text Box 8" o:spid="_x0000_s1026" type="#_x0000_t202" alt=" " style="position:absolute;margin-left:0;margin-top:0;width:21.45pt;height:25.35pt;z-index:25166540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" filled="f" stroked="f">
              <v:fill o:detectmouseclick="t"/>
              <v:textbox style="mso-fit-shape-to-text:t" inset="20pt,15pt,0,0">
                <w:txbxContent>
                  <w:p w14:paraId="529CFB5F" w14:textId="6B64456C" w:rsidR="000B255A" w:rsidRPr="000B255A" w:rsidRDefault="000B255A" w:rsidP="000B255A">
                    <w:pPr>
                      <w:spacing w:after="0"/>
                      <w:rPr>
                        <w:rFonts w:ascii="Aptos" w:eastAsia="Aptos" w:hAnsi="Aptos" w:cs="Aptos"/>
                        <w:noProof/>
                        <w:color w:val="FF0000"/>
                        <w:sz w:val="14"/>
                        <w:szCs w:val="14"/>
                      </w:rPr>
                    </w:pPr>
                    <w:r w:rsidRPr="000B255A">
                      <w:rPr>
                        <w:rFonts w:ascii="Aptos" w:eastAsia="Aptos" w:hAnsi="Aptos" w:cs="Aptos"/>
                        <w:noProof/>
                        <w:color w:val="FF0000"/>
                        <w:sz w:val="14"/>
                        <w:szCs w:val="14"/>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515AD" w14:textId="58EE5010" w:rsidR="000B255A" w:rsidRDefault="000B255A">
    <w:pPr>
      <w:pStyle w:val="Header"/>
    </w:pPr>
    <w:r>
      <w:rPr>
        <w:noProof/>
      </w:rPr>
      <mc:AlternateContent>
        <mc:Choice Requires="wps">
          <w:drawing>
            <wp:anchor distT="0" distB="0" distL="0" distR="0" simplePos="0" relativeHeight="251666432" behindDoc="0" locked="0" layoutInCell="1" allowOverlap="1" wp14:anchorId="49826CB9" wp14:editId="239949C1">
              <wp:simplePos x="635" y="635"/>
              <wp:positionH relativeFrom="page">
                <wp:align>left</wp:align>
              </wp:positionH>
              <wp:positionV relativeFrom="page">
                <wp:align>top</wp:align>
              </wp:positionV>
              <wp:extent cx="272415" cy="321945"/>
              <wp:effectExtent l="0" t="0" r="6985" b="8255"/>
              <wp:wrapNone/>
              <wp:docPr id="1712402168" name="Text Box 9"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2415" cy="321945"/>
                      </a:xfrm>
                      <a:prstGeom prst="rect">
                        <a:avLst/>
                      </a:prstGeom>
                      <a:noFill/>
                      <a:ln>
                        <a:noFill/>
                      </a:ln>
                    </wps:spPr>
                    <wps:txbx>
                      <w:txbxContent>
                        <w:p w14:paraId="1544DF93" w14:textId="0E41D08A" w:rsidR="000B255A" w:rsidRPr="000B255A" w:rsidRDefault="000B255A" w:rsidP="000B255A">
                          <w:pPr>
                            <w:spacing w:after="0"/>
                            <w:rPr>
                              <w:rFonts w:ascii="Aptos" w:eastAsia="Aptos" w:hAnsi="Aptos" w:cs="Aptos"/>
                              <w:noProof/>
                              <w:color w:val="FF0000"/>
                              <w:sz w:val="14"/>
                              <w:szCs w:val="14"/>
                            </w:rPr>
                          </w:pPr>
                          <w:r w:rsidRPr="000B255A">
                            <w:rPr>
                              <w:rFonts w:ascii="Aptos" w:eastAsia="Aptos" w:hAnsi="Aptos" w:cs="Aptos"/>
                              <w:noProof/>
                              <w:color w:val="FF0000"/>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9826CB9" id="_x0000_t202" coordsize="21600,21600" o:spt="202" path="m,l,21600r21600,l21600,xe">
              <v:stroke joinstyle="miter"/>
              <v:path gradientshapeok="t" o:connecttype="rect"/>
            </v:shapetype>
            <v:shape id="Text Box 9" o:spid="_x0000_s1027" type="#_x0000_t202" alt=" " style="position:absolute;margin-left:0;margin-top:0;width:21.45pt;height:25.35pt;z-index:25166643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" filled="f" stroked="f">
              <v:fill o:detectmouseclick="t"/>
              <v:textbox style="mso-fit-shape-to-text:t" inset="20pt,15pt,0,0">
                <w:txbxContent>
                  <w:p w14:paraId="1544DF93" w14:textId="0E41D08A" w:rsidR="000B255A" w:rsidRPr="000B255A" w:rsidRDefault="000B255A" w:rsidP="000B255A">
                    <w:pPr>
                      <w:spacing w:after="0"/>
                      <w:rPr>
                        <w:rFonts w:ascii="Aptos" w:eastAsia="Aptos" w:hAnsi="Aptos" w:cs="Aptos"/>
                        <w:noProof/>
                        <w:color w:val="FF0000"/>
                        <w:sz w:val="14"/>
                        <w:szCs w:val="14"/>
                      </w:rPr>
                    </w:pPr>
                    <w:r w:rsidRPr="000B255A">
                      <w:rPr>
                        <w:rFonts w:ascii="Aptos" w:eastAsia="Aptos" w:hAnsi="Aptos" w:cs="Aptos"/>
                        <w:noProof/>
                        <w:color w:val="FF0000"/>
                        <w:sz w:val="14"/>
                        <w:szCs w:val="14"/>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667AA" w14:textId="5A444C96" w:rsidR="000B255A" w:rsidRDefault="000B255A">
    <w:pPr>
      <w:pStyle w:val="Header"/>
    </w:pPr>
    <w:r>
      <w:rPr>
        <w:noProof/>
      </w:rPr>
      <mc:AlternateContent>
        <mc:Choice Requires="wps">
          <w:drawing>
            <wp:anchor distT="0" distB="0" distL="0" distR="0" simplePos="0" relativeHeight="251664384" behindDoc="0" locked="0" layoutInCell="1" allowOverlap="1" wp14:anchorId="093B0F35" wp14:editId="6B5D116A">
              <wp:simplePos x="635" y="635"/>
              <wp:positionH relativeFrom="page">
                <wp:align>left</wp:align>
              </wp:positionH>
              <wp:positionV relativeFrom="page">
                <wp:align>top</wp:align>
              </wp:positionV>
              <wp:extent cx="272415" cy="321945"/>
              <wp:effectExtent l="0" t="0" r="6985" b="8255"/>
              <wp:wrapNone/>
              <wp:docPr id="1744918481" name="Text Box 7"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2415" cy="321945"/>
                      </a:xfrm>
                      <a:prstGeom prst="rect">
                        <a:avLst/>
                      </a:prstGeom>
                      <a:noFill/>
                      <a:ln>
                        <a:noFill/>
                      </a:ln>
                    </wps:spPr>
                    <wps:txbx>
                      <w:txbxContent>
                        <w:p w14:paraId="0A476B92" w14:textId="70F668CC" w:rsidR="000B255A" w:rsidRPr="000B255A" w:rsidRDefault="000B255A" w:rsidP="000B255A">
                          <w:pPr>
                            <w:spacing w:after="0"/>
                            <w:rPr>
                              <w:rFonts w:ascii="Aptos" w:eastAsia="Aptos" w:hAnsi="Aptos" w:cs="Aptos"/>
                              <w:noProof/>
                              <w:color w:val="FF0000"/>
                              <w:sz w:val="14"/>
                              <w:szCs w:val="14"/>
                            </w:rPr>
                          </w:pPr>
                          <w:r w:rsidRPr="000B255A">
                            <w:rPr>
                              <w:rFonts w:ascii="Aptos" w:eastAsia="Aptos" w:hAnsi="Aptos" w:cs="Aptos"/>
                              <w:noProof/>
                              <w:color w:val="FF0000"/>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93B0F35" id="_x0000_t202" coordsize="21600,21600" o:spt="202" path="m,l,21600r21600,l21600,xe">
              <v:stroke joinstyle="miter"/>
              <v:path gradientshapeok="t" o:connecttype="rect"/>
            </v:shapetype>
            <v:shape id="Text Box 7" o:spid="_x0000_s1030" type="#_x0000_t202" alt=" " style="position:absolute;margin-left:0;margin-top:0;width:21.45pt;height:25.35pt;z-index:2516643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" filled="f" stroked="f">
              <v:fill o:detectmouseclick="t"/>
              <v:textbox style="mso-fit-shape-to-text:t" inset="20pt,15pt,0,0">
                <w:txbxContent>
                  <w:p w14:paraId="0A476B92" w14:textId="70F668CC" w:rsidR="000B255A" w:rsidRPr="000B255A" w:rsidRDefault="000B255A" w:rsidP="000B255A">
                    <w:pPr>
                      <w:spacing w:after="0"/>
                      <w:rPr>
                        <w:rFonts w:ascii="Aptos" w:eastAsia="Aptos" w:hAnsi="Aptos" w:cs="Aptos"/>
                        <w:noProof/>
                        <w:color w:val="FF0000"/>
                        <w:sz w:val="14"/>
                        <w:szCs w:val="14"/>
                      </w:rPr>
                    </w:pPr>
                    <w:r w:rsidRPr="000B255A">
                      <w:rPr>
                        <w:rFonts w:ascii="Aptos" w:eastAsia="Aptos" w:hAnsi="Aptos" w:cs="Aptos"/>
                        <w:noProof/>
                        <w:color w:val="FF0000"/>
                        <w:sz w:val="14"/>
                        <w:szCs w:val="14"/>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9371737">
    <w:abstractNumId w:val="8"/>
  </w:num>
  <w:num w:numId="2" w16cid:durableId="1714037546">
    <w:abstractNumId w:val="6"/>
  </w:num>
  <w:num w:numId="3" w16cid:durableId="881131913">
    <w:abstractNumId w:val="5"/>
  </w:num>
  <w:num w:numId="4" w16cid:durableId="536699446">
    <w:abstractNumId w:val="4"/>
  </w:num>
  <w:num w:numId="5" w16cid:durableId="292711069">
    <w:abstractNumId w:val="7"/>
  </w:num>
  <w:num w:numId="6" w16cid:durableId="915745359">
    <w:abstractNumId w:val="3"/>
  </w:num>
  <w:num w:numId="7" w16cid:durableId="682438461">
    <w:abstractNumId w:val="2"/>
  </w:num>
  <w:num w:numId="8" w16cid:durableId="1093473629">
    <w:abstractNumId w:val="1"/>
  </w:num>
  <w:num w:numId="9" w16cid:durableId="839927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55A"/>
    <w:rsid w:val="0015074B"/>
    <w:rsid w:val="0029639D"/>
    <w:rsid w:val="00326F90"/>
    <w:rsid w:val="00733479"/>
    <w:rsid w:val="009F3EC8"/>
    <w:rsid w:val="00AA1D8D"/>
    <w:rsid w:val="00B47730"/>
    <w:rsid w:val="00CB0664"/>
    <w:rsid w:val="00E27F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41BF0"/>
  <w14:defaultImageDpi w14:val="300"/>
  <w15:docId w15:val="{6650B654-7B21-064B-94F9-15AA9DA3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5272</Words>
  <Characters>30473</Characters>
  <Application>Microsoft Office Word</Application>
  <DocSecurity>0</DocSecurity>
  <Lines>491</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python-docx</dc:creator>
  <cp:keywords/>
  <dc:description>generated by python-docx</dc:description>
  <cp:lastModifiedBy>Anup Roy</cp:lastModifiedBy>
  <cp:revision>2</cp:revision>
  <dcterms:created xsi:type="dcterms:W3CDTF">2013-12-23T23:15:00Z</dcterms:created>
  <dcterms:modified xsi:type="dcterms:W3CDTF">2026-03-30T08:13:00Z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680157d1,7d9321fa,66112ef8</vt:lpwstr>
  </property>
  <property fmtid="{D5CDD505-2E9C-101B-9397-08002B2CF9AE}" pid="3" name="ClassificationContentMarkingHeaderFontProps">
    <vt:lpwstr>#ff0000,7,Aptos</vt:lpwstr>
  </property>
  <property fmtid="{D5CDD505-2E9C-101B-9397-08002B2CF9AE}" pid="4" name="ClassificationContentMarkingHeaderText">
    <vt:lpwstr> </vt:lpwstr>
  </property>
  <property fmtid="{D5CDD505-2E9C-101B-9397-08002B2CF9AE}" pid="5" name="ClassificationContentMarkingFooterShapeIds">
    <vt:lpwstr>1518af9c,282a51ff,5a22f6ae</vt:lpwstr>
  </property>
  <property fmtid="{D5CDD505-2E9C-101B-9397-08002B2CF9AE}" pid="6" name="ClassificationContentMarkingFooterFontProps">
    <vt:lpwstr>#ff0000,7,Aptos</vt:lpwstr>
  </property>
  <property fmtid="{D5CDD505-2E9C-101B-9397-08002B2CF9AE}" pid="7" name="ClassificationContentMarkingFooterText">
    <vt:lpwstr>RESTRICTED </vt:lpwstr>
  </property>
  <property fmtid="{D5CDD505-2E9C-101B-9397-08002B2CF9AE}" pid="8" name="MSIP_Label_09ea7407-5844-49ec-aa4f-9b4135bf0609_Enabled">
    <vt:lpwstr>true</vt:lpwstr>
  </property>
  <property fmtid="{D5CDD505-2E9C-101B-9397-08002B2CF9AE}" pid="9" name="MSIP_Label_09ea7407-5844-49ec-aa4f-9b4135bf0609_SetDate">
    <vt:lpwstr>2026-03-30T08:07:39Z</vt:lpwstr>
  </property>
  <property fmtid="{D5CDD505-2E9C-101B-9397-08002B2CF9AE}" pid="10" name="MSIP_Label_09ea7407-5844-49ec-aa4f-9b4135bf0609_Method">
    <vt:lpwstr>Standard</vt:lpwstr>
  </property>
  <property fmtid="{D5CDD505-2E9C-101B-9397-08002B2CF9AE}" pid="11" name="MSIP_Label_09ea7407-5844-49ec-aa4f-9b4135bf0609_Name">
    <vt:lpwstr>Restricted-Core42</vt:lpwstr>
  </property>
  <property fmtid="{D5CDD505-2E9C-101B-9397-08002B2CF9AE}" pid="12" name="MSIP_Label_09ea7407-5844-49ec-aa4f-9b4135bf0609_SiteId">
    <vt:lpwstr>62974d97-13b6-40c9-8576-f1ab2905b6cf</vt:lpwstr>
  </property>
  <property fmtid="{D5CDD505-2E9C-101B-9397-08002B2CF9AE}" pid="13" name="MSIP_Label_09ea7407-5844-49ec-aa4f-9b4135bf0609_ActionId">
    <vt:lpwstr>7f4e280d-7b78-4fbe-a817-85309521ea44</vt:lpwstr>
  </property>
  <property fmtid="{D5CDD505-2E9C-101B-9397-08002B2CF9AE}" pid="14" name="MSIP_Label_09ea7407-5844-49ec-aa4f-9b4135bf0609_ContentBits">
    <vt:lpwstr>3</vt:lpwstr>
  </property>
  <property fmtid="{D5CDD505-2E9C-101B-9397-08002B2CF9AE}" pid="15" name="MSIP_Label_09ea7407-5844-49ec-aa4f-9b4135bf0609_Tag">
    <vt:lpwstr>50, 1, 2, 1</vt:lpwstr>
  </property>
</Properties>
</file>