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LGNDM Migration Factory Program Plan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9ym76hhln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migration program aims to transition from the centralized file integration provider application (LGNDM) to a decentralized architecture where individual clients manage their own file integrations. This shift will eliminate a single point of failure and increase system resilience.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d8fwtnu97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Drivers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Eliminate reliance on a centralized system to reduce a single point of failure.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Empower individual clients to manage their own file integrations.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scalability and reliability of file transfer processes.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n6zo89yih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Scope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Migration involves LGNDM and all applications utilizing its file transfer capabilities.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migration impacts both the immediate upstream and downstream systems, along with indirect dependencies.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7ycl3bqct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Timelines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Completion: </w:t>
      </w:r>
      <w:r w:rsidDel="00000000" w:rsidR="00000000" w:rsidRPr="00000000">
        <w:rPr>
          <w:b w:val="1"/>
          <w:rtl w:val="0"/>
        </w:rPr>
        <w:t xml:space="preserve">2027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Milestones: To be determined based on phases (e.g., application onboarding, testing, cutover).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28ah7lqxf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Risks and Mitigation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tl w:val="0"/>
        </w:rPr>
        <w:t xml:space="preserve">: Limited knowledge of IBM Connect:Direct technology among engineers.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Adopt a factory model where the LGNDM team supports setup and migration.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tl w:val="0"/>
        </w:rPr>
        <w:t xml:space="preserve">: Challenges in business validation due to lack of end-to-end chain visibility.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Proactive communication and collaboration between upstream and downstream teams.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rdiif3ljb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Factory Model Responsibilities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migration will be executed in a step-by-step process with responsibilities divided as follows:</w:t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4575"/>
        <w:gridCol w:w="3750"/>
        <w:tblGridChange w:id="0">
          <w:tblGrid>
            <w:gridCol w:w="690"/>
            <w:gridCol w:w="4575"/>
            <w:gridCol w:w="37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Responsible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Identify Immediate Upstream and Downstream of File Integration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LGNDM Team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Reach Out to Indirect Upstream &amp; Downstream Partners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Immediate Upstream and Downstream Teams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Acquire NAS for Downstream Applications (if applicable)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Immediate Downstream Team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Acquire Connect:Direct Instance for Downstream Applications (if applicable)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Immediate Downstream Team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Lift &amp; Shift Existing Connect:Direct Resources (with Modifications)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LGNDM Team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Lift &amp; Shift Existing Connect:Direct Scripts (with Modifications)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LGNDM Team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Write Orchestra Batch Job or AutoSys JIL Script to Execute Connect:Direct Script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LGNDM Team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Deploy New Orchestra Batch Job to OCP or Setup AutoSys Job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LGNDM Team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Test the New Setup to Verify File Transfer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LGNDM Team, Immediate Downstream Team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Update File Drop Location in Upstream Config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Immediate Upstream Team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Integration Testing for End-to-End Flow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Immediate Upstream and Downstream Teams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Non-Prod Cutover and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LGNDM Team, Immediate Upstream and Downstream Teams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Disable Legacy Integration in Non-Prod After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LGNDM Team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Production Cutover and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LGNDM Team, Immediate Upstream and Downstream Teams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Disable Legacy Integration in Production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LGNDM Team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Clean Up Legacy Resources After 6 Months of Successful Cutover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LGNDM Team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loa8b3gs7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 Plan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Regular status updates to leadership and stakeholders.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Collaborative meetings with upstream and downstream teams at key milestones.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of changes for audit and knowledge transfer.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kfxt4s3v2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Budget and Resource Considerations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Allocate resources for training and support in IBM Connect:Direct.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for additional bandwidth during testing and cutover phases.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