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4AB0"/>
        </w:rPr>
        <w:t>Thailand Data Center Permitting</w:t>
      </w:r>
    </w:p>
    <w:p>
      <w:pPr>
        <w:spacing w:after="80"/>
      </w:pPr>
      <w:r>
        <w:rPr>
          <w:b/>
          <w:i w:val="0"/>
          <w:color w:val="202440"/>
          <w:sz w:val="26"/>
        </w:rPr>
        <w:t>What each permit submission ACTUALLY requires — a sub-item-level review guide</w:t>
      </w:r>
    </w:p>
    <w:p>
      <w:pPr>
        <w:spacing w:after="80"/>
      </w:pPr>
      <w:r>
        <w:rPr>
          <w:b w:val="0"/>
          <w:i/>
          <w:color w:val="555566"/>
        </w:rPr>
        <w:t>Project: CHN1A GFL Cut-In Data Center</w:t>
      </w:r>
    </w:p>
    <w:p>
      <w:pPr>
        <w:spacing w:after="80"/>
      </w:pPr>
      <w:r>
        <w:rPr>
          <w:b w:val="0"/>
          <w:i/>
          <w:color w:val="555566"/>
        </w:rPr>
        <w:t>23 permits · 13+ authorities · prepared from the project research package</w:t>
      </w:r>
    </w:p>
    <w:p>
      <w:pPr>
        <w:spacing w:after="80"/>
      </w:pPr>
      <w:r>
        <w:rPr>
          <w:b w:val="0"/>
          <w:i/>
          <w:color w:val="555566"/>
          <w:sz w:val="18"/>
        </w:rPr>
        <w:t>Document 08 — companion to the Master Permitting Guide, EIA &amp; FBL guides, and the 23 permit checklists.</w:t>
      </w:r>
    </w:p>
    <w:p/>
    <w:p>
      <w:pPr>
        <w:pStyle w:val="Heading1"/>
      </w:pPr>
      <w:r>
        <w:rPr>
          <w:color w:val="5B4AB0"/>
        </w:rPr>
        <w:t>How to use this guide</w:t>
      </w:r>
    </w:p>
    <w:p>
      <w:pPr>
        <w:spacing w:after="80"/>
      </w:pPr>
      <w:r>
        <w:rPr>
          <w:b w:val="0"/>
          <w:i w:val="0"/>
        </w:rPr>
        <w:t>For every permit, this guide lists each document/sub-item the authority asks for and explains what that item actually is, what it must contain, who prepares or issues it, and the format/legalisation expected. The aim is to remove the guesswork between a checklist line ('Articles of Association') and a submission-ready document. Use it alongside the per-permit Excel checklist to track status, and the Master Permitting Guide for the legal background.</w:t>
      </w:r>
    </w:p>
    <w:p>
      <w:pPr>
        <w:pStyle w:val="Heading2"/>
      </w:pPr>
      <w:r>
        <w:rPr>
          <w:color w:val="5B4AB0"/>
        </w:rPr>
        <w:t>Document standards that apply to almost everything</w:t>
      </w:r>
    </w:p>
    <w:p>
      <w:pPr>
        <w:spacing w:after="80"/>
      </w:pPr>
      <w:r>
        <w:rPr>
          <w:b w:val="0"/>
          <w:i w:val="0"/>
        </w:rPr>
        <w:t>Several requirements recur across nearly all permits. Get these right once and most submissions go smoothly.</w:t>
      </w:r>
    </w:p>
    <w:p>
      <w:pPr>
        <w:pStyle w:val="ListBullet"/>
        <w:spacing w:after="80"/>
      </w:pPr>
      <w:r>
        <w:rPr>
          <w:b/>
        </w:rPr>
        <w:t xml:space="preserve">Certified true copies — </w:t>
      </w:r>
      <w:r>
        <w:t>Copies of company or government documents must usually be signed 'certified true copy' by an authorised director (with the company seal) or by the issuing officer. Authorities reject plain photocopies.</w:t>
      </w:r>
    </w:p>
    <w:p>
      <w:pPr>
        <w:pStyle w:val="ListBullet"/>
        <w:spacing w:after="80"/>
      </w:pPr>
      <w:r>
        <w:rPr>
          <w:b/>
        </w:rPr>
        <w:t xml:space="preserve">Foreign documents — apostille or consular legalisation — </w:t>
      </w:r>
      <w:r>
        <w:t>Any document issued abroad (certificate of incorporation, good-standing certificate, passport copy, criminal-record certificate, parent-company financials) must be authenticated. For Hague-Convention countries an apostille is enough; for others, legalisation by the Thai embassy/consulate in the issuing country plus the foreign ministry is required.</w:t>
      </w:r>
    </w:p>
    <w:p>
      <w:pPr>
        <w:pStyle w:val="ListBullet"/>
        <w:spacing w:after="80"/>
      </w:pPr>
      <w:r>
        <w:rPr>
          <w:b/>
        </w:rPr>
        <w:t xml:space="preserve">Certified Thai translation — </w:t>
      </w:r>
      <w:r>
        <w:t>Documents not in Thai generally need a translation by a certified translator, and for court/registry use the translation itself may need to be notarised. Budget 1–2 weeks for translation + legalisation.</w:t>
      </w:r>
    </w:p>
    <w:p>
      <w:pPr>
        <w:pStyle w:val="ListBullet"/>
        <w:spacing w:after="80"/>
      </w:pPr>
      <w:r>
        <w:rPr>
          <w:b/>
        </w:rPr>
        <w:t xml:space="preserve">Power of Attorney (POA) — </w:t>
      </w:r>
      <w:r>
        <w:t>If an agent (law firm, consultant) submits on the company's behalf, a POA naming that agent and the specific filing is required, signed by an authorised director, sealed, and — if signed abroad — notarised and apostilled. A generic POA is often rejected; it should reference the exact application.</w:t>
      </w:r>
    </w:p>
    <w:p>
      <w:pPr>
        <w:pStyle w:val="ListBullet"/>
        <w:spacing w:after="80"/>
      </w:pPr>
      <w:r>
        <w:rPr>
          <w:b/>
        </w:rPr>
        <w:t xml:space="preserve">Professional seals &amp; licences — </w:t>
      </w:r>
      <w:r>
        <w:t>Engineering/architectural drawings must carry the seal, signature and licence number of a Thai-licensed (Council of Engineers / Architect Council) professional. Foreign-stamped drawings are not accepted on their own; a local licensed professional must take responsibility.</w:t>
      </w:r>
    </w:p>
    <w:p>
      <w:pPr>
        <w:pStyle w:val="ListBullet"/>
        <w:spacing w:after="80"/>
      </w:pPr>
      <w:r>
        <w:rPr>
          <w:b/>
        </w:rPr>
        <w:t xml:space="preserve">Validity windows — </w:t>
      </w:r>
      <w:r>
        <w:t>Company affidavits, shareholder lists and good-standing certificates are usually only accepted if issued within the last 3–6 months. Pull fresh copies just before submission.</w:t>
      </w:r>
    </w:p>
    <w:p/>
    <w:p>
      <w:r>
        <w:br w:type="page"/>
      </w:r>
    </w:p>
    <w:p>
      <w:pPr>
        <w:pStyle w:val="Heading1"/>
      </w:pPr>
      <w:r>
        <w:rPr>
          <w:color w:val="5B4AB0"/>
        </w:rPr>
        <w:t>1. Company Registration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Department of Business Development (DBD), Ministry of Commerce</w:t>
            </w:r>
          </w:p>
        </w:tc>
      </w:tr>
      <w:tr>
        <w:tc>
          <w:tcPr>
            <w:tcW w:type="dxa" w:w="2448"/>
          </w:tcPr>
          <w:p>
            <w:r>
              <w:rPr>
                <w:b/>
              </w:rPr>
              <w:t>Phase</w:t>
            </w:r>
          </w:p>
        </w:tc>
        <w:tc>
          <w:tcPr>
            <w:tcW w:type="dxa" w:w="6624"/>
          </w:tcPr>
          <w:p>
            <w:r>
              <w:t>Development</w:t>
            </w:r>
          </w:p>
        </w:tc>
      </w:tr>
      <w:tr>
        <w:tc>
          <w:tcPr>
            <w:tcW w:type="dxa" w:w="2448"/>
          </w:tcPr>
          <w:p>
            <w:r>
              <w:rPr>
                <w:b/>
              </w:rPr>
              <w:t>Lead time</w:t>
            </w:r>
          </w:p>
        </w:tc>
        <w:tc>
          <w:tcPr>
            <w:tcW w:type="dxa" w:w="6624"/>
          </w:tcPr>
          <w:p>
            <w:r>
              <w:t>~30 days</w:t>
            </w:r>
          </w:p>
        </w:tc>
      </w:tr>
      <w:tr>
        <w:tc>
          <w:tcPr>
            <w:tcW w:type="dxa" w:w="2448"/>
          </w:tcPr>
          <w:p>
            <w:r>
              <w:rPr>
                <w:b/>
              </w:rPr>
              <w:t>Est. cost</w:t>
            </w:r>
          </w:p>
        </w:tc>
        <w:tc>
          <w:tcPr>
            <w:tcW w:type="dxa" w:w="6624"/>
          </w:tcPr>
          <w:p>
            <w:r>
              <w:t>~5,000 THB</w:t>
            </w:r>
          </w:p>
        </w:tc>
      </w:tr>
      <w:tr>
        <w:tc>
          <w:tcPr>
            <w:tcW w:type="dxa" w:w="2448"/>
          </w:tcPr>
          <w:p>
            <w:r>
              <w:rPr>
                <w:b/>
              </w:rPr>
              <w:t>Prerequisite for</w:t>
            </w:r>
          </w:p>
        </w:tc>
        <w:tc>
          <w:tcPr>
            <w:tcW w:type="dxa" w:w="6624"/>
          </w:tcPr>
          <w:p>
            <w:r>
              <w:t>Everything — this creates the legal entity</w:t>
            </w:r>
          </w:p>
        </w:tc>
      </w:tr>
    </w:tbl>
    <w:p/>
    <w:p>
      <w:pPr>
        <w:spacing w:after="40"/>
      </w:pPr>
      <w:r>
        <w:rPr>
          <w:b/>
          <w:i w:val="0"/>
          <w:color w:val="202440"/>
        </w:rPr>
        <w:t>Purpose</w:t>
      </w:r>
    </w:p>
    <w:p>
      <w:pPr>
        <w:spacing w:after="160"/>
      </w:pPr>
      <w:r>
        <w:rPr>
          <w:b w:val="0"/>
          <w:i w:val="0"/>
        </w:rPr>
        <w:t>Establishes the Thai juristic person (usually a private limited company) that will hold every other permit, the land rights and the BOI promotion. Nothing else can proceed until this exists.</w:t>
      </w:r>
    </w:p>
    <w:p>
      <w:pPr>
        <w:spacing w:after="40"/>
      </w:pPr>
      <w:r>
        <w:rPr>
          <w:b/>
          <w:i w:val="0"/>
          <w:color w:val="202440"/>
        </w:rPr>
        <w:t>What each required item actually means</w:t>
      </w:r>
    </w:p>
    <w:p>
      <w:pPr>
        <w:pStyle w:val="ListBullet"/>
        <w:spacing w:after="80"/>
      </w:pPr>
      <w:r>
        <w:rPr>
          <w:b/>
        </w:rPr>
        <w:t xml:space="preserve">Completed registration application (Bor.Or.Jor.) — </w:t>
      </w:r>
      <w:r>
        <w:t>The DBD incorporation form set: memorandum of association, statutory meeting minutes and the registration application. Filed online via the DBD e-Registration portal or at the DBD office.</w:t>
      </w:r>
    </w:p>
    <w:p>
      <w:pPr>
        <w:pStyle w:val="ListBullet"/>
        <w:spacing w:after="80"/>
      </w:pPr>
      <w:r>
        <w:rPr>
          <w:b/>
        </w:rPr>
        <w:t xml:space="preserve">Memorandum &amp; Articles of Association — </w:t>
      </w:r>
      <w:r>
        <w:t>The company's constitution: objectives (must explicitly cover data-centre / IT-infrastructure operation), registered capital, share structure and director powers. The objectives clause matters later for BOI and the Foreign Business License, so draft it broadly enough.</w:t>
      </w:r>
    </w:p>
    <w:p>
      <w:pPr>
        <w:pStyle w:val="ListBullet"/>
        <w:spacing w:after="80"/>
      </w:pPr>
      <w:r>
        <w:rPr>
          <w:b/>
        </w:rPr>
        <w:t xml:space="preserve">Registered capital evidence — </w:t>
      </w:r>
      <w:r>
        <w:t>The amount of capital stated in the MOA. For a foreign-majority/BOI project plan capital realistic to the investment; capital also drives work-permit quotas (≈2M THB per foreign work permit).</w:t>
      </w:r>
    </w:p>
    <w:p>
      <w:pPr>
        <w:pStyle w:val="ListBullet"/>
        <w:spacing w:after="80"/>
      </w:pPr>
      <w:r>
        <w:rPr>
          <w:b/>
        </w:rPr>
        <w:t xml:space="preserve">Director &amp; shareholder identification — </w:t>
      </w:r>
      <w:r>
        <w:t>National ID (Thai) or passport (foreign) for every director and shareholder, plus a shareholder list (Bor.Or.Jor.5) showing names, nationalities and exact shareholding percentages. Foreign IDs need certification.</w:t>
      </w:r>
    </w:p>
    <w:p>
      <w:pPr>
        <w:pStyle w:val="ListBullet"/>
        <w:spacing w:after="80"/>
      </w:pPr>
      <w:r>
        <w:rPr>
          <w:b/>
        </w:rPr>
        <w:t xml:space="preserve">Registered office proof — </w:t>
      </w:r>
      <w:r>
        <w:t>A lease or title deed plus a consent letter and house-registration (Tabien Baan) for the registered address, with a location map. A virtual address is not accepted for a facility operator.</w:t>
      </w:r>
    </w:p>
    <w:p>
      <w:pPr>
        <w:pStyle w:val="ListBullet"/>
        <w:spacing w:after="80"/>
      </w:pPr>
      <w:r>
        <w:rPr>
          <w:b/>
        </w:rPr>
        <w:t xml:space="preserve">Company seal — </w:t>
      </w:r>
      <w:r>
        <w:t>The official rubber stamp; its impression is filed and then used to certify every later document.</w:t>
      </w:r>
    </w:p>
    <w:p/>
    <w:p>
      <w:pPr>
        <w:spacing w:after="40"/>
      </w:pPr>
      <w:r>
        <w:rPr>
          <w:b/>
          <w:i w:val="0"/>
          <w:color w:val="202440"/>
        </w:rPr>
        <w:t>Common pitfalls &amp; review points</w:t>
      </w:r>
    </w:p>
    <w:p>
      <w:pPr>
        <w:pStyle w:val="ListBullet2"/>
        <w:spacing w:after="40"/>
      </w:pPr>
      <w:r>
        <w:t>Make the objectives clause explicitly include data-centre operation, leasing of IT infrastructure and related services — amending it later delays BOI and FBL.</w:t>
      </w:r>
    </w:p>
    <w:p>
      <w:pPr>
        <w:pStyle w:val="ListBullet2"/>
        <w:spacing w:after="40"/>
      </w:pPr>
      <w:r>
        <w:t>Foreign shareholders trigger the Foreign Business Act: if foreigners hold &gt;49%, you need the FBL (Permit 3) or a BOI card.</w:t>
      </w:r>
    </w:p>
    <w:p>
      <w:pPr>
        <w:pStyle w:val="ListBullet2"/>
        <w:spacing w:after="40"/>
      </w:pPr>
      <w:r>
        <w:t>Keep at least 3 fresh certified copies of the company affidavit (Nangsue Rabrong) — almost every other authority asks for one.</w:t>
      </w:r>
    </w:p>
    <w:p/>
    <w:p>
      <w:r>
        <w:br w:type="page"/>
      </w:r>
    </w:p>
    <w:p>
      <w:pPr>
        <w:pStyle w:val="Heading1"/>
      </w:pPr>
      <w:r>
        <w:rPr>
          <w:color w:val="5B4AB0"/>
        </w:rPr>
        <w:t>2. BOI Promotion Certificate</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Thailand Board of Investment (BOI)</w:t>
            </w:r>
          </w:p>
        </w:tc>
      </w:tr>
      <w:tr>
        <w:tc>
          <w:tcPr>
            <w:tcW w:type="dxa" w:w="2448"/>
          </w:tcPr>
          <w:p>
            <w:r>
              <w:rPr>
                <w:b/>
              </w:rPr>
              <w:t>Phase</w:t>
            </w:r>
          </w:p>
        </w:tc>
        <w:tc>
          <w:tcPr>
            <w:tcW w:type="dxa" w:w="6624"/>
          </w:tcPr>
          <w:p>
            <w:r>
              <w:t>Development</w:t>
            </w:r>
          </w:p>
        </w:tc>
      </w:tr>
      <w:tr>
        <w:tc>
          <w:tcPr>
            <w:tcW w:type="dxa" w:w="2448"/>
          </w:tcPr>
          <w:p>
            <w:r>
              <w:rPr>
                <w:b/>
              </w:rPr>
              <w:t>Lead time</w:t>
            </w:r>
          </w:p>
        </w:tc>
        <w:tc>
          <w:tcPr>
            <w:tcW w:type="dxa" w:w="6624"/>
          </w:tcPr>
          <w:p>
            <w:r>
              <w:t>~120 days</w:t>
            </w:r>
          </w:p>
        </w:tc>
      </w:tr>
      <w:tr>
        <w:tc>
          <w:tcPr>
            <w:tcW w:type="dxa" w:w="2448"/>
          </w:tcPr>
          <w:p>
            <w:r>
              <w:rPr>
                <w:b/>
              </w:rPr>
              <w:t>Est. cost</w:t>
            </w:r>
          </w:p>
        </w:tc>
        <w:tc>
          <w:tcPr>
            <w:tcW w:type="dxa" w:w="6624"/>
          </w:tcPr>
          <w:p>
            <w:r>
              <w:t>No application fee</w:t>
            </w:r>
          </w:p>
        </w:tc>
      </w:tr>
      <w:tr>
        <w:tc>
          <w:tcPr>
            <w:tcW w:type="dxa" w:w="2448"/>
          </w:tcPr>
          <w:p>
            <w:r>
              <w:rPr>
                <w:b/>
              </w:rPr>
              <w:t>Prerequisite</w:t>
            </w:r>
          </w:p>
        </w:tc>
        <w:tc>
          <w:tcPr>
            <w:tcW w:type="dxa" w:w="6624"/>
          </w:tcPr>
          <w:p>
            <w:r>
              <w:t>Power Availability letter from ERC/MEA/PEA (now mandatory)</w:t>
            </w:r>
          </w:p>
        </w:tc>
      </w:tr>
    </w:tbl>
    <w:p/>
    <w:p>
      <w:pPr>
        <w:spacing w:after="40"/>
      </w:pPr>
      <w:r>
        <w:rPr>
          <w:b/>
          <w:i w:val="0"/>
          <w:color w:val="202440"/>
        </w:rPr>
        <w:t>Purpose</w:t>
      </w:r>
    </w:p>
    <w:p>
      <w:pPr>
        <w:spacing w:after="160"/>
      </w:pPr>
      <w:r>
        <w:rPr>
          <w:b w:val="0"/>
          <w:i w:val="0"/>
        </w:rPr>
        <w:t>Grants the investment-promotion privileges (tax holidays, 100% foreign ownership, land-holding and work-permit facilitation) under the data-centre category 8.2.1.1 / 8.2.1.2. The certificate underpins the project's whole financial case.</w:t>
      </w:r>
    </w:p>
    <w:p>
      <w:pPr>
        <w:spacing w:after="40"/>
      </w:pPr>
      <w:r>
        <w:rPr>
          <w:b/>
          <w:i w:val="0"/>
          <w:color w:val="202440"/>
        </w:rPr>
        <w:t>What each required item actually means</w:t>
      </w:r>
    </w:p>
    <w:p>
      <w:pPr>
        <w:pStyle w:val="ListBullet"/>
        <w:spacing w:after="80"/>
      </w:pPr>
      <w:r>
        <w:rPr>
          <w:b/>
        </w:rPr>
        <w:t xml:space="preserve">Application form (F PA PP 04, digital-technology activity) — </w:t>
      </w:r>
      <w:r>
        <w:t>The BOI online application describing the activity, capacity (MW/IT load), location, capital and employment. Category 8.2.1.1 carries a PUE-efficiency commitment; 8.2.1.2 is the standard tier — choose deliberately because the obligations differ.</w:t>
      </w:r>
    </w:p>
    <w:p>
      <w:pPr>
        <w:pStyle w:val="ListBullet"/>
        <w:spacing w:after="80"/>
      </w:pPr>
      <w:r>
        <w:rPr>
          <w:b/>
        </w:rPr>
        <w:t xml:space="preserve">ERC/MEA/PEA Power Supply Confirmation letter — </w:t>
      </w:r>
      <w:r>
        <w:t>A letter from the energy regulator/utility confirming grid power of the required capacity is available to the site. As of 2025–26 this is a hard prerequisite — BOI will not accept the application without it. This, not the BOI form, is usually the real bottleneck (2–8 weeks).</w:t>
      </w:r>
    </w:p>
    <w:p>
      <w:pPr>
        <w:pStyle w:val="ListBullet"/>
        <w:spacing w:after="80"/>
      </w:pPr>
      <w:r>
        <w:rPr>
          <w:b/>
        </w:rPr>
        <w:t xml:space="preserve">Three-year financial projections / feasibility study — </w:t>
      </w:r>
      <w:r>
        <w:t>A model showing investment, revenue, cost and viability. For investments above ~2 bn THB a full feasibility study is expected. Numbers must reconcile with the registered capital and the build programme.</w:t>
      </w:r>
    </w:p>
    <w:p>
      <w:pPr>
        <w:pStyle w:val="ListBullet"/>
        <w:spacing w:after="80"/>
      </w:pPr>
      <w:r>
        <w:rPr>
          <w:b/>
        </w:rPr>
        <w:t xml:space="preserve">Technical specification pack — </w:t>
      </w:r>
      <w:r>
        <w:t>Single-line electrical diagrams, HVAC/cooling design, network topology and — for 8.2.1.1 — PUE modelling and CFD studies evidencing the efficiency target. These show the project is technically real, not a shell.</w:t>
      </w:r>
    </w:p>
    <w:p>
      <w:pPr>
        <w:pStyle w:val="ListBullet"/>
        <w:spacing w:after="80"/>
      </w:pPr>
      <w:r>
        <w:rPr>
          <w:b/>
        </w:rPr>
        <w:t xml:space="preserve">Thailand Benefit Enhancement Plan — </w:t>
      </w:r>
      <w:r>
        <w:t>The local-value commitments BOI now scrutinises: university MOUs for curriculum, a training plan (often a 10× workforce multiplier) and SME/local-supply-chain integration. Tax activation is later checked against this plan.</w:t>
      </w:r>
    </w:p>
    <w:p>
      <w:pPr>
        <w:pStyle w:val="ListBullet"/>
        <w:spacing w:after="80"/>
      </w:pPr>
      <w:r>
        <w:rPr>
          <w:b/>
        </w:rPr>
        <w:t xml:space="preserve">Shareholder / parent-company evidence — </w:t>
      </w:r>
      <w:r>
        <w:t>Shareholder list with nationalities, and for corporate investors the parent's audited financial statements and certificate of incorporation (apostilled). For individual foreign investors, a clean criminal-record certificate and home-country tax ID (apostilled + translated).</w:t>
      </w:r>
    </w:p>
    <w:p/>
    <w:p>
      <w:pPr>
        <w:spacing w:after="40"/>
      </w:pPr>
      <w:r>
        <w:rPr>
          <w:b/>
          <w:i w:val="0"/>
          <w:color w:val="202440"/>
        </w:rPr>
        <w:t>Common pitfalls &amp; review points</w:t>
      </w:r>
    </w:p>
    <w:p>
      <w:pPr>
        <w:pStyle w:val="ListBullet2"/>
        <w:spacing w:after="40"/>
      </w:pPr>
      <w:r>
        <w:t>The ERC power letter gates the whole application — start it first, in parallel with company registration.</w:t>
      </w:r>
    </w:p>
    <w:p>
      <w:pPr>
        <w:pStyle w:val="ListBullet2"/>
        <w:spacing w:after="40"/>
      </w:pPr>
      <w:r>
        <w:t>Tax exemption does NOT switch on at approval: CIT relief is verified later against ISO/IEC 27001, the Benefit Plan and (for 8.2.1.1) the PUE result.</w:t>
      </w:r>
    </w:p>
    <w:p>
      <w:pPr>
        <w:pStyle w:val="ListBullet2"/>
        <w:spacing w:after="40"/>
      </w:pPr>
      <w:r>
        <w:t>From 2026 monitoring moved to quarterly e-Monitoring; two consecutive missed reports can revoke the certificate — set the reporting calendar at day one.</w:t>
      </w:r>
    </w:p>
    <w:p/>
    <w:p>
      <w:r>
        <w:br w:type="page"/>
      </w:r>
    </w:p>
    <w:p>
      <w:pPr>
        <w:pStyle w:val="Heading1"/>
      </w:pPr>
      <w:r>
        <w:rPr>
          <w:color w:val="5B4AB0"/>
        </w:rPr>
        <w:t>3. Foreign Business License (FBL)</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Department of Business Development (DBD) — Foreign Business Committee</w:t>
            </w:r>
          </w:p>
        </w:tc>
      </w:tr>
      <w:tr>
        <w:tc>
          <w:tcPr>
            <w:tcW w:type="dxa" w:w="2448"/>
          </w:tcPr>
          <w:p>
            <w:r>
              <w:rPr>
                <w:b/>
              </w:rPr>
              <w:t>Phase</w:t>
            </w:r>
          </w:p>
        </w:tc>
        <w:tc>
          <w:tcPr>
            <w:tcW w:type="dxa" w:w="6624"/>
          </w:tcPr>
          <w:p>
            <w:r>
              <w:t>Development</w:t>
            </w:r>
          </w:p>
        </w:tc>
      </w:tr>
      <w:tr>
        <w:tc>
          <w:tcPr>
            <w:tcW w:type="dxa" w:w="2448"/>
          </w:tcPr>
          <w:p>
            <w:r>
              <w:rPr>
                <w:b/>
              </w:rPr>
              <w:t>Lead time</w:t>
            </w:r>
          </w:p>
        </w:tc>
        <w:tc>
          <w:tcPr>
            <w:tcW w:type="dxa" w:w="6624"/>
          </w:tcPr>
          <w:p>
            <w:r>
              <w:t>~60 days (often longer)</w:t>
            </w:r>
          </w:p>
        </w:tc>
      </w:tr>
      <w:tr>
        <w:tc>
          <w:tcPr>
            <w:tcW w:type="dxa" w:w="2448"/>
          </w:tcPr>
          <w:p>
            <w:r>
              <w:rPr>
                <w:b/>
              </w:rPr>
              <w:t>Est. cost</w:t>
            </w:r>
          </w:p>
        </w:tc>
        <w:tc>
          <w:tcPr>
            <w:tcW w:type="dxa" w:w="6624"/>
          </w:tcPr>
          <w:p>
            <w:r>
              <w:t>~10,000 THB + capital</w:t>
            </w:r>
          </w:p>
        </w:tc>
      </w:tr>
      <w:tr>
        <w:tc>
          <w:tcPr>
            <w:tcW w:type="dxa" w:w="2448"/>
          </w:tcPr>
          <w:p>
            <w:r>
              <w:rPr>
                <w:b/>
              </w:rPr>
              <w:t>When needed</w:t>
            </w:r>
          </w:p>
        </w:tc>
        <w:tc>
          <w:tcPr>
            <w:tcW w:type="dxa" w:w="6624"/>
          </w:tcPr>
          <w:p>
            <w:r>
              <w:t>Foreign ownership &gt;49% and no BOI card covering the activity</w:t>
            </w:r>
          </w:p>
        </w:tc>
      </w:tr>
    </w:tbl>
    <w:p/>
    <w:p>
      <w:pPr>
        <w:spacing w:after="40"/>
      </w:pPr>
      <w:r>
        <w:rPr>
          <w:b/>
          <w:i w:val="0"/>
          <w:color w:val="202440"/>
        </w:rPr>
        <w:t>Purpose</w:t>
      </w:r>
    </w:p>
    <w:p>
      <w:pPr>
        <w:spacing w:after="160"/>
      </w:pPr>
      <w:r>
        <w:rPr>
          <w:b w:val="0"/>
          <w:i w:val="0"/>
        </w:rPr>
        <w:t>Authorises a foreign-majority company to carry on a restricted-list business in Thailand. If BOI promotion already grants a Foreign Business Certificate for the activity, a separate FBL may not be needed — confirm overlap before filing both.</w:t>
      </w:r>
    </w:p>
    <w:p>
      <w:pPr>
        <w:spacing w:after="40"/>
      </w:pPr>
      <w:r>
        <w:rPr>
          <w:b/>
          <w:i w:val="0"/>
          <w:color w:val="202440"/>
        </w:rPr>
        <w:t>What each required item actually means</w:t>
      </w:r>
    </w:p>
    <w:p>
      <w:pPr>
        <w:pStyle w:val="ListBullet"/>
        <w:spacing w:after="80"/>
      </w:pPr>
      <w:r>
        <w:rPr>
          <w:b/>
        </w:rPr>
        <w:t xml:space="preserve">Application form Tor. 2 (ต.2) — </w:t>
      </w:r>
      <w:r>
        <w:t>The statutory FBL application under the Foreign Business Act B.E. 2542, lodged with the Bureau of Foreign Business Administration, DBD. It describes the foreign business activity, size, intended operating period, number of employees in Thailand and the expected benefit to Thailand's economy — that benefit narrative is decisive for the committee.</w:t>
      </w:r>
    </w:p>
    <w:p>
      <w:pPr>
        <w:pStyle w:val="ListBullet"/>
        <w:spacing w:after="80"/>
      </w:pPr>
      <w:r>
        <w:rPr>
          <w:b/>
        </w:rPr>
        <w:t xml:space="preserve">Business plan in Thai (5–10 pp) — </w:t>
      </w:r>
      <w:r>
        <w:t>A detailed plan: services, operations, customers, revenue and management. Must be in Thai and specific — a generic plan is the most common rejection reason.</w:t>
      </w:r>
    </w:p>
    <w:p>
      <w:pPr>
        <w:pStyle w:val="ListBullet"/>
        <w:spacing w:after="80"/>
      </w:pPr>
      <w:r>
        <w:rPr>
          <w:b/>
        </w:rPr>
        <w:t xml:space="preserve">Minimum capital evidence — </w:t>
      </w:r>
      <w:r>
        <w:t>Proof of at least 2,000,000 THB (3M+ if the activity is on List 2/3) actually remitted and held for the prescribed period, with a bank certification letter. The money must genuinely be in the account, not just pledged.</w:t>
      </w:r>
    </w:p>
    <w:p>
      <w:pPr>
        <w:pStyle w:val="ListBullet"/>
        <w:spacing w:after="80"/>
      </w:pPr>
      <w:r>
        <w:rPr>
          <w:b/>
        </w:rPr>
        <w:t xml:space="preserve">Shareholder register &amp; affidavit — </w:t>
      </w:r>
      <w:r>
        <w:t>Bor.Or.Jor.5 and the company affidavit (issued within 3–6 months) showing the foreign shareholding that triggers the FBL.</w:t>
      </w:r>
    </w:p>
    <w:p>
      <w:pPr>
        <w:pStyle w:val="ListBullet"/>
        <w:spacing w:after="80"/>
      </w:pPr>
      <w:r>
        <w:rPr>
          <w:b/>
        </w:rPr>
        <w:t xml:space="preserve">Foreign investor documents — </w:t>
      </w:r>
      <w:r>
        <w:t>Passport copy, certificate of no criminal record and home tax documents — each apostilled and translated to Thai. For a corporate foreign shareholder, the good-standing certificate and board resolution to invest.</w:t>
      </w:r>
    </w:p>
    <w:p/>
    <w:p>
      <w:pPr>
        <w:spacing w:after="40"/>
      </w:pPr>
      <w:r>
        <w:rPr>
          <w:b/>
          <w:i w:val="0"/>
          <w:color w:val="202440"/>
        </w:rPr>
        <w:t>Common pitfalls &amp; review points</w:t>
      </w:r>
    </w:p>
    <w:p>
      <w:pPr>
        <w:pStyle w:val="ListBullet2"/>
        <w:spacing w:after="40"/>
      </w:pPr>
      <w:r>
        <w:t>Check first whether the BOI card already lets you operate — duplicating with an FBL wastes 2–3 months.</w:t>
      </w:r>
    </w:p>
    <w:p>
      <w:pPr>
        <w:pStyle w:val="ListBullet2"/>
        <w:spacing w:after="40"/>
      </w:pPr>
      <w:r>
        <w:t>The 'benefit to Thailand' section is graded; tie it to the BOI Benefit Plan for consistency.</w:t>
      </w:r>
    </w:p>
    <w:p>
      <w:pPr>
        <w:pStyle w:val="ListBullet2"/>
        <w:spacing w:after="40"/>
      </w:pPr>
      <w:r>
        <w:t>Capital must be remitted from abroad and traceable; domestic transfers can be queried.</w:t>
      </w:r>
    </w:p>
    <w:p/>
    <w:p>
      <w:r>
        <w:br w:type="page"/>
      </w:r>
    </w:p>
    <w:p>
      <w:pPr>
        <w:pStyle w:val="Heading1"/>
      </w:pPr>
      <w:r>
        <w:rPr>
          <w:color w:val="5B4AB0"/>
        </w:rPr>
        <w:t>4. Land Use &amp; Zoning Confirmation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Dept. of Public Works &amp; Town/Country Planning / Local Authority (Or.Bor.Tor. / municipality)</w:t>
            </w:r>
          </w:p>
        </w:tc>
      </w:tr>
      <w:tr>
        <w:tc>
          <w:tcPr>
            <w:tcW w:type="dxa" w:w="2448"/>
          </w:tcPr>
          <w:p>
            <w:r>
              <w:rPr>
                <w:b/>
              </w:rPr>
              <w:t>Phase</w:t>
            </w:r>
          </w:p>
        </w:tc>
        <w:tc>
          <w:tcPr>
            <w:tcW w:type="dxa" w:w="6624"/>
          </w:tcPr>
          <w:p>
            <w:r>
              <w:t>Development</w:t>
            </w:r>
          </w:p>
        </w:tc>
      </w:tr>
      <w:tr>
        <w:tc>
          <w:tcPr>
            <w:tcW w:type="dxa" w:w="2448"/>
          </w:tcPr>
          <w:p>
            <w:r>
              <w:rPr>
                <w:b/>
              </w:rPr>
              <w:t>Lead time</w:t>
            </w:r>
          </w:p>
        </w:tc>
        <w:tc>
          <w:tcPr>
            <w:tcW w:type="dxa" w:w="6624"/>
          </w:tcPr>
          <w:p>
            <w:r>
              <w:t>~30 days</w:t>
            </w:r>
          </w:p>
        </w:tc>
      </w:tr>
      <w:tr>
        <w:tc>
          <w:tcPr>
            <w:tcW w:type="dxa" w:w="2448"/>
          </w:tcPr>
          <w:p>
            <w:r>
              <w:rPr>
                <w:b/>
              </w:rPr>
              <w:t>Est. cost</w:t>
            </w:r>
          </w:p>
        </w:tc>
        <w:tc>
          <w:tcPr>
            <w:tcW w:type="dxa" w:w="6624"/>
          </w:tcPr>
          <w:p>
            <w:r>
              <w:t>~2,000 THB</w:t>
            </w:r>
          </w:p>
        </w:tc>
      </w:tr>
      <w:tr>
        <w:tc>
          <w:tcPr>
            <w:tcW w:type="dxa" w:w="2448"/>
          </w:tcPr>
          <w:p>
            <w:r>
              <w:rPr>
                <w:b/>
              </w:rPr>
              <w:t>Prerequisite for</w:t>
            </w:r>
          </w:p>
        </w:tc>
        <w:tc>
          <w:tcPr>
            <w:tcW w:type="dxa" w:w="6624"/>
          </w:tcPr>
          <w:p>
            <w:r>
              <w:t>EIA and the Building Permit</w:t>
            </w:r>
          </w:p>
        </w:tc>
      </w:tr>
    </w:tbl>
    <w:p/>
    <w:p>
      <w:pPr>
        <w:spacing w:after="40"/>
      </w:pPr>
      <w:r>
        <w:rPr>
          <w:b/>
          <w:i w:val="0"/>
          <w:color w:val="202440"/>
        </w:rPr>
        <w:t>Purpose</w:t>
      </w:r>
    </w:p>
    <w:p>
      <w:pPr>
        <w:spacing w:after="160"/>
      </w:pPr>
      <w:r>
        <w:rPr>
          <w:b w:val="0"/>
          <w:i w:val="0"/>
        </w:rPr>
        <w:t>Confirms the parcel's zoning (under the city/comprehensive plan) permits a data-centre/industrial use with the intended building scale, setbacks and utilities. A negative zoning finding can stop the project before design begins.</w:t>
      </w:r>
    </w:p>
    <w:p>
      <w:pPr>
        <w:spacing w:after="40"/>
      </w:pPr>
      <w:r>
        <w:rPr>
          <w:b/>
          <w:i w:val="0"/>
          <w:color w:val="202440"/>
        </w:rPr>
        <w:t>What each required item actually means</w:t>
      </w:r>
    </w:p>
    <w:p>
      <w:pPr>
        <w:pStyle w:val="ListBullet"/>
        <w:spacing w:after="80"/>
      </w:pPr>
      <w:r>
        <w:rPr>
          <w:b/>
        </w:rPr>
        <w:t xml:space="preserve">Land title deed (Chanote / Nor Sor 3 Gor) — </w:t>
      </w:r>
      <w:r>
        <w:t>A certified copy of the strongest available title. Chanote (full freehold survey) is preferred; weaker titles can limit financing and BOI land-holding rights. Pull a fresh title search (&lt;3 months).</w:t>
      </w:r>
    </w:p>
    <w:p>
      <w:pPr>
        <w:pStyle w:val="ListBullet"/>
        <w:spacing w:after="80"/>
      </w:pPr>
      <w:r>
        <w:rPr>
          <w:b/>
        </w:rPr>
        <w:t xml:space="preserve">Zoning certificate request — </w:t>
      </w:r>
      <w:r>
        <w:t>The application asking the planning authority to confirm the land-use colour-zone and what it allows. Industrial 'purple' or appropriate zones permit data centres; residential/agri zones may not.</w:t>
      </w:r>
    </w:p>
    <w:p>
      <w:pPr>
        <w:pStyle w:val="ListBullet"/>
        <w:spacing w:after="80"/>
      </w:pPr>
      <w:r>
        <w:rPr>
          <w:b/>
        </w:rPr>
        <w:t xml:space="preserve">Site plan with boundaries &amp; setbacks — </w:t>
      </w:r>
      <w:r>
        <w:t>A scaled plan showing the parcel, proposed building footprint, setbacks from boundaries and roads, and indicative utility routes — enough for the planner to test against zone rules.</w:t>
      </w:r>
    </w:p>
    <w:p>
      <w:pPr>
        <w:pStyle w:val="ListBullet"/>
        <w:spacing w:after="80"/>
      </w:pPr>
      <w:r>
        <w:rPr>
          <w:b/>
        </w:rPr>
        <w:t xml:space="preserve">Surrounding land-use context — </w:t>
      </w:r>
      <w:r>
        <w:t>Notes/photos on neighbours (residences, waterways, protected areas) because buffer and environmental rules tighten near sensitive uses.</w:t>
      </w:r>
    </w:p>
    <w:p>
      <w:pPr>
        <w:pStyle w:val="ListBullet"/>
        <w:spacing w:after="80"/>
      </w:pPr>
      <w:r>
        <w:rPr>
          <w:b/>
        </w:rPr>
        <w:t xml:space="preserve">Lease (if not owner) — </w:t>
      </w:r>
      <w:r>
        <w:t>A 30-year-plus registered lease or ownership proof — short leases undermine BOI land rights and lender comfort.</w:t>
      </w:r>
    </w:p>
    <w:p/>
    <w:p>
      <w:pPr>
        <w:spacing w:after="40"/>
      </w:pPr>
      <w:r>
        <w:rPr>
          <w:b/>
          <w:i w:val="0"/>
          <w:color w:val="202440"/>
        </w:rPr>
        <w:t>Common pitfalls &amp; review points</w:t>
      </w:r>
    </w:p>
    <w:p>
      <w:pPr>
        <w:pStyle w:val="ListBullet2"/>
        <w:spacing w:after="40"/>
      </w:pPr>
      <w:r>
        <w:t>Verify the parcel is not in a flood-control, military or environmentally-protected overlay that overrides the base zone.</w:t>
      </w:r>
    </w:p>
    <w:p>
      <w:pPr>
        <w:pStyle w:val="ListBullet2"/>
        <w:spacing w:after="40"/>
      </w:pPr>
      <w:r>
        <w:t>Confirm road access and the legal right-of-way now; landlocked parcels need a registered servitude.</w:t>
      </w:r>
    </w:p>
    <w:p>
      <w:pPr>
        <w:pStyle w:val="ListBullet2"/>
        <w:spacing w:after="40"/>
      </w:pPr>
      <w:r>
        <w:t>If zoning is marginal, get the planner's written view before committing to design spend.</w:t>
      </w:r>
    </w:p>
    <w:p/>
    <w:p>
      <w:r>
        <w:br w:type="page"/>
      </w:r>
    </w:p>
    <w:p>
      <w:pPr>
        <w:pStyle w:val="Heading1"/>
      </w:pPr>
      <w:r>
        <w:rPr>
          <w:color w:val="5B4AB0"/>
        </w:rPr>
        <w:t>5. Environmental Impact Assessment (EIA)</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Office of Natural Resources &amp; Environmental Policy and Planning (ONEP)</w:t>
            </w:r>
          </w:p>
        </w:tc>
      </w:tr>
      <w:tr>
        <w:tc>
          <w:tcPr>
            <w:tcW w:type="dxa" w:w="2448"/>
          </w:tcPr>
          <w:p>
            <w:r>
              <w:rPr>
                <w:b/>
              </w:rPr>
              <w:t>Phase</w:t>
            </w:r>
          </w:p>
        </w:tc>
        <w:tc>
          <w:tcPr>
            <w:tcW w:type="dxa" w:w="6624"/>
          </w:tcPr>
          <w:p>
            <w:r>
              <w:t>Development</w:t>
            </w:r>
          </w:p>
        </w:tc>
      </w:tr>
      <w:tr>
        <w:tc>
          <w:tcPr>
            <w:tcW w:type="dxa" w:w="2448"/>
          </w:tcPr>
          <w:p>
            <w:r>
              <w:rPr>
                <w:b/>
              </w:rPr>
              <w:t>Lead time</w:t>
            </w:r>
          </w:p>
        </w:tc>
        <w:tc>
          <w:tcPr>
            <w:tcW w:type="dxa" w:w="6624"/>
          </w:tcPr>
          <w:p>
            <w:r>
              <w:t>~180 days (the critical-path bottleneck)</w:t>
            </w:r>
          </w:p>
        </w:tc>
      </w:tr>
      <w:tr>
        <w:tc>
          <w:tcPr>
            <w:tcW w:type="dxa" w:w="2448"/>
          </w:tcPr>
          <w:p>
            <w:r>
              <w:rPr>
                <w:b/>
              </w:rPr>
              <w:t>Est. cost</w:t>
            </w:r>
          </w:p>
        </w:tc>
        <w:tc>
          <w:tcPr>
            <w:tcW w:type="dxa" w:w="6624"/>
          </w:tcPr>
          <w:p>
            <w:r>
              <w:t>~200,000–500,000 THB</w:t>
            </w:r>
          </w:p>
        </w:tc>
      </w:tr>
      <w:tr>
        <w:tc>
          <w:tcPr>
            <w:tcW w:type="dxa" w:w="2448"/>
          </w:tcPr>
          <w:p>
            <w:r>
              <w:rPr>
                <w:b/>
              </w:rPr>
              <w:t>Prerequisite for</w:t>
            </w:r>
          </w:p>
        </w:tc>
        <w:tc>
          <w:tcPr>
            <w:tcW w:type="dxa" w:w="6624"/>
          </w:tcPr>
          <w:p>
            <w:r>
              <w:t>Building Permit, water/wastewater, generator, factory licence</w:t>
            </w:r>
          </w:p>
        </w:tc>
      </w:tr>
    </w:tbl>
    <w:p/>
    <w:p>
      <w:pPr>
        <w:spacing w:after="40"/>
      </w:pPr>
      <w:r>
        <w:rPr>
          <w:b/>
          <w:i w:val="0"/>
          <w:color w:val="202440"/>
        </w:rPr>
        <w:t>Purpose</w:t>
      </w:r>
    </w:p>
    <w:p>
      <w:pPr>
        <w:spacing w:after="160"/>
      </w:pPr>
      <w:r>
        <w:rPr>
          <w:b w:val="0"/>
          <w:i w:val="0"/>
        </w:rPr>
        <w:t>A formal study (by a licensed EIA consultant) of the project's environmental and social impacts and the measures to mitigate them, approved by ONEP. It is the single longest permit and gates most of the construction phase — start it the moment zoning is clear.</w:t>
      </w:r>
    </w:p>
    <w:p>
      <w:pPr>
        <w:spacing w:after="40"/>
      </w:pPr>
      <w:r>
        <w:rPr>
          <w:b/>
          <w:i w:val="0"/>
          <w:color w:val="202440"/>
        </w:rPr>
        <w:t>What each required item actually means</w:t>
      </w:r>
    </w:p>
    <w:p>
      <w:pPr>
        <w:pStyle w:val="ListBullet"/>
        <w:spacing w:after="80"/>
      </w:pPr>
      <w:r>
        <w:rPr>
          <w:b/>
        </w:rPr>
        <w:t xml:space="preserve">Screening &amp; Terms of Reference (TOR) — </w:t>
      </w:r>
      <w:r>
        <w:t>First ONEP confirms the project type and the study scope (TOR). Getting the TOR agreed early avoids re-work; the TOR defines exactly which baselines and impacts must be studied.</w:t>
      </w:r>
    </w:p>
    <w:p>
      <w:pPr>
        <w:pStyle w:val="ListBullet"/>
        <w:spacing w:after="80"/>
      </w:pPr>
      <w:r>
        <w:rPr>
          <w:b/>
        </w:rPr>
        <w:t xml:space="preserve">Baseline environmental data — </w:t>
      </w:r>
      <w:r>
        <w:t>Measured existing conditions — ambient air quality, noise, water, ecology and socioeconomics — collected over a defined period. This is real fieldwork/monitoring, not desk estimates, and drives the timeline.</w:t>
      </w:r>
    </w:p>
    <w:p>
      <w:pPr>
        <w:pStyle w:val="ListBullet"/>
        <w:spacing w:after="80"/>
      </w:pPr>
      <w:r>
        <w:rPr>
          <w:b/>
        </w:rPr>
        <w:t xml:space="preserve">Impact assessment &amp; modelling — </w:t>
      </w:r>
      <w:r>
        <w:t>Quantified construction- and operation-phase impacts: generator stack emissions (NOx, PM, SO2) vs. Thai air standards, noise at the boundary, water demand and wastewater characteristics, traffic and waste.</w:t>
      </w:r>
    </w:p>
    <w:p>
      <w:pPr>
        <w:pStyle w:val="ListBullet"/>
        <w:spacing w:after="80"/>
      </w:pPr>
      <w:r>
        <w:rPr>
          <w:b/>
        </w:rPr>
        <w:t xml:space="preserve">Mitigation &amp; Environmental Management Plan — </w:t>
      </w:r>
      <w:r>
        <w:t>Specific, costed measures (e.g. generator stack height, acoustic enclosures, wastewater treatment spec) and who is responsible. Vague mitigation is the top revision cause.</w:t>
      </w:r>
    </w:p>
    <w:p>
      <w:pPr>
        <w:pStyle w:val="ListBullet"/>
        <w:spacing w:after="80"/>
      </w:pPr>
      <w:r>
        <w:rPr>
          <w:b/>
        </w:rPr>
        <w:t xml:space="preserve">Monitoring plan — </w:t>
      </w:r>
      <w:r>
        <w:t>The ongoing compliance monitoring (quarterly during construction, at least annually in operation) the company commits to — this becomes a binding operating obligation.</w:t>
      </w:r>
    </w:p>
    <w:p>
      <w:pPr>
        <w:pStyle w:val="ListBullet"/>
        <w:spacing w:after="80"/>
      </w:pPr>
      <w:r>
        <w:rPr>
          <w:b/>
        </w:rPr>
        <w:t xml:space="preserve">Public/community consultation record — </w:t>
      </w:r>
      <w:r>
        <w:t>Minutes, attendance and photos of consultation meetings, plus written responses to community concerns. Inadequate consultation gets reports sent back.</w:t>
      </w:r>
    </w:p>
    <w:p/>
    <w:p>
      <w:pPr>
        <w:spacing w:after="40"/>
      </w:pPr>
      <w:r>
        <w:rPr>
          <w:b/>
          <w:i w:val="0"/>
          <w:color w:val="202440"/>
        </w:rPr>
        <w:t>Common pitfalls &amp; review points</w:t>
      </w:r>
    </w:p>
    <w:p>
      <w:pPr>
        <w:pStyle w:val="ListBullet2"/>
        <w:spacing w:after="40"/>
      </w:pPr>
      <w:r>
        <w:t>Engage an ONEP-licensed EIA firm; the report must be authored under their licence.</w:t>
      </w:r>
    </w:p>
    <w:p>
      <w:pPr>
        <w:pStyle w:val="ListBullet2"/>
        <w:spacing w:after="40"/>
      </w:pPr>
      <w:r>
        <w:t>Baseline monitoring sets the floor on schedule — you cannot compress the measurement window, so begin immediately.</w:t>
      </w:r>
    </w:p>
    <w:p>
      <w:pPr>
        <w:pStyle w:val="ListBullet2"/>
        <w:spacing w:after="40"/>
      </w:pPr>
      <w:r>
        <w:t>Align the generator and wastewater specs in the EIA with Permits 12 and 14 so the later submissions match what ONEP approved.</w:t>
      </w:r>
    </w:p>
    <w:p/>
    <w:p>
      <w:r>
        <w:br w:type="page"/>
      </w:r>
    </w:p>
    <w:p>
      <w:pPr>
        <w:pStyle w:val="Heading1"/>
      </w:pPr>
      <w:r>
        <w:rPr>
          <w:color w:val="5B4AB0"/>
        </w:rPr>
        <w:t>6. Building Construction Permit</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Building Control Authority (municipality / Or.Bor.Tor.) under the Building Control Act</w:t>
            </w:r>
          </w:p>
        </w:tc>
      </w:tr>
      <w:tr>
        <w:tc>
          <w:tcPr>
            <w:tcW w:type="dxa" w:w="2448"/>
          </w:tcPr>
          <w:p>
            <w:r>
              <w:rPr>
                <w:b/>
              </w:rPr>
              <w:t>Phase</w:t>
            </w:r>
          </w:p>
        </w:tc>
        <w:tc>
          <w:tcPr>
            <w:tcW w:type="dxa" w:w="6624"/>
          </w:tcPr>
          <w:p>
            <w:r>
              <w:t>Design &amp; Planning</w:t>
            </w:r>
          </w:p>
        </w:tc>
      </w:tr>
      <w:tr>
        <w:tc>
          <w:tcPr>
            <w:tcW w:type="dxa" w:w="2448"/>
          </w:tcPr>
          <w:p>
            <w:r>
              <w:rPr>
                <w:b/>
              </w:rPr>
              <w:t>Lead time</w:t>
            </w:r>
          </w:p>
        </w:tc>
        <w:tc>
          <w:tcPr>
            <w:tcW w:type="dxa" w:w="6624"/>
          </w:tcPr>
          <w:p>
            <w:r>
              <w:t>~60 days</w:t>
            </w:r>
          </w:p>
        </w:tc>
      </w:tr>
      <w:tr>
        <w:tc>
          <w:tcPr>
            <w:tcW w:type="dxa" w:w="2448"/>
          </w:tcPr>
          <w:p>
            <w:r>
              <w:rPr>
                <w:b/>
              </w:rPr>
              <w:t>Est. cost</w:t>
            </w:r>
          </w:p>
        </w:tc>
        <w:tc>
          <w:tcPr>
            <w:tcW w:type="dxa" w:w="6624"/>
          </w:tcPr>
          <w:p>
            <w:r>
              <w:t>~15,000 THB</w:t>
            </w:r>
          </w:p>
        </w:tc>
      </w:tr>
      <w:tr>
        <w:tc>
          <w:tcPr>
            <w:tcW w:type="dxa" w:w="2448"/>
          </w:tcPr>
          <w:p>
            <w:r>
              <w:rPr>
                <w:b/>
              </w:rPr>
              <w:t>Gates</w:t>
            </w:r>
          </w:p>
        </w:tc>
        <w:tc>
          <w:tcPr>
            <w:tcW w:type="dxa" w:w="6624"/>
          </w:tcPr>
          <w:p>
            <w:r>
              <w:t>All construction-phase permits</w:t>
            </w:r>
          </w:p>
        </w:tc>
      </w:tr>
    </w:tbl>
    <w:p/>
    <w:p>
      <w:pPr>
        <w:spacing w:after="40"/>
      </w:pPr>
      <w:r>
        <w:rPr>
          <w:b/>
          <w:i w:val="0"/>
          <w:color w:val="202440"/>
        </w:rPr>
        <w:t>Purpose</w:t>
      </w:r>
    </w:p>
    <w:p>
      <w:pPr>
        <w:spacing w:after="160"/>
      </w:pPr>
      <w:r>
        <w:rPr>
          <w:b w:val="0"/>
          <w:i w:val="0"/>
        </w:rPr>
        <w:t>Legal authorisation to construct the building to the approved drawings. No site works may start until it is issued; it depends on zoning and the EIA approval.</w:t>
      </w:r>
    </w:p>
    <w:p>
      <w:pPr>
        <w:spacing w:after="40"/>
      </w:pPr>
      <w:r>
        <w:rPr>
          <w:b/>
          <w:i w:val="0"/>
          <w:color w:val="202440"/>
        </w:rPr>
        <w:t>What each required item actually means</w:t>
      </w:r>
    </w:p>
    <w:p>
      <w:pPr>
        <w:pStyle w:val="ListBullet"/>
        <w:spacing w:after="80"/>
      </w:pPr>
      <w:r>
        <w:rPr>
          <w:b/>
        </w:rPr>
        <w:t xml:space="preserve">Permit application (Or.1) + land documents — </w:t>
      </w:r>
      <w:r>
        <w:t>The Building Control application with title deed, zoning confirmation and, where required, the EIA approval letter attached.</w:t>
      </w:r>
    </w:p>
    <w:p>
      <w:pPr>
        <w:pStyle w:val="ListBullet"/>
        <w:spacing w:after="80"/>
      </w:pPr>
      <w:r>
        <w:rPr>
          <w:b/>
        </w:rPr>
        <w:t xml:space="preserve">Architectural drawings — </w:t>
      </w:r>
      <w:r>
        <w:t>Stamped floor plans, elevations, sections and roof plans at proper scale, with door/window schedules — showing the building complies with height, setback, coverage and means-of-escape rules.</w:t>
      </w:r>
    </w:p>
    <w:p>
      <w:pPr>
        <w:pStyle w:val="ListBullet"/>
        <w:spacing w:after="80"/>
      </w:pPr>
      <w:r>
        <w:rPr>
          <w:b/>
        </w:rPr>
        <w:t xml:space="preserve">Structural drawings &amp; calculations — </w:t>
      </w:r>
      <w:r>
        <w:t>Foundation and frame design with load and (where relevant) seismic calculations, sealed by a licensed structural engineer who takes legal responsibility.</w:t>
      </w:r>
    </w:p>
    <w:p>
      <w:pPr>
        <w:pStyle w:val="ListBullet"/>
        <w:spacing w:after="80"/>
      </w:pPr>
      <w:r>
        <w:rPr>
          <w:b/>
        </w:rPr>
        <w:t xml:space="preserve">MEP drawings — </w:t>
      </w:r>
      <w:r>
        <w:t>Mechanical, electrical and plumbing design — HVAC capacity, electrical single-line with load schedule, water/drainage — consistent with the architectural set.</w:t>
      </w:r>
    </w:p>
    <w:p>
      <w:pPr>
        <w:pStyle w:val="ListBullet"/>
        <w:spacing w:after="80"/>
      </w:pPr>
      <w:r>
        <w:rPr>
          <w:b/>
        </w:rPr>
        <w:t xml:space="preserve">Fire &amp; life-safety plan — </w:t>
      </w:r>
      <w:r>
        <w:t>Escape routes and distances, fire-rated compartments/doors, detection and suppression layout and emergency lighting — for a data centre these are scrutinised heavily.</w:t>
      </w:r>
    </w:p>
    <w:p>
      <w:pPr>
        <w:pStyle w:val="ListBullet"/>
        <w:spacing w:after="80"/>
      </w:pPr>
      <w:r>
        <w:rPr>
          <w:b/>
        </w:rPr>
        <w:t xml:space="preserve">Licensed professional seals — </w:t>
      </w:r>
      <w:r>
        <w:t>Each drawing set carries the seal, signature and licence number of the responsible Thai-licensed architect/engineer; this is mandatory, not a formality.</w:t>
      </w:r>
    </w:p>
    <w:p/>
    <w:p>
      <w:pPr>
        <w:spacing w:after="40"/>
      </w:pPr>
      <w:r>
        <w:rPr>
          <w:b/>
          <w:i w:val="0"/>
          <w:color w:val="202440"/>
        </w:rPr>
        <w:t>Common pitfalls &amp; review points</w:t>
      </w:r>
    </w:p>
    <w:p>
      <w:pPr>
        <w:pStyle w:val="ListBullet2"/>
        <w:spacing w:after="40"/>
      </w:pPr>
      <w:r>
        <w:t>Drawings must be internally consistent — architectural, structural and MEP sets that disagree are the main rejection cause.</w:t>
      </w:r>
    </w:p>
    <w:p>
      <w:pPr>
        <w:pStyle w:val="ListBullet2"/>
        <w:spacing w:after="40"/>
      </w:pPr>
      <w:r>
        <w:t>Confirm whether the EIA approval letter must accompany the application in your locality (it usually must).</w:t>
      </w:r>
    </w:p>
    <w:p>
      <w:pPr>
        <w:pStyle w:val="ListBullet2"/>
        <w:spacing w:after="40"/>
      </w:pPr>
      <w:r>
        <w:t>Large/high-rise or special buildings may need extra structural review — check the local threshold early.</w:t>
      </w:r>
    </w:p>
    <w:p/>
    <w:p>
      <w:r>
        <w:br w:type="page"/>
      </w:r>
    </w:p>
    <w:p>
      <w:pPr>
        <w:pStyle w:val="Heading1"/>
      </w:pPr>
      <w:r>
        <w:rPr>
          <w:color w:val="5B4AB0"/>
        </w:rPr>
        <w:t>7. Road Access / Highway Connection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Authority / Department of Highways or Rural Roads</w:t>
            </w:r>
          </w:p>
        </w:tc>
      </w:tr>
      <w:tr>
        <w:tc>
          <w:tcPr>
            <w:tcW w:type="dxa" w:w="2448"/>
          </w:tcPr>
          <w:p>
            <w:r>
              <w:rPr>
                <w:b/>
              </w:rPr>
              <w:t>Phase</w:t>
            </w:r>
          </w:p>
        </w:tc>
        <w:tc>
          <w:tcPr>
            <w:tcW w:type="dxa" w:w="6624"/>
          </w:tcPr>
          <w:p>
            <w:r>
              <w:t>Design &amp; Planning</w:t>
            </w:r>
          </w:p>
        </w:tc>
      </w:tr>
      <w:tr>
        <w:tc>
          <w:tcPr>
            <w:tcW w:type="dxa" w:w="2448"/>
          </w:tcPr>
          <w:p>
            <w:r>
              <w:rPr>
                <w:b/>
              </w:rPr>
              <w:t>Lead time</w:t>
            </w:r>
          </w:p>
        </w:tc>
        <w:tc>
          <w:tcPr>
            <w:tcW w:type="dxa" w:w="6624"/>
          </w:tcPr>
          <w:p>
            <w:r>
              <w:t>~45 days</w:t>
            </w:r>
          </w:p>
        </w:tc>
      </w:tr>
      <w:tr>
        <w:tc>
          <w:tcPr>
            <w:tcW w:type="dxa" w:w="2448"/>
          </w:tcPr>
          <w:p>
            <w:r>
              <w:rPr>
                <w:b/>
              </w:rPr>
              <w:t>Est. cost</w:t>
            </w:r>
          </w:p>
        </w:tc>
        <w:tc>
          <w:tcPr>
            <w:tcW w:type="dxa" w:w="6624"/>
          </w:tcPr>
          <w:p>
            <w:r>
              <w:t>~8,000 THB</w:t>
            </w:r>
          </w:p>
        </w:tc>
      </w:tr>
      <w:tr>
        <w:tc>
          <w:tcPr>
            <w:tcW w:type="dxa" w:w="2448"/>
          </w:tcPr>
          <w:p>
            <w:r>
              <w:rPr>
                <w:b/>
              </w:rPr>
              <w:t>Depends on</w:t>
            </w:r>
          </w:p>
        </w:tc>
        <w:tc>
          <w:tcPr>
            <w:tcW w:type="dxa" w:w="6624"/>
          </w:tcPr>
          <w:p>
            <w:r>
              <w:t>Building Permit / site layout</w:t>
            </w:r>
          </w:p>
        </w:tc>
      </w:tr>
    </w:tbl>
    <w:p/>
    <w:p>
      <w:pPr>
        <w:spacing w:after="40"/>
      </w:pPr>
      <w:r>
        <w:rPr>
          <w:b/>
          <w:i w:val="0"/>
          <w:color w:val="202440"/>
        </w:rPr>
        <w:t>Purpose</w:t>
      </w:r>
    </w:p>
    <w:p>
      <w:pPr>
        <w:spacing w:after="160"/>
      </w:pPr>
      <w:r>
        <w:rPr>
          <w:b w:val="0"/>
          <w:i w:val="0"/>
        </w:rPr>
        <w:t>Approval to create or use an access connection from the site onto the public road network, including any works on the road reserve.</w:t>
      </w:r>
    </w:p>
    <w:p>
      <w:pPr>
        <w:spacing w:after="40"/>
      </w:pPr>
      <w:r>
        <w:rPr>
          <w:b/>
          <w:i w:val="0"/>
          <w:color w:val="202440"/>
        </w:rPr>
        <w:t>What each required item actually means</w:t>
      </w:r>
    </w:p>
    <w:p>
      <w:pPr>
        <w:pStyle w:val="ListBullet"/>
        <w:spacing w:after="80"/>
      </w:pPr>
      <w:r>
        <w:rPr>
          <w:b/>
        </w:rPr>
        <w:t xml:space="preserve">Access application &amp; site/location plan — </w:t>
      </w:r>
      <w:r>
        <w:t>Request plus plans showing the connection point, internal circulation, parking, loading and emergency access relative to the public road.</w:t>
      </w:r>
    </w:p>
    <w:p>
      <w:pPr>
        <w:pStyle w:val="ListBullet"/>
        <w:spacing w:after="80"/>
      </w:pPr>
      <w:r>
        <w:rPr>
          <w:b/>
        </w:rPr>
        <w:t xml:space="preserve">Traffic impact study — </w:t>
      </w:r>
      <w:r>
        <w:t>Estimated construction- and operation-phase vehicle volumes, peak flows and the effect on the existing road, with proposed controls — scaled to the road's capacity.</w:t>
      </w:r>
    </w:p>
    <w:p>
      <w:pPr>
        <w:pStyle w:val="ListBullet"/>
        <w:spacing w:after="80"/>
      </w:pPr>
      <w:r>
        <w:rPr>
          <w:b/>
        </w:rPr>
        <w:t xml:space="preserve">Access/road engineering design — </w:t>
      </w:r>
      <w:r>
        <w:t>Driveway geometry, widths, pavement, sight-lines at the junction and drainage under the access, sealed by an engineer.</w:t>
      </w:r>
    </w:p>
    <w:p>
      <w:pPr>
        <w:pStyle w:val="ListBullet"/>
        <w:spacing w:after="80"/>
      </w:pPr>
      <w:r>
        <w:rPr>
          <w:b/>
        </w:rPr>
        <w:t xml:space="preserve">Land-rights &amp; right-of-way proof — </w:t>
      </w:r>
      <w:r>
        <w:t>Title/lease and, if the access crosses other land, a registered servitude.</w:t>
      </w:r>
    </w:p>
    <w:p/>
    <w:p>
      <w:pPr>
        <w:spacing w:after="40"/>
      </w:pPr>
      <w:r>
        <w:rPr>
          <w:b/>
          <w:i w:val="0"/>
          <w:color w:val="202440"/>
        </w:rPr>
        <w:t>Common pitfalls &amp; review points</w:t>
      </w:r>
    </w:p>
    <w:p>
      <w:pPr>
        <w:pStyle w:val="ListBullet2"/>
        <w:spacing w:after="40"/>
      </w:pPr>
      <w:r>
        <w:t>Confirm who owns the abutting road (Highways vs. local) — it changes the authority and the standard.</w:t>
      </w:r>
    </w:p>
    <w:p>
      <w:pPr>
        <w:pStyle w:val="ListBullet2"/>
        <w:spacing w:after="40"/>
      </w:pPr>
      <w:r>
        <w:t>Sight-distance and junction safety are common sticking points; design to the road authority's standard, not the minimum.</w:t>
      </w:r>
    </w:p>
    <w:p>
      <w:pPr>
        <w:pStyle w:val="ListBullet2"/>
        <w:spacing w:after="40"/>
      </w:pPr>
      <w:r>
        <w:t>Heavy-equipment delivery routes for construction may need separate temporary approval.</w:t>
      </w:r>
    </w:p>
    <w:p/>
    <w:p>
      <w:r>
        <w:br w:type="page"/>
      </w:r>
    </w:p>
    <w:p>
      <w:pPr>
        <w:pStyle w:val="Heading1"/>
      </w:pPr>
      <w:r>
        <w:rPr>
          <w:color w:val="5B4AB0"/>
        </w:rPr>
        <w:t>8. Grid Connection Approval</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Provincial Electricity Authority (PEA) or Metropolitan Electricity Authority (MEA)</w:t>
            </w:r>
          </w:p>
        </w:tc>
      </w:tr>
      <w:tr>
        <w:tc>
          <w:tcPr>
            <w:tcW w:type="dxa" w:w="2448"/>
          </w:tcPr>
          <w:p>
            <w:r>
              <w:rPr>
                <w:b/>
              </w:rPr>
              <w:t>Phase</w:t>
            </w:r>
          </w:p>
        </w:tc>
        <w:tc>
          <w:tcPr>
            <w:tcW w:type="dxa" w:w="6624"/>
          </w:tcPr>
          <w:p>
            <w:r>
              <w:t>Design &amp; Planning</w:t>
            </w:r>
          </w:p>
        </w:tc>
      </w:tr>
      <w:tr>
        <w:tc>
          <w:tcPr>
            <w:tcW w:type="dxa" w:w="2448"/>
          </w:tcPr>
          <w:p>
            <w:r>
              <w:rPr>
                <w:b/>
              </w:rPr>
              <w:t>Lead time</w:t>
            </w:r>
          </w:p>
        </w:tc>
        <w:tc>
          <w:tcPr>
            <w:tcW w:type="dxa" w:w="6624"/>
          </w:tcPr>
          <w:p>
            <w:r>
              <w:t>~60 days</w:t>
            </w:r>
          </w:p>
        </w:tc>
      </w:tr>
      <w:tr>
        <w:tc>
          <w:tcPr>
            <w:tcW w:type="dxa" w:w="2448"/>
          </w:tcPr>
          <w:p>
            <w:r>
              <w:rPr>
                <w:b/>
              </w:rPr>
              <w:t>Est. cost</w:t>
            </w:r>
          </w:p>
        </w:tc>
        <w:tc>
          <w:tcPr>
            <w:tcW w:type="dxa" w:w="6624"/>
          </w:tcPr>
          <w:p>
            <w:r>
              <w:t>~50,000–100,000 THB</w:t>
            </w:r>
          </w:p>
        </w:tc>
      </w:tr>
      <w:tr>
        <w:tc>
          <w:tcPr>
            <w:tcW w:type="dxa" w:w="2448"/>
          </w:tcPr>
          <w:p>
            <w:r>
              <w:rPr>
                <w:b/>
              </w:rPr>
              <w:t>Linked to</w:t>
            </w:r>
          </w:p>
        </w:tc>
        <w:tc>
          <w:tcPr>
            <w:tcW w:type="dxa" w:w="6624"/>
          </w:tcPr>
          <w:p>
            <w:r>
              <w:t>Power Availability (ERC) and HV Substation</w:t>
            </w:r>
          </w:p>
        </w:tc>
      </w:tr>
    </w:tbl>
    <w:p/>
    <w:p>
      <w:pPr>
        <w:spacing w:after="40"/>
      </w:pPr>
      <w:r>
        <w:rPr>
          <w:b/>
          <w:i w:val="0"/>
          <w:color w:val="202440"/>
        </w:rPr>
        <w:t>Purpose</w:t>
      </w:r>
    </w:p>
    <w:p>
      <w:pPr>
        <w:spacing w:after="160"/>
      </w:pPr>
      <w:r>
        <w:rPr>
          <w:b w:val="0"/>
          <w:i w:val="0"/>
        </w:rPr>
        <w:t>The utility's agreement to connect the facility's load to the grid at the required capacity and voltage, defining the point of connection and the works each party builds.</w:t>
      </w:r>
    </w:p>
    <w:p>
      <w:pPr>
        <w:spacing w:after="40"/>
      </w:pPr>
      <w:r>
        <w:rPr>
          <w:b/>
          <w:i w:val="0"/>
          <w:color w:val="202440"/>
        </w:rPr>
        <w:t>What each required item actually means</w:t>
      </w:r>
    </w:p>
    <w:p>
      <w:pPr>
        <w:pStyle w:val="ListBullet"/>
        <w:spacing w:after="80"/>
      </w:pPr>
      <w:r>
        <w:rPr>
          <w:b/>
        </w:rPr>
        <w:t xml:space="preserve">Connection application &amp; load schedule — </w:t>
      </w:r>
      <w:r>
        <w:t>Formal request stating total demand (MW) and profile, broken into IT, cooling, lighting and auxiliary loads with peak/average figures.</w:t>
      </w:r>
    </w:p>
    <w:p>
      <w:pPr>
        <w:pStyle w:val="ListBullet"/>
        <w:spacing w:after="80"/>
      </w:pPr>
      <w:r>
        <w:rPr>
          <w:b/>
        </w:rPr>
        <w:t xml:space="preserve">Single-line electrical diagram — </w:t>
      </w:r>
      <w:r>
        <w:t>The connection topology from the utility point through the substation/transformers to distribution — sealed by a licensed electrical engineer.</w:t>
      </w:r>
    </w:p>
    <w:p>
      <w:pPr>
        <w:pStyle w:val="ListBullet"/>
        <w:spacing w:after="80"/>
      </w:pPr>
      <w:r>
        <w:rPr>
          <w:b/>
        </w:rPr>
        <w:t xml:space="preserve">Substation/transformer design — </w:t>
      </w:r>
      <w:r>
        <w:t>Location, capacity, voltage and configuration for the on-site receiving station (cross-references Permit 10).</w:t>
      </w:r>
    </w:p>
    <w:p>
      <w:pPr>
        <w:pStyle w:val="ListBullet"/>
        <w:spacing w:after="80"/>
      </w:pPr>
      <w:r>
        <w:rPr>
          <w:b/>
        </w:rPr>
        <w:t xml:space="preserve">Site map &amp; land control — </w:t>
      </w:r>
      <w:r>
        <w:t>Showing the proposed substation and cable route, with proof of land rights for that footprint.</w:t>
      </w:r>
    </w:p>
    <w:p>
      <w:pPr>
        <w:pStyle w:val="ListBullet"/>
        <w:spacing w:after="80"/>
      </w:pPr>
      <w:r>
        <w:rPr>
          <w:b/>
        </w:rPr>
        <w:t xml:space="preserve">Programme — </w:t>
      </w:r>
      <w:r>
        <w:t>Construction and energisation dates so the utility can plan its reinforcement works.</w:t>
      </w:r>
    </w:p>
    <w:p/>
    <w:p>
      <w:pPr>
        <w:spacing w:after="40"/>
      </w:pPr>
      <w:r>
        <w:rPr>
          <w:b/>
          <w:i w:val="0"/>
          <w:color w:val="202440"/>
        </w:rPr>
        <w:t>Common pitfalls &amp; review points</w:t>
      </w:r>
    </w:p>
    <w:p>
      <w:pPr>
        <w:pStyle w:val="ListBullet2"/>
        <w:spacing w:after="40"/>
      </w:pPr>
      <w:r>
        <w:t>The ERC Power Availability letter (Permit 9) should already confirm capacity exists — grid connection turns that into a contracted point of supply.</w:t>
      </w:r>
    </w:p>
    <w:p>
      <w:pPr>
        <w:pStyle w:val="ListBullet2"/>
        <w:spacing w:after="40"/>
      </w:pPr>
      <w:r>
        <w:t>Utility-side reinforcement can have a long lead; lock the connection date against the build programme.</w:t>
      </w:r>
    </w:p>
    <w:p>
      <w:pPr>
        <w:pStyle w:val="ListBullet2"/>
        <w:spacing w:after="40"/>
      </w:pPr>
      <w:r>
        <w:t>Clarify the cost-sharing and deposit for utility works up front.</w:t>
      </w:r>
    </w:p>
    <w:p/>
    <w:p>
      <w:r>
        <w:br w:type="page"/>
      </w:r>
    </w:p>
    <w:p>
      <w:pPr>
        <w:pStyle w:val="Heading1"/>
      </w:pPr>
      <w:r>
        <w:rPr>
          <w:color w:val="5B4AB0"/>
        </w:rPr>
        <w:t>9. Power Availability Confirmation (ERC)</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Energy Regulatory Commission (ERC), via PEA/MEA</w:t>
            </w:r>
          </w:p>
        </w:tc>
      </w:tr>
      <w:tr>
        <w:tc>
          <w:tcPr>
            <w:tcW w:type="dxa" w:w="2448"/>
          </w:tcPr>
          <w:p>
            <w:r>
              <w:rPr>
                <w:b/>
              </w:rPr>
              <w:t>Phase</w:t>
            </w:r>
          </w:p>
        </w:tc>
        <w:tc>
          <w:tcPr>
            <w:tcW w:type="dxa" w:w="6624"/>
          </w:tcPr>
          <w:p>
            <w:r>
              <w:t>Design &amp; Planning</w:t>
            </w:r>
          </w:p>
        </w:tc>
      </w:tr>
      <w:tr>
        <w:tc>
          <w:tcPr>
            <w:tcW w:type="dxa" w:w="2448"/>
          </w:tcPr>
          <w:p>
            <w:r>
              <w:rPr>
                <w:b/>
              </w:rPr>
              <w:t>Lead time</w:t>
            </w:r>
          </w:p>
        </w:tc>
        <w:tc>
          <w:tcPr>
            <w:tcW w:type="dxa" w:w="6624"/>
          </w:tcPr>
          <w:p>
            <w:r>
              <w:t>~30 days</w:t>
            </w:r>
          </w:p>
        </w:tc>
      </w:tr>
      <w:tr>
        <w:tc>
          <w:tcPr>
            <w:tcW w:type="dxa" w:w="2448"/>
          </w:tcPr>
          <w:p>
            <w:r>
              <w:rPr>
                <w:b/>
              </w:rPr>
              <w:t>Est. cost</w:t>
            </w:r>
          </w:p>
        </w:tc>
        <w:tc>
          <w:tcPr>
            <w:tcW w:type="dxa" w:w="6624"/>
          </w:tcPr>
          <w:p>
            <w:r>
              <w:t>No fee</w:t>
            </w:r>
          </w:p>
        </w:tc>
      </w:tr>
      <w:tr>
        <w:tc>
          <w:tcPr>
            <w:tcW w:type="dxa" w:w="2448"/>
          </w:tcPr>
          <w:p>
            <w:r>
              <w:rPr>
                <w:b/>
              </w:rPr>
              <w:t>Critical</w:t>
            </w:r>
          </w:p>
        </w:tc>
        <w:tc>
          <w:tcPr>
            <w:tcW w:type="dxa" w:w="6624"/>
          </w:tcPr>
          <w:p>
            <w:r>
              <w:t>Mandatory PREREQUISITE for the BOI application</w:t>
            </w:r>
          </w:p>
        </w:tc>
      </w:tr>
    </w:tbl>
    <w:p/>
    <w:p>
      <w:pPr>
        <w:spacing w:after="40"/>
      </w:pPr>
      <w:r>
        <w:rPr>
          <w:b/>
          <w:i w:val="0"/>
          <w:color w:val="202440"/>
        </w:rPr>
        <w:t>Purpose</w:t>
      </w:r>
    </w:p>
    <w:p>
      <w:pPr>
        <w:spacing w:after="160"/>
      </w:pPr>
      <w:r>
        <w:rPr>
          <w:b w:val="0"/>
          <w:i w:val="0"/>
        </w:rPr>
        <w:t>An official confirmation that grid power of the required capacity is available to the site. Since 2025–26 it must be obtained before the BOI application — making it one of the earliest and most schedule-critical actions.</w:t>
      </w:r>
    </w:p>
    <w:p>
      <w:pPr>
        <w:spacing w:after="40"/>
      </w:pPr>
      <w:r>
        <w:rPr>
          <w:b/>
          <w:i w:val="0"/>
          <w:color w:val="202440"/>
        </w:rPr>
        <w:t>What each required item actually means</w:t>
      </w:r>
    </w:p>
    <w:p>
      <w:pPr>
        <w:pStyle w:val="ListBullet"/>
        <w:spacing w:after="80"/>
      </w:pPr>
      <w:r>
        <w:rPr>
          <w:b/>
        </w:rPr>
        <w:t xml:space="preserve">Power requirement letter &amp; load forecast — </w:t>
      </w:r>
      <w:r>
        <w:t>A letter stating the capacity needed (MW) with peak and average load and the connection timeline.</w:t>
      </w:r>
    </w:p>
    <w:p>
      <w:pPr>
        <w:pStyle w:val="ListBullet"/>
        <w:spacing w:after="80"/>
      </w:pPr>
      <w:r>
        <w:rPr>
          <w:b/>
        </w:rPr>
        <w:t xml:space="preserve">Project specification &amp; location — </w:t>
      </w:r>
      <w:r>
        <w:t>Facility type, size and GPS location so the utility can test capacity against the local network.</w:t>
      </w:r>
    </w:p>
    <w:p>
      <w:pPr>
        <w:pStyle w:val="ListBullet"/>
        <w:spacing w:after="80"/>
      </w:pPr>
      <w:r>
        <w:rPr>
          <w:b/>
        </w:rPr>
        <w:t xml:space="preserve">Grid connection plan / single-line — </w:t>
      </w:r>
      <w:r>
        <w:t>Indicative connection point, transformer and substation arrangement.</w:t>
      </w:r>
    </w:p>
    <w:p>
      <w:pPr>
        <w:pStyle w:val="ListBullet"/>
        <w:spacing w:after="80"/>
      </w:pPr>
      <w:r>
        <w:rPr>
          <w:b/>
        </w:rPr>
        <w:t xml:space="preserve">Applicant identity &amp; land proof — </w:t>
      </w:r>
      <w:r>
        <w:t>Company affidavit and title/lease showing the applicant controls the site.</w:t>
      </w:r>
    </w:p>
    <w:p>
      <w:pPr>
        <w:pStyle w:val="ListBullet"/>
        <w:spacing w:after="80"/>
      </w:pPr>
      <w:r>
        <w:rPr>
          <w:b/>
        </w:rPr>
        <w:t xml:space="preserve">Environmental status — </w:t>
      </w:r>
      <w:r>
        <w:t>Reference to the EIA stage where the utility requires it.</w:t>
      </w:r>
    </w:p>
    <w:p/>
    <w:p>
      <w:pPr>
        <w:spacing w:after="40"/>
      </w:pPr>
      <w:r>
        <w:rPr>
          <w:b/>
          <w:i w:val="0"/>
          <w:color w:val="202440"/>
        </w:rPr>
        <w:t>Common pitfalls &amp; review points</w:t>
      </w:r>
    </w:p>
    <w:p>
      <w:pPr>
        <w:pStyle w:val="ListBullet2"/>
        <w:spacing w:after="40"/>
      </w:pPr>
      <w:r>
        <w:t>Start this FIRST — it gates BOI and can take 2–8 weeks depending on local network headroom.</w:t>
      </w:r>
    </w:p>
    <w:p>
      <w:pPr>
        <w:pStyle w:val="ListBullet2"/>
        <w:spacing w:after="40"/>
      </w:pPr>
      <w:r>
        <w:t>If local capacity is short, the utility may require reinforcement at the project's cost — surface this early.</w:t>
      </w:r>
    </w:p>
    <w:p>
      <w:pPr>
        <w:pStyle w:val="ListBullet2"/>
        <w:spacing w:after="40"/>
      </w:pPr>
      <w:r>
        <w:t>Keep the figures consistent with the BOI load numbers and the grid-connection application.</w:t>
      </w:r>
    </w:p>
    <w:p/>
    <w:p>
      <w:r>
        <w:br w:type="page"/>
      </w:r>
    </w:p>
    <w:p>
      <w:pPr>
        <w:pStyle w:val="Heading1"/>
      </w:pPr>
      <w:r>
        <w:rPr>
          <w:color w:val="5B4AB0"/>
        </w:rPr>
        <w:t>10. High-Voltage Substation Approval</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PEA / MEA</w:t>
            </w:r>
          </w:p>
        </w:tc>
      </w:tr>
      <w:tr>
        <w:tc>
          <w:tcPr>
            <w:tcW w:type="dxa" w:w="2448"/>
          </w:tcPr>
          <w:p>
            <w:r>
              <w:rPr>
                <w:b/>
              </w:rPr>
              <w:t>Phase</w:t>
            </w:r>
          </w:p>
        </w:tc>
        <w:tc>
          <w:tcPr>
            <w:tcW w:type="dxa" w:w="6624"/>
          </w:tcPr>
          <w:p>
            <w:r>
              <w:t>Design &amp; Planning</w:t>
            </w:r>
          </w:p>
        </w:tc>
      </w:tr>
      <w:tr>
        <w:tc>
          <w:tcPr>
            <w:tcW w:type="dxa" w:w="2448"/>
          </w:tcPr>
          <w:p>
            <w:r>
              <w:rPr>
                <w:b/>
              </w:rPr>
              <w:t>Lead time</w:t>
            </w:r>
          </w:p>
        </w:tc>
        <w:tc>
          <w:tcPr>
            <w:tcW w:type="dxa" w:w="6624"/>
          </w:tcPr>
          <w:p>
            <w:r>
              <w:t>~90 days</w:t>
            </w:r>
          </w:p>
        </w:tc>
      </w:tr>
      <w:tr>
        <w:tc>
          <w:tcPr>
            <w:tcW w:type="dxa" w:w="2448"/>
          </w:tcPr>
          <w:p>
            <w:r>
              <w:rPr>
                <w:b/>
              </w:rPr>
              <w:t>Est. cost</w:t>
            </w:r>
          </w:p>
        </w:tc>
        <w:tc>
          <w:tcPr>
            <w:tcW w:type="dxa" w:w="6624"/>
          </w:tcPr>
          <w:p>
            <w:r>
              <w:t>~100,000–200,000 THB</w:t>
            </w:r>
          </w:p>
        </w:tc>
      </w:tr>
      <w:tr>
        <w:tc>
          <w:tcPr>
            <w:tcW w:type="dxa" w:w="2448"/>
          </w:tcPr>
          <w:p>
            <w:r>
              <w:rPr>
                <w:b/>
              </w:rPr>
              <w:t>Depends on</w:t>
            </w:r>
          </w:p>
        </w:tc>
        <w:tc>
          <w:tcPr>
            <w:tcW w:type="dxa" w:w="6624"/>
          </w:tcPr>
          <w:p>
            <w:r>
              <w:t>Grid Connection Approval</w:t>
            </w:r>
          </w:p>
        </w:tc>
      </w:tr>
    </w:tbl>
    <w:p/>
    <w:p>
      <w:pPr>
        <w:spacing w:after="40"/>
      </w:pPr>
      <w:r>
        <w:rPr>
          <w:b/>
          <w:i w:val="0"/>
          <w:color w:val="202440"/>
        </w:rPr>
        <w:t>Purpose</w:t>
      </w:r>
    </w:p>
    <w:p>
      <w:pPr>
        <w:spacing w:after="160"/>
      </w:pPr>
      <w:r>
        <w:rPr>
          <w:b w:val="0"/>
          <w:i w:val="0"/>
        </w:rPr>
        <w:t>Technical approval of the on-site HV substation that steps utility voltage down for the facility — design, protection, safety and siting.</w:t>
      </w:r>
    </w:p>
    <w:p>
      <w:pPr>
        <w:spacing w:after="40"/>
      </w:pPr>
      <w:r>
        <w:rPr>
          <w:b/>
          <w:i w:val="0"/>
          <w:color w:val="202440"/>
        </w:rPr>
        <w:t>What each required item actually means</w:t>
      </w:r>
    </w:p>
    <w:p>
      <w:pPr>
        <w:pStyle w:val="ListBullet"/>
        <w:spacing w:after="80"/>
      </w:pPr>
      <w:r>
        <w:rPr>
          <w:b/>
        </w:rPr>
        <w:t xml:space="preserve">Substation design package — </w:t>
      </w:r>
      <w:r>
        <w:t>Layout, single-line diagram, transformer ratings/cooling, switchgear and protection equipment, grounding and cable routing — sealed by a licensed electrical engineer.</w:t>
      </w:r>
    </w:p>
    <w:p>
      <w:pPr>
        <w:pStyle w:val="ListBullet"/>
        <w:spacing w:after="80"/>
      </w:pPr>
      <w:r>
        <w:rPr>
          <w:b/>
        </w:rPr>
        <w:t xml:space="preserve">Engineering studies — </w:t>
      </w:r>
      <w:r>
        <w:t>Load-flow, fault-current and protection-coordination studies, plus equipment thermal analysis, proving the design is safe and selective.</w:t>
      </w:r>
    </w:p>
    <w:p>
      <w:pPr>
        <w:pStyle w:val="ListBullet"/>
        <w:spacing w:after="80"/>
      </w:pPr>
      <w:r>
        <w:rPr>
          <w:b/>
        </w:rPr>
        <w:t xml:space="preserve">Safety &amp; security plan — </w:t>
      </w:r>
      <w:r>
        <w:t>Physical security, fencing, hazard signage, access control and emergency procedures for the HV compound.</w:t>
      </w:r>
    </w:p>
    <w:p>
      <w:pPr>
        <w:pStyle w:val="ListBullet"/>
        <w:spacing w:after="80"/>
      </w:pPr>
      <w:r>
        <w:rPr>
          <w:b/>
        </w:rPr>
        <w:t xml:space="preserve">Environmental &amp; siting evidence — </w:t>
      </w:r>
      <w:r>
        <w:t>Assessment of EMF, noise and visual impact and proof of land control for the substation footprint.</w:t>
      </w:r>
    </w:p>
    <w:p>
      <w:pPr>
        <w:pStyle w:val="ListBullet"/>
        <w:spacing w:after="80"/>
      </w:pPr>
      <w:r>
        <w:rPr>
          <w:b/>
        </w:rPr>
        <w:t xml:space="preserve">Building permit (if enclosed) — </w:t>
      </w:r>
      <w:r>
        <w:t>If the substation sits in a building, its own building approval.</w:t>
      </w:r>
    </w:p>
    <w:p/>
    <w:p>
      <w:pPr>
        <w:spacing w:after="40"/>
      </w:pPr>
      <w:r>
        <w:rPr>
          <w:b/>
          <w:i w:val="0"/>
          <w:color w:val="202440"/>
        </w:rPr>
        <w:t>Common pitfalls &amp; review points</w:t>
      </w:r>
    </w:p>
    <w:p>
      <w:pPr>
        <w:pStyle w:val="ListBullet2"/>
        <w:spacing w:after="40"/>
      </w:pPr>
      <w:r>
        <w:t>Protection-coordination and fault studies are where approvals stall — have them done by an experienced HV engineer.</w:t>
      </w:r>
    </w:p>
    <w:p>
      <w:pPr>
        <w:pStyle w:val="ListBullet2"/>
        <w:spacing w:after="40"/>
      </w:pPr>
      <w:r>
        <w:t>Coordinate the substation programme with the utility's grid works so energisation isn't held up.</w:t>
      </w:r>
    </w:p>
    <w:p>
      <w:pPr>
        <w:pStyle w:val="ListBullet2"/>
        <w:spacing w:after="40"/>
      </w:pPr>
      <w:r>
        <w:t>Align ratings with the BOI/grid load figures.</w:t>
      </w:r>
    </w:p>
    <w:p/>
    <w:p>
      <w:r>
        <w:br w:type="page"/>
      </w:r>
    </w:p>
    <w:p>
      <w:pPr>
        <w:pStyle w:val="Heading1"/>
      </w:pPr>
      <w:r>
        <w:rPr>
          <w:color w:val="5B4AB0"/>
        </w:rPr>
        <w:t>11. Water Supply Connection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Metropolitan (MWA) or Provincial (PWA) Waterworks Authority</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~45 days</w:t>
            </w:r>
          </w:p>
        </w:tc>
      </w:tr>
      <w:tr>
        <w:tc>
          <w:tcPr>
            <w:tcW w:type="dxa" w:w="2448"/>
          </w:tcPr>
          <w:p>
            <w:r>
              <w:rPr>
                <w:b/>
              </w:rPr>
              <w:t>Est. cost</w:t>
            </w:r>
          </w:p>
        </w:tc>
        <w:tc>
          <w:tcPr>
            <w:tcW w:type="dxa" w:w="6624"/>
          </w:tcPr>
          <w:p>
            <w:r>
              <w:t>~20,000–40,000 THB</w:t>
            </w:r>
          </w:p>
        </w:tc>
      </w:tr>
      <w:tr>
        <w:tc>
          <w:tcPr>
            <w:tcW w:type="dxa" w:w="2448"/>
          </w:tcPr>
          <w:p>
            <w:r>
              <w:rPr>
                <w:b/>
              </w:rPr>
              <w:t>Depends on</w:t>
            </w:r>
          </w:p>
        </w:tc>
        <w:tc>
          <w:tcPr>
            <w:tcW w:type="dxa" w:w="6624"/>
          </w:tcPr>
          <w:p>
            <w:r>
              <w:t>Building Permit</w:t>
            </w:r>
          </w:p>
        </w:tc>
      </w:tr>
    </w:tbl>
    <w:p/>
    <w:p>
      <w:pPr>
        <w:spacing w:after="40"/>
      </w:pPr>
      <w:r>
        <w:rPr>
          <w:b/>
          <w:i w:val="0"/>
          <w:color w:val="202440"/>
        </w:rPr>
        <w:t>Purpose</w:t>
      </w:r>
    </w:p>
    <w:p>
      <w:pPr>
        <w:spacing w:after="160"/>
      </w:pPr>
      <w:r>
        <w:rPr>
          <w:b w:val="0"/>
          <w:i w:val="0"/>
        </w:rPr>
        <w:t>Connection to mains water at the demand the facility needs — significant for a data centre because of evaporative/cooling water use.</w:t>
      </w:r>
    </w:p>
    <w:p>
      <w:pPr>
        <w:spacing w:after="40"/>
      </w:pPr>
      <w:r>
        <w:rPr>
          <w:b/>
          <w:i w:val="0"/>
          <w:color w:val="202440"/>
        </w:rPr>
        <w:t>What each required item actually means</w:t>
      </w:r>
    </w:p>
    <w:p>
      <w:pPr>
        <w:pStyle w:val="ListBullet"/>
        <w:spacing w:after="80"/>
      </w:pPr>
      <w:r>
        <w:rPr>
          <w:b/>
        </w:rPr>
        <w:t xml:space="preserve">Connection application &amp; demand calculation — </w:t>
      </w:r>
      <w:r>
        <w:t>Daily and peak water demand split into cooling and domestic use, with seasonal variation.</w:t>
      </w:r>
    </w:p>
    <w:p>
      <w:pPr>
        <w:pStyle w:val="ListBullet"/>
        <w:spacing w:after="80"/>
      </w:pPr>
      <w:r>
        <w:rPr>
          <w:b/>
        </w:rPr>
        <w:t xml:space="preserve">Water system drawings — </w:t>
      </w:r>
      <w:r>
        <w:t>Meter location, pipe sizing and routing from the main, storage tank capacity, backflow prevention and any pre-treatment.</w:t>
      </w:r>
    </w:p>
    <w:p>
      <w:pPr>
        <w:pStyle w:val="ListBullet"/>
        <w:spacing w:after="80"/>
      </w:pPr>
      <w:r>
        <w:rPr>
          <w:b/>
        </w:rPr>
        <w:t xml:space="preserve">Land rights &amp; building permit — </w:t>
      </w:r>
      <w:r>
        <w:t>Title/lease and the building approval.</w:t>
      </w:r>
    </w:p>
    <w:p>
      <w:pPr>
        <w:pStyle w:val="ListBullet"/>
        <w:spacing w:after="80"/>
      </w:pPr>
      <w:r>
        <w:rPr>
          <w:b/>
        </w:rPr>
        <w:t xml:space="preserve">Environmental reference — </w:t>
      </w:r>
      <w:r>
        <w:t>Consistency with the EIA water-use figures.</w:t>
      </w:r>
    </w:p>
    <w:p/>
    <w:p>
      <w:pPr>
        <w:spacing w:after="40"/>
      </w:pPr>
      <w:r>
        <w:rPr>
          <w:b/>
          <w:i w:val="0"/>
          <w:color w:val="202440"/>
        </w:rPr>
        <w:t>Common pitfalls &amp; review points</w:t>
      </w:r>
    </w:p>
    <w:p>
      <w:pPr>
        <w:pStyle w:val="ListBullet2"/>
        <w:spacing w:after="40"/>
      </w:pPr>
      <w:r>
        <w:t>Cooling water demand is large and peaky — size the storage and connection for peak, not average.</w:t>
      </w:r>
    </w:p>
    <w:p>
      <w:pPr>
        <w:pStyle w:val="ListBullet2"/>
        <w:spacing w:after="40"/>
      </w:pPr>
      <w:r>
        <w:t>Backflow prevention is mandatory for industrial connections; show it explicitly.</w:t>
      </w:r>
    </w:p>
    <w:p>
      <w:pPr>
        <w:pStyle w:val="ListBullet2"/>
        <w:spacing w:after="40"/>
      </w:pPr>
      <w:r>
        <w:t>If mains capacity is limited, plan on-site storage or an alternative source early.</w:t>
      </w:r>
    </w:p>
    <w:p/>
    <w:p>
      <w:r>
        <w:br w:type="page"/>
      </w:r>
    </w:p>
    <w:p>
      <w:pPr>
        <w:pStyle w:val="Heading1"/>
      </w:pPr>
      <w:r>
        <w:rPr>
          <w:color w:val="5B4AB0"/>
        </w:rPr>
        <w:t>12. Wastewater / Drainage Connection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Authority / Waterworks / under the Factory &amp; Public Health rules</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~45 days</w:t>
            </w:r>
          </w:p>
        </w:tc>
      </w:tr>
      <w:tr>
        <w:tc>
          <w:tcPr>
            <w:tcW w:type="dxa" w:w="2448"/>
          </w:tcPr>
          <w:p>
            <w:r>
              <w:rPr>
                <w:b/>
              </w:rPr>
              <w:t>Est. cost</w:t>
            </w:r>
          </w:p>
        </w:tc>
        <w:tc>
          <w:tcPr>
            <w:tcW w:type="dxa" w:w="6624"/>
          </w:tcPr>
          <w:p>
            <w:r>
              <w:t>~25,000–50,000 THB</w:t>
            </w:r>
          </w:p>
        </w:tc>
      </w:tr>
      <w:tr>
        <w:tc>
          <w:tcPr>
            <w:tcW w:type="dxa" w:w="2448"/>
          </w:tcPr>
          <w:p>
            <w:r>
              <w:rPr>
                <w:b/>
              </w:rPr>
              <w:t>Depends on</w:t>
            </w:r>
          </w:p>
        </w:tc>
        <w:tc>
          <w:tcPr>
            <w:tcW w:type="dxa" w:w="6624"/>
          </w:tcPr>
          <w:p>
            <w:r>
              <w:t>Building Permit, EIA</w:t>
            </w:r>
          </w:p>
        </w:tc>
      </w:tr>
    </w:tbl>
    <w:p/>
    <w:p>
      <w:pPr>
        <w:spacing w:after="40"/>
      </w:pPr>
      <w:r>
        <w:rPr>
          <w:b/>
          <w:i w:val="0"/>
          <w:color w:val="202440"/>
        </w:rPr>
        <w:t>Purpose</w:t>
      </w:r>
    </w:p>
    <w:p>
      <w:pPr>
        <w:spacing w:after="160"/>
      </w:pPr>
      <w:r>
        <w:rPr>
          <w:b w:val="0"/>
          <w:i w:val="0"/>
        </w:rPr>
        <w:t>Approval to treat and discharge the facility's wastewater to the required effluent standard, and to connect to the public sewer or receiving water.</w:t>
      </w:r>
    </w:p>
    <w:p>
      <w:pPr>
        <w:spacing w:after="40"/>
      </w:pPr>
      <w:r>
        <w:rPr>
          <w:b/>
          <w:i w:val="0"/>
          <w:color w:val="202440"/>
        </w:rPr>
        <w:t>What each required item actually means</w:t>
      </w:r>
    </w:p>
    <w:p>
      <w:pPr>
        <w:pStyle w:val="ListBullet"/>
        <w:spacing w:after="80"/>
      </w:pPr>
      <w:r>
        <w:rPr>
          <w:b/>
        </w:rPr>
        <w:t xml:space="preserve">Discharge application &amp; wastewater characterisation — </w:t>
      </w:r>
      <w:r>
        <w:t>Estimated volume and composition (BOD, COD, TSS, pH, temperature, any chemical content from cooling/cleaning).</w:t>
      </w:r>
    </w:p>
    <w:p>
      <w:pPr>
        <w:pStyle w:val="ListBullet"/>
        <w:spacing w:after="80"/>
      </w:pPr>
      <w:r>
        <w:rPr>
          <w:b/>
        </w:rPr>
        <w:t xml:space="preserve">Treatment system design — </w:t>
      </w:r>
      <w:r>
        <w:t>Process (settling, treatment, filtration), capacity, the effluent quality it achieves vs. Thai standards, and sludge management.</w:t>
      </w:r>
    </w:p>
    <w:p>
      <w:pPr>
        <w:pStyle w:val="ListBullet"/>
        <w:spacing w:after="80"/>
      </w:pPr>
      <w:r>
        <w:rPr>
          <w:b/>
        </w:rPr>
        <w:t xml:space="preserve">Drainage layout — </w:t>
      </w:r>
      <w:r>
        <w:t>Pipe sizing/routing to the discharge point, inspection access and any backup power for treatment.</w:t>
      </w:r>
    </w:p>
    <w:p>
      <w:pPr>
        <w:pStyle w:val="ListBullet"/>
        <w:spacing w:after="80"/>
      </w:pPr>
      <w:r>
        <w:rPr>
          <w:b/>
        </w:rPr>
        <w:t xml:space="preserve">Monitoring plan — </w:t>
      </w:r>
      <w:r>
        <w:t>Effluent testing schedule and reporting committed in the EIA.</w:t>
      </w:r>
    </w:p>
    <w:p>
      <w:pPr>
        <w:pStyle w:val="ListBullet"/>
        <w:spacing w:after="80"/>
      </w:pPr>
      <w:r>
        <w:rPr>
          <w:b/>
        </w:rPr>
        <w:t xml:space="preserve">Land rights &amp; building permit — </w:t>
      </w:r>
      <w:r>
        <w:t>Title/lease and the building approval.</w:t>
      </w:r>
    </w:p>
    <w:p/>
    <w:p>
      <w:pPr>
        <w:spacing w:after="40"/>
      </w:pPr>
      <w:r>
        <w:rPr>
          <w:b/>
          <w:i w:val="0"/>
          <w:color w:val="202440"/>
        </w:rPr>
        <w:t>Common pitfalls &amp; review points</w:t>
      </w:r>
    </w:p>
    <w:p>
      <w:pPr>
        <w:pStyle w:val="ListBullet2"/>
        <w:spacing w:after="40"/>
      </w:pPr>
      <w:r>
        <w:t>Effluent must meet the discharge standard for the receiving environment — design the treatment to that, not a generic spec.</w:t>
      </w:r>
    </w:p>
    <w:p>
      <w:pPr>
        <w:pStyle w:val="ListBullet2"/>
        <w:spacing w:after="40"/>
      </w:pPr>
      <w:r>
        <w:t>The treatment design must match what the EIA approved; divergence triggers re-review.</w:t>
      </w:r>
    </w:p>
    <w:p>
      <w:pPr>
        <w:pStyle w:val="ListBullet2"/>
        <w:spacing w:after="40"/>
      </w:pPr>
      <w:r>
        <w:t>Provide backup power for treatment so discharge stays compliant during outages.</w:t>
      </w:r>
    </w:p>
    <w:p/>
    <w:p>
      <w:r>
        <w:br w:type="page"/>
      </w:r>
    </w:p>
    <w:p>
      <w:pPr>
        <w:pStyle w:val="Heading1"/>
      </w:pPr>
      <w:r>
        <w:rPr>
          <w:color w:val="5B4AB0"/>
        </w:rPr>
        <w:t>13. Fire Protection System Approval</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Building Control / Fire Authority</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~30 days</w:t>
            </w:r>
          </w:p>
        </w:tc>
      </w:tr>
      <w:tr>
        <w:tc>
          <w:tcPr>
            <w:tcW w:type="dxa" w:w="2448"/>
          </w:tcPr>
          <w:p>
            <w:r>
              <w:rPr>
                <w:b/>
              </w:rPr>
              <w:t>Est. cost</w:t>
            </w:r>
          </w:p>
        </w:tc>
        <w:tc>
          <w:tcPr>
            <w:tcW w:type="dxa" w:w="6624"/>
          </w:tcPr>
          <w:p>
            <w:r>
              <w:t>~80,000–150,000 THB</w:t>
            </w:r>
          </w:p>
        </w:tc>
      </w:tr>
      <w:tr>
        <w:tc>
          <w:tcPr>
            <w:tcW w:type="dxa" w:w="2448"/>
          </w:tcPr>
          <w:p>
            <w:r>
              <w:rPr>
                <w:b/>
              </w:rPr>
              <w:t>Depends on</w:t>
            </w:r>
          </w:p>
        </w:tc>
        <w:tc>
          <w:tcPr>
            <w:tcW w:type="dxa" w:w="6624"/>
          </w:tcPr>
          <w:p>
            <w:r>
              <w:t>Building Permit</w:t>
            </w:r>
          </w:p>
        </w:tc>
      </w:tr>
    </w:tbl>
    <w:p/>
    <w:p>
      <w:pPr>
        <w:spacing w:after="40"/>
      </w:pPr>
      <w:r>
        <w:rPr>
          <w:b/>
          <w:i w:val="0"/>
          <w:color w:val="202440"/>
        </w:rPr>
        <w:t>Purpose</w:t>
      </w:r>
    </w:p>
    <w:p>
      <w:pPr>
        <w:spacing w:after="160"/>
      </w:pPr>
      <w:r>
        <w:rPr>
          <w:b w:val="0"/>
          <w:i w:val="0"/>
        </w:rPr>
        <w:t>Design approval of the detection and suppression systems protecting the facility — critical for a data centre, where clean-agent suppression and compartmentation protect IT halls.</w:t>
      </w:r>
    </w:p>
    <w:p>
      <w:pPr>
        <w:spacing w:after="40"/>
      </w:pPr>
      <w:r>
        <w:rPr>
          <w:b/>
          <w:i w:val="0"/>
          <w:color w:val="202440"/>
        </w:rPr>
        <w:t>What each required item actually means</w:t>
      </w:r>
    </w:p>
    <w:p>
      <w:pPr>
        <w:pStyle w:val="ListBullet"/>
        <w:spacing w:after="80"/>
      </w:pPr>
      <w:r>
        <w:rPr>
          <w:b/>
        </w:rPr>
        <w:t xml:space="preserve">Fire safety plan — </w:t>
      </w:r>
      <w:r>
        <w:t>Overall strategy: zones, compartmentation, escape strategy and occupancy load.</w:t>
      </w:r>
    </w:p>
    <w:p>
      <w:pPr>
        <w:pStyle w:val="ListBullet"/>
        <w:spacing w:after="80"/>
      </w:pPr>
      <w:r>
        <w:rPr>
          <w:b/>
        </w:rPr>
        <w:t xml:space="preserve">Detection design — </w:t>
      </w:r>
      <w:r>
        <w:t>Smoke/heat detector layout and spacing, manual call points and the control panel — to the relevant standard.</w:t>
      </w:r>
    </w:p>
    <w:p>
      <w:pPr>
        <w:pStyle w:val="ListBullet"/>
        <w:spacing w:after="80"/>
      </w:pPr>
      <w:r>
        <w:rPr>
          <w:b/>
        </w:rPr>
        <w:t xml:space="preserve">Suppression design — </w:t>
      </w:r>
      <w:r>
        <w:t>Agent type (clean agent such as FM-200/IG-541/Novec, or sprinkler where appropriate), nozzle layout, discharge/concentration calculations and agent storage — sized to the protected volume.</w:t>
      </w:r>
    </w:p>
    <w:p>
      <w:pPr>
        <w:pStyle w:val="ListBullet"/>
        <w:spacing w:after="80"/>
      </w:pPr>
      <w:r>
        <w:rPr>
          <w:b/>
        </w:rPr>
        <w:t xml:space="preserve">Emergency lighting &amp; signage — </w:t>
      </w:r>
      <w:r>
        <w:t>Exit signs and emergency lighting coverage and egress wayfinding.</w:t>
      </w:r>
    </w:p>
    <w:p>
      <w:pPr>
        <w:pStyle w:val="ListBullet"/>
        <w:spacing w:after="80"/>
      </w:pPr>
      <w:r>
        <w:rPr>
          <w:b/>
        </w:rPr>
        <w:t xml:space="preserve">Passive protection — </w:t>
      </w:r>
      <w:r>
        <w:t>Fire-rated walls/doors and compartment boundaries with rated penetrations.</w:t>
      </w:r>
    </w:p>
    <w:p>
      <w:pPr>
        <w:pStyle w:val="ListBullet"/>
        <w:spacing w:after="80"/>
      </w:pPr>
      <w:r>
        <w:rPr>
          <w:b/>
        </w:rPr>
        <w:t xml:space="preserve">Licensed fire engineer seal — </w:t>
      </w:r>
      <w:r>
        <w:t>The design is sealed by a qualified fire-protection engineer.</w:t>
      </w:r>
    </w:p>
    <w:p/>
    <w:p>
      <w:pPr>
        <w:spacing w:after="40"/>
      </w:pPr>
      <w:r>
        <w:rPr>
          <w:b/>
          <w:i w:val="0"/>
          <w:color w:val="202440"/>
        </w:rPr>
        <w:t>Common pitfalls &amp; review points</w:t>
      </w:r>
    </w:p>
    <w:p>
      <w:pPr>
        <w:pStyle w:val="ListBullet2"/>
        <w:spacing w:after="40"/>
      </w:pPr>
      <w:r>
        <w:t>Specify clean-agent suppression for IT halls (water risks equipment); justify the agent and concentration with calculations.</w:t>
      </w:r>
    </w:p>
    <w:p>
      <w:pPr>
        <w:pStyle w:val="ListBullet2"/>
        <w:spacing w:after="40"/>
      </w:pPr>
      <w:r>
        <w:t>Detection and suppression zoning must match the room compartmentation in the building set.</w:t>
      </w:r>
    </w:p>
    <w:p>
      <w:pPr>
        <w:pStyle w:val="ListBullet2"/>
        <w:spacing w:after="40"/>
      </w:pPr>
      <w:r>
        <w:t>Coordinate smoke control and stairwell pressurisation with the MEP design.</w:t>
      </w:r>
    </w:p>
    <w:p/>
    <w:p>
      <w:r>
        <w:br w:type="page"/>
      </w:r>
    </w:p>
    <w:p>
      <w:pPr>
        <w:pStyle w:val="Heading1"/>
      </w:pPr>
      <w:r>
        <w:rPr>
          <w:color w:val="5B4AB0"/>
        </w:rPr>
        <w:t>14. Generator &amp; Fuel Storage Approval</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Department of Energy Business (DOEB)</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~60 days</w:t>
            </w:r>
          </w:p>
        </w:tc>
      </w:tr>
      <w:tr>
        <w:tc>
          <w:tcPr>
            <w:tcW w:type="dxa" w:w="2448"/>
          </w:tcPr>
          <w:p>
            <w:r>
              <w:rPr>
                <w:b/>
              </w:rPr>
              <w:t>Est. cost</w:t>
            </w:r>
          </w:p>
        </w:tc>
        <w:tc>
          <w:tcPr>
            <w:tcW w:type="dxa" w:w="6624"/>
          </w:tcPr>
          <w:p>
            <w:r>
              <w:t>~10,000–20,000 THB</w:t>
            </w:r>
          </w:p>
        </w:tc>
      </w:tr>
      <w:tr>
        <w:tc>
          <w:tcPr>
            <w:tcW w:type="dxa" w:w="2448"/>
          </w:tcPr>
          <w:p>
            <w:r>
              <w:rPr>
                <w:b/>
              </w:rPr>
              <w:t>Depends on</w:t>
            </w:r>
          </w:p>
        </w:tc>
        <w:tc>
          <w:tcPr>
            <w:tcW w:type="dxa" w:w="6624"/>
          </w:tcPr>
          <w:p>
            <w:r>
              <w:t>Building Permit, EIA emissions limits</w:t>
            </w:r>
          </w:p>
        </w:tc>
      </w:tr>
    </w:tbl>
    <w:p/>
    <w:p>
      <w:pPr>
        <w:spacing w:after="40"/>
      </w:pPr>
      <w:r>
        <w:rPr>
          <w:b/>
          <w:i w:val="0"/>
          <w:color w:val="202440"/>
        </w:rPr>
        <w:t>Purpose</w:t>
      </w:r>
    </w:p>
    <w:p>
      <w:pPr>
        <w:spacing w:after="160"/>
      </w:pPr>
      <w:r>
        <w:rPr>
          <w:b w:val="0"/>
          <w:i w:val="0"/>
        </w:rPr>
        <w:t>Approval for the standby generator(s) and associated fuel storage — covering emissions, noise, siting and the fuel-handling safety case.</w:t>
      </w:r>
    </w:p>
    <w:p>
      <w:pPr>
        <w:spacing w:after="40"/>
      </w:pPr>
      <w:r>
        <w:rPr>
          <w:b/>
          <w:i w:val="0"/>
          <w:color w:val="202440"/>
        </w:rPr>
        <w:t>What each required item actually means</w:t>
      </w:r>
    </w:p>
    <w:p>
      <w:pPr>
        <w:pStyle w:val="ListBullet"/>
        <w:spacing w:after="80"/>
      </w:pPr>
      <w:r>
        <w:rPr>
          <w:b/>
        </w:rPr>
        <w:t xml:space="preserve">Generator specification — </w:t>
      </w:r>
      <w:r>
        <w:t>Capacity, fuel type, emissions and sound rating, dimensions and the siting (clearances from building and boundary, exhaust routing).</w:t>
      </w:r>
    </w:p>
    <w:p>
      <w:pPr>
        <w:pStyle w:val="ListBullet"/>
        <w:spacing w:after="80"/>
      </w:pPr>
      <w:r>
        <w:rPr>
          <w:b/>
        </w:rPr>
        <w:t xml:space="preserve">Emissions compliance — </w:t>
      </w:r>
      <w:r>
        <w:t>Stack-emission estimates or test data (NOx, PM10, SO2) compared with Thai air-quality limits and the EIA commitments.</w:t>
      </w:r>
    </w:p>
    <w:p>
      <w:pPr>
        <w:pStyle w:val="ListBullet"/>
        <w:spacing w:after="80"/>
      </w:pPr>
      <w:r>
        <w:rPr>
          <w:b/>
        </w:rPr>
        <w:t xml:space="preserve">Noise mitigation — </w:t>
      </w:r>
      <w:r>
        <w:t>Boundary noise prediction vs. the noise standard, with enclosure/barrier design.</w:t>
      </w:r>
    </w:p>
    <w:p>
      <w:pPr>
        <w:pStyle w:val="ListBullet"/>
        <w:spacing w:after="80"/>
      </w:pPr>
      <w:r>
        <w:rPr>
          <w:b/>
        </w:rPr>
        <w:t xml:space="preserve">Fuel storage &amp; secondary containment — </w:t>
      </w:r>
      <w:r>
        <w:t>Tank capacity, construction and location, with secondary containment sized to at least 110% of the largest tank, plus spill-response and fire protection.</w:t>
      </w:r>
    </w:p>
    <w:p>
      <w:pPr>
        <w:pStyle w:val="ListBullet"/>
        <w:spacing w:after="80"/>
      </w:pPr>
      <w:r>
        <w:rPr>
          <w:b/>
        </w:rPr>
        <w:t xml:space="preserve">Fuel quality &amp; O&amp;M plan — </w:t>
      </w:r>
      <w:r>
        <w:t>Fuel standard (e.g. ASTM D975 diesel), testing frequency and the generator test/maintenance regime.</w:t>
      </w:r>
    </w:p>
    <w:p>
      <w:pPr>
        <w:pStyle w:val="ListBullet"/>
        <w:spacing w:after="80"/>
      </w:pPr>
      <w:r>
        <w:rPr>
          <w:b/>
        </w:rPr>
        <w:t xml:space="preserve">Professional seals — </w:t>
      </w:r>
      <w:r>
        <w:t>Mechanical/structural seals for the tank foundation and containment.</w:t>
      </w:r>
    </w:p>
    <w:p/>
    <w:p>
      <w:pPr>
        <w:spacing w:after="40"/>
      </w:pPr>
      <w:r>
        <w:rPr>
          <w:b/>
          <w:i w:val="0"/>
          <w:color w:val="202440"/>
        </w:rPr>
        <w:t>Common pitfalls &amp; review points</w:t>
      </w:r>
    </w:p>
    <w:p>
      <w:pPr>
        <w:pStyle w:val="ListBullet2"/>
        <w:spacing w:after="40"/>
      </w:pPr>
      <w:r>
        <w:t>Secondary containment at 110% of the largest tank is non-negotiable — show the volume calculation.</w:t>
      </w:r>
    </w:p>
    <w:p>
      <w:pPr>
        <w:pStyle w:val="ListBullet2"/>
        <w:spacing w:after="40"/>
      </w:pPr>
      <w:r>
        <w:t>Emissions and boundary noise must match what the EIA approved.</w:t>
      </w:r>
    </w:p>
    <w:p>
      <w:pPr>
        <w:pStyle w:val="ListBullet2"/>
        <w:spacing w:after="40"/>
      </w:pPr>
      <w:r>
        <w:t>Above- vs. below-ground tanks change the rules; confirm the DOEB requirements for your choice.</w:t>
      </w:r>
    </w:p>
    <w:p/>
    <w:p>
      <w:r>
        <w:br w:type="page"/>
      </w:r>
    </w:p>
    <w:p>
      <w:pPr>
        <w:pStyle w:val="Heading1"/>
      </w:pPr>
      <w:r>
        <w:rPr>
          <w:color w:val="5B4AB0"/>
        </w:rPr>
        <w:t>15. Telecommunications / Fiber Connection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National Broadcasting &amp; Telecommunications Commission (NBTC) — if providing licensed service</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~45 days</w:t>
            </w:r>
          </w:p>
        </w:tc>
      </w:tr>
      <w:tr>
        <w:tc>
          <w:tcPr>
            <w:tcW w:type="dxa" w:w="2448"/>
          </w:tcPr>
          <w:p>
            <w:r>
              <w:rPr>
                <w:b/>
              </w:rPr>
              <w:t>Est. cost</w:t>
            </w:r>
          </w:p>
        </w:tc>
        <w:tc>
          <w:tcPr>
            <w:tcW w:type="dxa" w:w="6624"/>
          </w:tcPr>
          <w:p>
            <w:r>
              <w:t>~5,000–15,000 THB</w:t>
            </w:r>
          </w:p>
        </w:tc>
      </w:tr>
      <w:tr>
        <w:tc>
          <w:tcPr>
            <w:tcW w:type="dxa" w:w="2448"/>
          </w:tcPr>
          <w:p>
            <w:r>
              <w:rPr>
                <w:b/>
              </w:rPr>
              <w:t>Conditional</w:t>
            </w:r>
          </w:p>
        </w:tc>
        <w:tc>
          <w:tcPr>
            <w:tcW w:type="dxa" w:w="6624"/>
          </w:tcPr>
          <w:p>
            <w:r>
              <w:t>Only if you operate/resell telecom service; pure carrier connections may not need a licence</w:t>
            </w:r>
          </w:p>
        </w:tc>
      </w:tr>
    </w:tbl>
    <w:p/>
    <w:p>
      <w:pPr>
        <w:spacing w:after="40"/>
      </w:pPr>
      <w:r>
        <w:rPr>
          <w:b/>
          <w:i w:val="0"/>
          <w:color w:val="202440"/>
        </w:rPr>
        <w:t>Purpose</w:t>
      </w:r>
    </w:p>
    <w:p>
      <w:pPr>
        <w:spacing w:after="160"/>
      </w:pPr>
      <w:r>
        <w:rPr>
          <w:b w:val="0"/>
          <w:i w:val="0"/>
        </w:rPr>
        <w:t>Covers either an NBTC licence (if the data centre provides telecom/ISP service) or, more commonly, the carrier connection arrangements bringing redundant fibre into the building.</w:t>
      </w:r>
    </w:p>
    <w:p>
      <w:pPr>
        <w:spacing w:after="40"/>
      </w:pPr>
      <w:r>
        <w:rPr>
          <w:b/>
          <w:i w:val="0"/>
          <w:color w:val="202440"/>
        </w:rPr>
        <w:t>What each required item actually means</w:t>
      </w:r>
    </w:p>
    <w:p>
      <w:pPr>
        <w:pStyle w:val="ListBullet"/>
        <w:spacing w:after="80"/>
      </w:pPr>
      <w:r>
        <w:rPr>
          <w:b/>
        </w:rPr>
        <w:t xml:space="preserve">Service application / licence (if applicable) — </w:t>
      </w:r>
      <w:r>
        <w:t>NBTC application for the relevant licence class if you provide public telecom service, with the company and financial-capacity evidence.</w:t>
      </w:r>
    </w:p>
    <w:p>
      <w:pPr>
        <w:pStyle w:val="ListBullet"/>
        <w:spacing w:after="80"/>
      </w:pPr>
      <w:r>
        <w:rPr>
          <w:b/>
        </w:rPr>
        <w:t xml:space="preserve">Network architecture &amp; topology — </w:t>
      </w:r>
      <w:r>
        <w:t>Backbone design, redundancy, fibre routing into the building and entry points.</w:t>
      </w:r>
    </w:p>
    <w:p>
      <w:pPr>
        <w:pStyle w:val="ListBullet"/>
        <w:spacing w:after="80"/>
      </w:pPr>
      <w:r>
        <w:rPr>
          <w:b/>
        </w:rPr>
        <w:t xml:space="preserve">Technical specs &amp; SLAs — </w:t>
      </w:r>
      <w:r>
        <w:t>Bandwidth, uptime targets and emergency procedures.</w:t>
      </w:r>
    </w:p>
    <w:p>
      <w:pPr>
        <w:pStyle w:val="ListBullet"/>
        <w:spacing w:after="80"/>
      </w:pPr>
      <w:r>
        <w:rPr>
          <w:b/>
        </w:rPr>
        <w:t xml:space="preserve">Security plan — </w:t>
      </w:r>
      <w:r>
        <w:t>Network and physical security for the telecom infrastructure.</w:t>
      </w:r>
    </w:p>
    <w:p>
      <w:pPr>
        <w:pStyle w:val="ListBullet"/>
        <w:spacing w:after="80"/>
      </w:pPr>
      <w:r>
        <w:rPr>
          <w:b/>
        </w:rPr>
        <w:t xml:space="preserve">Carrier agreements &amp; routing — </w:t>
      </w:r>
      <w:r>
        <w:t>Contracts with fibre providers and the diverse routes/entries (for resilience).</w:t>
      </w:r>
    </w:p>
    <w:p/>
    <w:p>
      <w:pPr>
        <w:spacing w:after="40"/>
      </w:pPr>
      <w:r>
        <w:rPr>
          <w:b/>
          <w:i w:val="0"/>
          <w:color w:val="202440"/>
        </w:rPr>
        <w:t>Common pitfalls &amp; review points</w:t>
      </w:r>
    </w:p>
    <w:p>
      <w:pPr>
        <w:pStyle w:val="ListBullet2"/>
        <w:spacing w:after="40"/>
      </w:pPr>
      <w:r>
        <w:t>Most data centres only consume carrier service (no NBTC licence) — confirm whether you actually trigger licensing before filing.</w:t>
      </w:r>
    </w:p>
    <w:p>
      <w:pPr>
        <w:pStyle w:val="ListBullet2"/>
        <w:spacing w:after="40"/>
      </w:pPr>
      <w:r>
        <w:t>Design at least two diverse fibre entries for resilience; show the diversity.</w:t>
      </w:r>
    </w:p>
    <w:p>
      <w:pPr>
        <w:pStyle w:val="ListBullet2"/>
        <w:spacing w:after="40"/>
      </w:pPr>
      <w:r>
        <w:t>Align the entry points with the building and site plans.</w:t>
      </w:r>
    </w:p>
    <w:p/>
    <w:p>
      <w:r>
        <w:br w:type="page"/>
      </w:r>
    </w:p>
    <w:p>
      <w:pPr>
        <w:pStyle w:val="Heading1"/>
      </w:pPr>
      <w:r>
        <w:rPr>
          <w:color w:val="5B4AB0"/>
        </w:rPr>
        <w:t>16. Electrical Inspection &amp; Energisation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PEA / MEA</w:t>
            </w:r>
          </w:p>
        </w:tc>
      </w:tr>
      <w:tr>
        <w:tc>
          <w:tcPr>
            <w:tcW w:type="dxa" w:w="2448"/>
          </w:tcPr>
          <w:p>
            <w:r>
              <w:rPr>
                <w:b/>
              </w:rPr>
              <w:t>Phase</w:t>
            </w:r>
          </w:p>
        </w:tc>
        <w:tc>
          <w:tcPr>
            <w:tcW w:type="dxa" w:w="6624"/>
          </w:tcPr>
          <w:p>
            <w:r>
              <w:t>Construction</w:t>
            </w:r>
          </w:p>
        </w:tc>
      </w:tr>
      <w:tr>
        <w:tc>
          <w:tcPr>
            <w:tcW w:type="dxa" w:w="2448"/>
          </w:tcPr>
          <w:p>
            <w:r>
              <w:rPr>
                <w:b/>
              </w:rPr>
              <w:t>Lead time</w:t>
            </w:r>
          </w:p>
        </w:tc>
        <w:tc>
          <w:tcPr>
            <w:tcW w:type="dxa" w:w="6624"/>
          </w:tcPr>
          <w:p>
            <w:r>
              <w:t>~14 days</w:t>
            </w:r>
          </w:p>
        </w:tc>
      </w:tr>
      <w:tr>
        <w:tc>
          <w:tcPr>
            <w:tcW w:type="dxa" w:w="2448"/>
          </w:tcPr>
          <w:p>
            <w:r>
              <w:rPr>
                <w:b/>
              </w:rPr>
              <w:t>Est. cost</w:t>
            </w:r>
          </w:p>
        </w:tc>
        <w:tc>
          <w:tcPr>
            <w:tcW w:type="dxa" w:w="6624"/>
          </w:tcPr>
          <w:p>
            <w:r>
              <w:t>~5,000 THB</w:t>
            </w:r>
          </w:p>
        </w:tc>
      </w:tr>
      <w:tr>
        <w:tc>
          <w:tcPr>
            <w:tcW w:type="dxa" w:w="2448"/>
          </w:tcPr>
          <w:p>
            <w:r>
              <w:rPr>
                <w:b/>
              </w:rPr>
              <w:t>Depends on</w:t>
            </w:r>
          </w:p>
        </w:tc>
        <w:tc>
          <w:tcPr>
            <w:tcW w:type="dxa" w:w="6624"/>
          </w:tcPr>
          <w:p>
            <w:r>
              <w:t>Grid connection, substation, internal installation complete</w:t>
            </w:r>
          </w:p>
        </w:tc>
      </w:tr>
    </w:tbl>
    <w:p/>
    <w:p>
      <w:pPr>
        <w:spacing w:after="40"/>
      </w:pPr>
      <w:r>
        <w:rPr>
          <w:b/>
          <w:i w:val="0"/>
          <w:color w:val="202440"/>
        </w:rPr>
        <w:t>Purpose</w:t>
      </w:r>
    </w:p>
    <w:p>
      <w:pPr>
        <w:spacing w:after="160"/>
      </w:pPr>
      <w:r>
        <w:rPr>
          <w:b w:val="0"/>
          <w:i w:val="0"/>
        </w:rPr>
        <w:t>The final inspection and authority-to-energise the electrical installation once construction is complete — the last step before the site has live utility power.</w:t>
      </w:r>
    </w:p>
    <w:p>
      <w:pPr>
        <w:spacing w:after="40"/>
      </w:pPr>
      <w:r>
        <w:rPr>
          <w:b/>
          <w:i w:val="0"/>
          <w:color w:val="202440"/>
        </w:rPr>
        <w:t>What each required item actually means</w:t>
      </w:r>
    </w:p>
    <w:p>
      <w:pPr>
        <w:pStyle w:val="ListBullet"/>
        <w:spacing w:after="80"/>
      </w:pPr>
      <w:r>
        <w:rPr>
          <w:b/>
        </w:rPr>
        <w:t xml:space="preserve">As-built electrical design — </w:t>
      </w:r>
      <w:r>
        <w:t>Final single-line, panel schedules, cable schedules and grounding diagram reflecting what was actually built.</w:t>
      </w:r>
    </w:p>
    <w:p>
      <w:pPr>
        <w:pStyle w:val="ListBullet"/>
        <w:spacing w:after="80"/>
      </w:pPr>
      <w:r>
        <w:rPr>
          <w:b/>
        </w:rPr>
        <w:t xml:space="preserve">Test reports — </w:t>
      </w:r>
      <w:r>
        <w:t>Grounding-resistance, insulation-resistance (megger), protection-coordination verification and, where used, transformer oil and load-bank tests.</w:t>
      </w:r>
    </w:p>
    <w:p>
      <w:pPr>
        <w:pStyle w:val="ListBullet"/>
        <w:spacing w:after="80"/>
      </w:pPr>
      <w:r>
        <w:rPr>
          <w:b/>
        </w:rPr>
        <w:t xml:space="preserve">Equipment certifications — </w:t>
      </w:r>
      <w:r>
        <w:t>Type/compliance certificates for switchgear, transformers and protective devices.</w:t>
      </w:r>
    </w:p>
    <w:p>
      <w:pPr>
        <w:pStyle w:val="ListBullet"/>
        <w:spacing w:after="80"/>
      </w:pPr>
      <w:r>
        <w:rPr>
          <w:b/>
        </w:rPr>
        <w:t xml:space="preserve">Compliance statement — </w:t>
      </w:r>
      <w:r>
        <w:t>Confirmation the installation meets the Thai Electrical Code (TIS), Building Code and utility rules, signed by a licensed electrical engineer.</w:t>
      </w:r>
    </w:p>
    <w:p>
      <w:pPr>
        <w:pStyle w:val="ListBullet"/>
        <w:spacing w:after="80"/>
      </w:pPr>
      <w:r>
        <w:rPr>
          <w:b/>
        </w:rPr>
        <w:t xml:space="preserve">Authority to energise — </w:t>
      </w:r>
      <w:r>
        <w:t>The qualified electrician's sign-off and emergency-shutdown/contact information.</w:t>
      </w:r>
    </w:p>
    <w:p/>
    <w:p>
      <w:pPr>
        <w:spacing w:after="40"/>
      </w:pPr>
      <w:r>
        <w:rPr>
          <w:b/>
          <w:i w:val="0"/>
          <w:color w:val="202440"/>
        </w:rPr>
        <w:t>Common pitfalls &amp; review points</w:t>
      </w:r>
    </w:p>
    <w:p>
      <w:pPr>
        <w:pStyle w:val="ListBullet2"/>
        <w:spacing w:after="40"/>
      </w:pPr>
      <w:r>
        <w:t>Have the test reports complete before booking the inspection — missing megger/earth results are the usual delay.</w:t>
      </w:r>
    </w:p>
    <w:p>
      <w:pPr>
        <w:pStyle w:val="ListBullet2"/>
        <w:spacing w:after="40"/>
      </w:pPr>
      <w:r>
        <w:t>As-builts must match the field installation exactly.</w:t>
      </w:r>
    </w:p>
    <w:p>
      <w:pPr>
        <w:pStyle w:val="ListBullet2"/>
        <w:spacing w:after="40"/>
      </w:pPr>
      <w:r>
        <w:t>Schedule against the commissioning programme so energisation doesn't hold up testing.</w:t>
      </w:r>
    </w:p>
    <w:p/>
    <w:p>
      <w:r>
        <w:br w:type="page"/>
      </w:r>
    </w:p>
    <w:p>
      <w:pPr>
        <w:pStyle w:val="Heading1"/>
      </w:pPr>
      <w:r>
        <w:rPr>
          <w:color w:val="5B4AB0"/>
        </w:rPr>
        <w:t>17. Fire Safety Inspection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Fire Authority / Building Control</w:t>
            </w:r>
          </w:p>
        </w:tc>
      </w:tr>
      <w:tr>
        <w:tc>
          <w:tcPr>
            <w:tcW w:type="dxa" w:w="2448"/>
          </w:tcPr>
          <w:p>
            <w:r>
              <w:rPr>
                <w:b/>
              </w:rPr>
              <w:t>Phase</w:t>
            </w:r>
          </w:p>
        </w:tc>
        <w:tc>
          <w:tcPr>
            <w:tcW w:type="dxa" w:w="6624"/>
          </w:tcPr>
          <w:p>
            <w:r>
              <w:t>Commissioning</w:t>
            </w:r>
          </w:p>
        </w:tc>
      </w:tr>
      <w:tr>
        <w:tc>
          <w:tcPr>
            <w:tcW w:type="dxa" w:w="2448"/>
          </w:tcPr>
          <w:p>
            <w:r>
              <w:rPr>
                <w:b/>
              </w:rPr>
              <w:t>Lead time</w:t>
            </w:r>
          </w:p>
        </w:tc>
        <w:tc>
          <w:tcPr>
            <w:tcW w:type="dxa" w:w="6624"/>
          </w:tcPr>
          <w:p>
            <w:r>
              <w:t>~7 days</w:t>
            </w:r>
          </w:p>
        </w:tc>
      </w:tr>
      <w:tr>
        <w:tc>
          <w:tcPr>
            <w:tcW w:type="dxa" w:w="2448"/>
          </w:tcPr>
          <w:p>
            <w:r>
              <w:rPr>
                <w:b/>
              </w:rPr>
              <w:t>Est. cost</w:t>
            </w:r>
          </w:p>
        </w:tc>
        <w:tc>
          <w:tcPr>
            <w:tcW w:type="dxa" w:w="6624"/>
          </w:tcPr>
          <w:p>
            <w:r>
              <w:t>No fee</w:t>
            </w:r>
          </w:p>
        </w:tc>
      </w:tr>
      <w:tr>
        <w:tc>
          <w:tcPr>
            <w:tcW w:type="dxa" w:w="2448"/>
          </w:tcPr>
          <w:p>
            <w:r>
              <w:rPr>
                <w:b/>
              </w:rPr>
              <w:t>Depends on</w:t>
            </w:r>
          </w:p>
        </w:tc>
        <w:tc>
          <w:tcPr>
            <w:tcW w:type="dxa" w:w="6624"/>
          </w:tcPr>
          <w:p>
            <w:r>
              <w:t>Fire system installed; precedes occupancy</w:t>
            </w:r>
          </w:p>
        </w:tc>
      </w:tr>
    </w:tbl>
    <w:p/>
    <w:p>
      <w:pPr>
        <w:spacing w:after="40"/>
      </w:pPr>
      <w:r>
        <w:rPr>
          <w:b/>
          <w:i w:val="0"/>
          <w:color w:val="202440"/>
        </w:rPr>
        <w:t>Purpose</w:t>
      </w:r>
    </w:p>
    <w:p>
      <w:pPr>
        <w:spacing w:after="160"/>
      </w:pPr>
      <w:r>
        <w:rPr>
          <w:b w:val="0"/>
          <w:i w:val="0"/>
        </w:rPr>
        <w:t>Physical verification that the installed fire systems work as designed — a precondition for the occupancy certificate.</w:t>
      </w:r>
    </w:p>
    <w:p>
      <w:pPr>
        <w:spacing w:after="40"/>
      </w:pPr>
      <w:r>
        <w:rPr>
          <w:b/>
          <w:i w:val="0"/>
          <w:color w:val="202440"/>
        </w:rPr>
        <w:t>What each required item actually means</w:t>
      </w:r>
    </w:p>
    <w:p>
      <w:pPr>
        <w:pStyle w:val="ListBullet"/>
        <w:spacing w:after="80"/>
      </w:pPr>
      <w:r>
        <w:rPr>
          <w:b/>
        </w:rPr>
        <w:t xml:space="preserve">System test certificates — </w:t>
      </w:r>
      <w:r>
        <w:t>Detection sensitivity tests, manual-call-point function, suppression pressure/discharge tests and agent-quantity verification.</w:t>
      </w:r>
    </w:p>
    <w:p>
      <w:pPr>
        <w:pStyle w:val="ListBullet"/>
        <w:spacing w:after="80"/>
      </w:pPr>
      <w:r>
        <w:rPr>
          <w:b/>
        </w:rPr>
        <w:t xml:space="preserve">Emergency lighting &amp; signage — </w:t>
      </w:r>
      <w:r>
        <w:t>Illumination-level and sign-visibility checks.</w:t>
      </w:r>
    </w:p>
    <w:p>
      <w:pPr>
        <w:pStyle w:val="ListBullet"/>
        <w:spacing w:after="80"/>
      </w:pPr>
      <w:r>
        <w:rPr>
          <w:b/>
        </w:rPr>
        <w:t xml:space="preserve">Egress &amp; passive protection — </w:t>
      </w:r>
      <w:r>
        <w:t>Clear escape routes, exit-sign illumination, and the integrity of fire-rated doors/walls/compartments.</w:t>
      </w:r>
    </w:p>
    <w:p>
      <w:pPr>
        <w:pStyle w:val="ListBullet"/>
        <w:spacing w:after="80"/>
      </w:pPr>
      <w:r>
        <w:rPr>
          <w:b/>
        </w:rPr>
        <w:t xml:space="preserve">Extinguishers &amp; equipment — </w:t>
      </w:r>
      <w:r>
        <w:t>Quantity, location, charge and inspection tags.</w:t>
      </w:r>
    </w:p>
    <w:p>
      <w:pPr>
        <w:pStyle w:val="ListBullet"/>
        <w:spacing w:after="80"/>
      </w:pPr>
      <w:r>
        <w:rPr>
          <w:b/>
        </w:rPr>
        <w:t xml:space="preserve">Procedures &amp; training — </w:t>
      </w:r>
      <w:r>
        <w:t>Posted evacuation procedures and staff fire-training records.</w:t>
      </w:r>
    </w:p>
    <w:p/>
    <w:p>
      <w:pPr>
        <w:spacing w:after="40"/>
      </w:pPr>
      <w:r>
        <w:rPr>
          <w:b/>
          <w:i w:val="0"/>
          <w:color w:val="202440"/>
        </w:rPr>
        <w:t>Common pitfalls &amp; review points</w:t>
      </w:r>
    </w:p>
    <w:p>
      <w:pPr>
        <w:pStyle w:val="ListBullet2"/>
        <w:spacing w:after="40"/>
      </w:pPr>
      <w:r>
        <w:t>Commission and test the suppression system before the inspection — re-tests cost schedule.</w:t>
      </w:r>
    </w:p>
    <w:p>
      <w:pPr>
        <w:pStyle w:val="ListBullet2"/>
        <w:spacing w:after="40"/>
      </w:pPr>
      <w:r>
        <w:t>Keep the maintenance/test log from day one; inspectors check it.</w:t>
      </w:r>
    </w:p>
    <w:p>
      <w:pPr>
        <w:pStyle w:val="ListBullet2"/>
        <w:spacing w:after="40"/>
      </w:pPr>
      <w:r>
        <w:t>Verify compartmentation penetrations are properly fire-stopped — a common failure.</w:t>
      </w:r>
    </w:p>
    <w:p/>
    <w:p>
      <w:r>
        <w:br w:type="page"/>
      </w:r>
    </w:p>
    <w:p>
      <w:pPr>
        <w:pStyle w:val="Heading1"/>
      </w:pPr>
      <w:r>
        <w:rPr>
          <w:color w:val="5B4AB0"/>
        </w:rPr>
        <w:t>18. Building Completion Inspection</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Building Control Authority</w:t>
            </w:r>
          </w:p>
        </w:tc>
      </w:tr>
      <w:tr>
        <w:tc>
          <w:tcPr>
            <w:tcW w:type="dxa" w:w="2448"/>
          </w:tcPr>
          <w:p>
            <w:r>
              <w:rPr>
                <w:b/>
              </w:rPr>
              <w:t>Phase</w:t>
            </w:r>
          </w:p>
        </w:tc>
        <w:tc>
          <w:tcPr>
            <w:tcW w:type="dxa" w:w="6624"/>
          </w:tcPr>
          <w:p>
            <w:r>
              <w:t>Commissioning</w:t>
            </w:r>
          </w:p>
        </w:tc>
      </w:tr>
      <w:tr>
        <w:tc>
          <w:tcPr>
            <w:tcW w:type="dxa" w:w="2448"/>
          </w:tcPr>
          <w:p>
            <w:r>
              <w:rPr>
                <w:b/>
              </w:rPr>
              <w:t>Lead time</w:t>
            </w:r>
          </w:p>
        </w:tc>
        <w:tc>
          <w:tcPr>
            <w:tcW w:type="dxa" w:w="6624"/>
          </w:tcPr>
          <w:p>
            <w:r>
              <w:t>~7 days</w:t>
            </w:r>
          </w:p>
        </w:tc>
      </w:tr>
      <w:tr>
        <w:tc>
          <w:tcPr>
            <w:tcW w:type="dxa" w:w="2448"/>
          </w:tcPr>
          <w:p>
            <w:r>
              <w:rPr>
                <w:b/>
              </w:rPr>
              <w:t>Est. cost</w:t>
            </w:r>
          </w:p>
        </w:tc>
        <w:tc>
          <w:tcPr>
            <w:tcW w:type="dxa" w:w="6624"/>
          </w:tcPr>
          <w:p>
            <w:r>
              <w:t>~3,000 THB</w:t>
            </w:r>
          </w:p>
        </w:tc>
      </w:tr>
      <w:tr>
        <w:tc>
          <w:tcPr>
            <w:tcW w:type="dxa" w:w="2448"/>
          </w:tcPr>
          <w:p>
            <w:r>
              <w:rPr>
                <w:b/>
              </w:rPr>
              <w:t>Precedes</w:t>
            </w:r>
          </w:p>
        </w:tc>
        <w:tc>
          <w:tcPr>
            <w:tcW w:type="dxa" w:w="6624"/>
          </w:tcPr>
          <w:p>
            <w:r>
              <w:t>Occupancy certificate</w:t>
            </w:r>
          </w:p>
        </w:tc>
      </w:tr>
    </w:tbl>
    <w:p/>
    <w:p>
      <w:pPr>
        <w:spacing w:after="40"/>
      </w:pPr>
      <w:r>
        <w:rPr>
          <w:b/>
          <w:i w:val="0"/>
          <w:color w:val="202440"/>
        </w:rPr>
        <w:t>Purpose</w:t>
      </w:r>
    </w:p>
    <w:p>
      <w:pPr>
        <w:spacing w:after="160"/>
      </w:pPr>
      <w:r>
        <w:rPr>
          <w:b w:val="0"/>
          <w:i w:val="0"/>
        </w:rPr>
        <w:t>Confirms the building was constructed in accordance with the approved permit and is structurally and functionally complete.</w:t>
      </w:r>
    </w:p>
    <w:p>
      <w:pPr>
        <w:spacing w:after="40"/>
      </w:pPr>
      <w:r>
        <w:rPr>
          <w:b/>
          <w:i w:val="0"/>
          <w:color w:val="202440"/>
        </w:rPr>
        <w:t>What each required item actually means</w:t>
      </w:r>
    </w:p>
    <w:p>
      <w:pPr>
        <w:pStyle w:val="ListBullet"/>
        <w:spacing w:after="80"/>
      </w:pPr>
      <w:r>
        <w:rPr>
          <w:b/>
        </w:rPr>
        <w:t xml:space="preserve">As-built drawings — </w:t>
      </w:r>
      <w:r>
        <w:t>Architectural, structural and MEP as-builts with any deviations from the approved set noted and approved.</w:t>
      </w:r>
    </w:p>
    <w:p>
      <w:pPr>
        <w:pStyle w:val="ListBullet"/>
        <w:spacing w:after="80"/>
      </w:pPr>
      <w:r>
        <w:rPr>
          <w:b/>
        </w:rPr>
        <w:t xml:space="preserve">Professional completion certificates — </w:t>
      </w:r>
      <w:r>
        <w:t>Sign-off from the licensed architect and structural/MEP engineers that work matches the design.</w:t>
      </w:r>
    </w:p>
    <w:p>
      <w:pPr>
        <w:pStyle w:val="ListBullet"/>
        <w:spacing w:after="80"/>
      </w:pPr>
      <w:r>
        <w:rPr>
          <w:b/>
        </w:rPr>
        <w:t xml:space="preserve">Test &amp; material certificates — </w:t>
      </w:r>
      <w:r>
        <w:t>Concrete cube/compression tests, steel/material certs and system commissioning reports.</w:t>
      </w:r>
    </w:p>
    <w:p>
      <w:pPr>
        <w:pStyle w:val="ListBullet"/>
        <w:spacing w:after="80"/>
      </w:pPr>
      <w:r>
        <w:rPr>
          <w:b/>
        </w:rPr>
        <w:t xml:space="preserve">Systems inspection — </w:t>
      </w:r>
      <w:r>
        <w:t>Structural elements, MEP, fire and electrical verified, with defect-rectification evidence.</w:t>
      </w:r>
    </w:p>
    <w:p>
      <w:pPr>
        <w:pStyle w:val="ListBullet"/>
        <w:spacing w:after="80"/>
      </w:pPr>
      <w:r>
        <w:rPr>
          <w:b/>
        </w:rPr>
        <w:t xml:space="preserve">Compliance checklist — </w:t>
      </w:r>
      <w:r>
        <w:t>Building-code compliance statement signed by the responsible engineer.</w:t>
      </w:r>
    </w:p>
    <w:p/>
    <w:p>
      <w:pPr>
        <w:spacing w:after="40"/>
      </w:pPr>
      <w:r>
        <w:rPr>
          <w:b/>
          <w:i w:val="0"/>
          <w:color w:val="202440"/>
        </w:rPr>
        <w:t>Common pitfalls &amp; review points</w:t>
      </w:r>
    </w:p>
    <w:p>
      <w:pPr>
        <w:pStyle w:val="ListBullet2"/>
        <w:spacing w:after="40"/>
      </w:pPr>
      <w:r>
        <w:t>Document any design changes during construction and get them approved before the inspection — undocumented deviations stall sign-off.</w:t>
      </w:r>
    </w:p>
    <w:p>
      <w:pPr>
        <w:pStyle w:val="ListBullet2"/>
        <w:spacing w:after="40"/>
      </w:pPr>
      <w:r>
        <w:t>Have commissioning reports ready; completion overlaps with system commissioning.</w:t>
      </w:r>
    </w:p>
    <w:p>
      <w:pPr>
        <w:pStyle w:val="ListBullet2"/>
        <w:spacing w:after="40"/>
      </w:pPr>
      <w:r>
        <w:t>Resolve the defect list before booking the inspection.</w:t>
      </w:r>
    </w:p>
    <w:p/>
    <w:p>
      <w:r>
        <w:br w:type="page"/>
      </w:r>
    </w:p>
    <w:p>
      <w:pPr>
        <w:pStyle w:val="Heading1"/>
      </w:pPr>
      <w:r>
        <w:rPr>
          <w:color w:val="5B4AB0"/>
        </w:rPr>
        <w:t>19. Occupancy Certificate</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Local Building Control Authority</w:t>
            </w:r>
          </w:p>
        </w:tc>
      </w:tr>
      <w:tr>
        <w:tc>
          <w:tcPr>
            <w:tcW w:type="dxa" w:w="2448"/>
          </w:tcPr>
          <w:p>
            <w:r>
              <w:rPr>
                <w:b/>
              </w:rPr>
              <w:t>Phase</w:t>
            </w:r>
          </w:p>
        </w:tc>
        <w:tc>
          <w:tcPr>
            <w:tcW w:type="dxa" w:w="6624"/>
          </w:tcPr>
          <w:p>
            <w:r>
              <w:t>Commissioning</w:t>
            </w:r>
          </w:p>
        </w:tc>
      </w:tr>
      <w:tr>
        <w:tc>
          <w:tcPr>
            <w:tcW w:type="dxa" w:w="2448"/>
          </w:tcPr>
          <w:p>
            <w:r>
              <w:rPr>
                <w:b/>
              </w:rPr>
              <w:t>Lead time</w:t>
            </w:r>
          </w:p>
        </w:tc>
        <w:tc>
          <w:tcPr>
            <w:tcW w:type="dxa" w:w="6624"/>
          </w:tcPr>
          <w:p>
            <w:r>
              <w:t>~14 days</w:t>
            </w:r>
          </w:p>
        </w:tc>
      </w:tr>
      <w:tr>
        <w:tc>
          <w:tcPr>
            <w:tcW w:type="dxa" w:w="2448"/>
          </w:tcPr>
          <w:p>
            <w:r>
              <w:rPr>
                <w:b/>
              </w:rPr>
              <w:t>Est. cost</w:t>
            </w:r>
          </w:p>
        </w:tc>
        <w:tc>
          <w:tcPr>
            <w:tcW w:type="dxa" w:w="6624"/>
          </w:tcPr>
          <w:p>
            <w:r>
              <w:t>~2,000 THB</w:t>
            </w:r>
          </w:p>
        </w:tc>
      </w:tr>
      <w:tr>
        <w:tc>
          <w:tcPr>
            <w:tcW w:type="dxa" w:w="2448"/>
          </w:tcPr>
          <w:p>
            <w:r>
              <w:rPr>
                <w:b/>
              </w:rPr>
              <w:t>Gateway</w:t>
            </w:r>
          </w:p>
        </w:tc>
        <w:tc>
          <w:tcPr>
            <w:tcW w:type="dxa" w:w="6624"/>
          </w:tcPr>
          <w:p>
            <w:r>
              <w:t>To lawful operation</w:t>
            </w:r>
          </w:p>
        </w:tc>
      </w:tr>
    </w:tbl>
    <w:p/>
    <w:p>
      <w:pPr>
        <w:spacing w:after="40"/>
      </w:pPr>
      <w:r>
        <w:rPr>
          <w:b/>
          <w:i w:val="0"/>
          <w:color w:val="202440"/>
        </w:rPr>
        <w:t>Purpose</w:t>
      </w:r>
    </w:p>
    <w:p>
      <w:pPr>
        <w:spacing w:after="160"/>
      </w:pPr>
      <w:r>
        <w:rPr>
          <w:b w:val="0"/>
          <w:i w:val="0"/>
        </w:rPr>
        <w:t>The legal authorisation to occupy and use the building — the gateway from construction to operations. It bundles the prior inspections.</w:t>
      </w:r>
    </w:p>
    <w:p>
      <w:pPr>
        <w:spacing w:after="40"/>
      </w:pPr>
      <w:r>
        <w:rPr>
          <w:b/>
          <w:i w:val="0"/>
          <w:color w:val="202440"/>
        </w:rPr>
        <w:t>What each required item actually means</w:t>
      </w:r>
    </w:p>
    <w:p>
      <w:pPr>
        <w:pStyle w:val="ListBullet"/>
        <w:spacing w:after="80"/>
      </w:pPr>
      <w:r>
        <w:rPr>
          <w:b/>
        </w:rPr>
        <w:t xml:space="preserve">Completion, fire &amp; electrical approvals — </w:t>
      </w:r>
      <w:r>
        <w:t>Copies of the building-completion, fire-safety and electrical-energisation sign-offs.</w:t>
      </w:r>
    </w:p>
    <w:p>
      <w:pPr>
        <w:pStyle w:val="ListBullet"/>
        <w:spacing w:after="80"/>
      </w:pPr>
      <w:r>
        <w:rPr>
          <w:b/>
        </w:rPr>
        <w:t xml:space="preserve">Occupancy application &amp; as-builts — </w:t>
      </w:r>
      <w:r>
        <w:t>The use/occupancy application with final as-built drawings and the building-use statement.</w:t>
      </w:r>
    </w:p>
    <w:p>
      <w:pPr>
        <w:pStyle w:val="ListBullet"/>
        <w:spacing w:after="80"/>
      </w:pPr>
      <w:r>
        <w:rPr>
          <w:b/>
        </w:rPr>
        <w:t xml:space="preserve">Utility connection evidence — </w:t>
      </w:r>
      <w:r>
        <w:t>Proof electricity, water, wastewater and telecom are connected and operational.</w:t>
      </w:r>
    </w:p>
    <w:p>
      <w:pPr>
        <w:pStyle w:val="ListBullet"/>
        <w:spacing w:after="80"/>
      </w:pPr>
      <w:r>
        <w:rPr>
          <w:b/>
        </w:rPr>
        <w:t xml:space="preserve">Legal &amp; insurance — </w:t>
      </w:r>
      <w:r>
        <w:t>Title/lease, tax registration and building insurance where required.</w:t>
      </w:r>
    </w:p>
    <w:p>
      <w:pPr>
        <w:pStyle w:val="ListBullet"/>
        <w:spacing w:after="80"/>
      </w:pPr>
      <w:r>
        <w:rPr>
          <w:b/>
        </w:rPr>
        <w:t xml:space="preserve">Operational procedures — </w:t>
      </w:r>
      <w:r>
        <w:t>Fire/emergency procedures, contacts and the building management plan.</w:t>
      </w:r>
    </w:p>
    <w:p/>
    <w:p>
      <w:pPr>
        <w:spacing w:after="40"/>
      </w:pPr>
      <w:r>
        <w:rPr>
          <w:b/>
          <w:i w:val="0"/>
          <w:color w:val="202440"/>
        </w:rPr>
        <w:t>Common pitfalls &amp; review points</w:t>
      </w:r>
    </w:p>
    <w:p>
      <w:pPr>
        <w:pStyle w:val="ListBullet2"/>
        <w:spacing w:after="40"/>
      </w:pPr>
      <w:r>
        <w:t>All upstream inspections must be passed first — occupancy is the assembly point, not a shortcut.</w:t>
      </w:r>
    </w:p>
    <w:p>
      <w:pPr>
        <w:pStyle w:val="ListBullet2"/>
        <w:spacing w:after="40"/>
      </w:pPr>
      <w:r>
        <w:t>Any change from the approved design must be documented and approved before this is granted.</w:t>
      </w:r>
    </w:p>
    <w:p>
      <w:pPr>
        <w:pStyle w:val="ListBullet2"/>
        <w:spacing w:after="40"/>
      </w:pPr>
      <w:r>
        <w:t>Confirm every utility is actually live, not merely contracted.</w:t>
      </w:r>
    </w:p>
    <w:p/>
    <w:p>
      <w:r>
        <w:br w:type="page"/>
      </w:r>
    </w:p>
    <w:p>
      <w:pPr>
        <w:pStyle w:val="Heading1"/>
      </w:pPr>
      <w:r>
        <w:rPr>
          <w:color w:val="5B4AB0"/>
        </w:rPr>
        <w:t>20. Commissioning &amp; Utility Acceptance</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Utilities (PEA/MEA, MWA/PWA) and local authorities</w:t>
            </w:r>
          </w:p>
        </w:tc>
      </w:tr>
      <w:tr>
        <w:tc>
          <w:tcPr>
            <w:tcW w:type="dxa" w:w="2448"/>
          </w:tcPr>
          <w:p>
            <w:r>
              <w:rPr>
                <w:b/>
              </w:rPr>
              <w:t>Phase</w:t>
            </w:r>
          </w:p>
        </w:tc>
        <w:tc>
          <w:tcPr>
            <w:tcW w:type="dxa" w:w="6624"/>
          </w:tcPr>
          <w:p>
            <w:r>
              <w:t>Commissioning</w:t>
            </w:r>
          </w:p>
        </w:tc>
      </w:tr>
      <w:tr>
        <w:tc>
          <w:tcPr>
            <w:tcW w:type="dxa" w:w="2448"/>
          </w:tcPr>
          <w:p>
            <w:r>
              <w:rPr>
                <w:b/>
              </w:rPr>
              <w:t>Lead time</w:t>
            </w:r>
          </w:p>
        </w:tc>
        <w:tc>
          <w:tcPr>
            <w:tcW w:type="dxa" w:w="6624"/>
          </w:tcPr>
          <w:p>
            <w:r>
              <w:t>~21 days</w:t>
            </w:r>
          </w:p>
        </w:tc>
      </w:tr>
      <w:tr>
        <w:tc>
          <w:tcPr>
            <w:tcW w:type="dxa" w:w="2448"/>
          </w:tcPr>
          <w:p>
            <w:r>
              <w:rPr>
                <w:b/>
              </w:rPr>
              <w:t>Est. cost</w:t>
            </w:r>
          </w:p>
        </w:tc>
        <w:tc>
          <w:tcPr>
            <w:tcW w:type="dxa" w:w="6624"/>
          </w:tcPr>
          <w:p>
            <w:r>
              <w:t>~15,000–30,000 THB</w:t>
            </w:r>
          </w:p>
        </w:tc>
      </w:tr>
      <w:tr>
        <w:tc>
          <w:tcPr>
            <w:tcW w:type="dxa" w:w="2448"/>
          </w:tcPr>
          <w:p>
            <w:r>
              <w:rPr>
                <w:b/>
              </w:rPr>
              <w:t>Confirms</w:t>
            </w:r>
          </w:p>
        </w:tc>
        <w:tc>
          <w:tcPr>
            <w:tcW w:type="dxa" w:w="6624"/>
          </w:tcPr>
          <w:p>
            <w:r>
              <w:t>All systems operational and accepted</w:t>
            </w:r>
          </w:p>
        </w:tc>
      </w:tr>
    </w:tbl>
    <w:p/>
    <w:p>
      <w:pPr>
        <w:spacing w:after="40"/>
      </w:pPr>
      <w:r>
        <w:rPr>
          <w:b/>
          <w:i w:val="0"/>
          <w:color w:val="202440"/>
        </w:rPr>
        <w:t>Purpose</w:t>
      </w:r>
    </w:p>
    <w:p>
      <w:pPr>
        <w:spacing w:after="160"/>
      </w:pPr>
      <w:r>
        <w:rPr>
          <w:b w:val="0"/>
          <w:i w:val="0"/>
        </w:rPr>
        <w:t>Final testing and formal acceptance that every utility and building system performs to specification before handover to operations.</w:t>
      </w:r>
    </w:p>
    <w:p>
      <w:pPr>
        <w:spacing w:after="40"/>
      </w:pPr>
      <w:r>
        <w:rPr>
          <w:b/>
          <w:i w:val="0"/>
          <w:color w:val="202440"/>
        </w:rPr>
        <w:t>What each required item actually means</w:t>
      </w:r>
    </w:p>
    <w:p>
      <w:pPr>
        <w:pStyle w:val="ListBullet"/>
        <w:spacing w:after="80"/>
      </w:pPr>
      <w:r>
        <w:rPr>
          <w:b/>
        </w:rPr>
        <w:t xml:space="preserve">System commissioning reports — </w:t>
      </w:r>
      <w:r>
        <w:t>Performance test results for electrical, water, wastewater, HVAC, fire and IT infrastructure, including backup-power (generator load-bank) tests.</w:t>
      </w:r>
    </w:p>
    <w:p>
      <w:pPr>
        <w:pStyle w:val="ListBullet"/>
        <w:spacing w:after="80"/>
      </w:pPr>
      <w:r>
        <w:rPr>
          <w:b/>
        </w:rPr>
        <w:t xml:space="preserve">Capacity verification — </w:t>
      </w:r>
      <w:r>
        <w:t>Load tests (electrical), flow tests (water), treatment-efficiency tests (wastewater) confirming rated capacity.</w:t>
      </w:r>
    </w:p>
    <w:p>
      <w:pPr>
        <w:pStyle w:val="ListBullet"/>
        <w:spacing w:after="80"/>
      </w:pPr>
      <w:r>
        <w:rPr>
          <w:b/>
        </w:rPr>
        <w:t xml:space="preserve">Utility acceptance sign-offs — </w:t>
      </w:r>
      <w:r>
        <w:t>The utilities' formal acceptance documents.</w:t>
      </w:r>
    </w:p>
    <w:p>
      <w:pPr>
        <w:pStyle w:val="ListBullet"/>
        <w:spacing w:after="80"/>
      </w:pPr>
      <w:r>
        <w:rPr>
          <w:b/>
        </w:rPr>
        <w:t xml:space="preserve">As-built system diagrams &amp; O&amp;M — </w:t>
      </w:r>
      <w:r>
        <w:t>Final diagrams, service manuals and maintenance schedules.</w:t>
      </w:r>
    </w:p>
    <w:p>
      <w:pPr>
        <w:pStyle w:val="ListBullet"/>
        <w:spacing w:after="80"/>
      </w:pPr>
      <w:r>
        <w:rPr>
          <w:b/>
        </w:rPr>
        <w:t xml:space="preserve">Operator readiness — </w:t>
      </w:r>
      <w:r>
        <w:t>Training records and 24/7 monitoring/support procedures for the operations team.</w:t>
      </w:r>
    </w:p>
    <w:p/>
    <w:p>
      <w:pPr>
        <w:spacing w:after="40"/>
      </w:pPr>
      <w:r>
        <w:rPr>
          <w:b/>
          <w:i w:val="0"/>
          <w:color w:val="202440"/>
        </w:rPr>
        <w:t>Common pitfalls &amp; review points</w:t>
      </w:r>
    </w:p>
    <w:p>
      <w:pPr>
        <w:pStyle w:val="ListBullet2"/>
        <w:spacing w:after="40"/>
      </w:pPr>
      <w:r>
        <w:t>Run a full integrated/black-building test (utility failure → generator → UPS) and record it.</w:t>
      </w:r>
    </w:p>
    <w:p>
      <w:pPr>
        <w:pStyle w:val="ListBullet2"/>
        <w:spacing w:after="40"/>
      </w:pPr>
      <w:r>
        <w:t>Acceptance is per-utility — track each sign-off separately.</w:t>
      </w:r>
    </w:p>
    <w:p>
      <w:pPr>
        <w:pStyle w:val="ListBullet2"/>
        <w:spacing w:after="40"/>
      </w:pPr>
      <w:r>
        <w:t>Hand over O&amp;M documentation and training before go-live, not after.</w:t>
      </w:r>
    </w:p>
    <w:p/>
    <w:p>
      <w:r>
        <w:br w:type="page"/>
      </w:r>
    </w:p>
    <w:p>
      <w:pPr>
        <w:pStyle w:val="Heading1"/>
      </w:pPr>
      <w:r>
        <w:rPr>
          <w:color w:val="5B4AB0"/>
        </w:rPr>
        <w:t>21. Factory License</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Department of Industrial Works (DIW)</w:t>
            </w:r>
          </w:p>
        </w:tc>
      </w:tr>
      <w:tr>
        <w:tc>
          <w:tcPr>
            <w:tcW w:type="dxa" w:w="2448"/>
          </w:tcPr>
          <w:p>
            <w:r>
              <w:rPr>
                <w:b/>
              </w:rPr>
              <w:t>Phase</w:t>
            </w:r>
          </w:p>
        </w:tc>
        <w:tc>
          <w:tcPr>
            <w:tcW w:type="dxa" w:w="6624"/>
          </w:tcPr>
          <w:p>
            <w:r>
              <w:t>Operations</w:t>
            </w:r>
          </w:p>
        </w:tc>
      </w:tr>
      <w:tr>
        <w:tc>
          <w:tcPr>
            <w:tcW w:type="dxa" w:w="2448"/>
          </w:tcPr>
          <w:p>
            <w:r>
              <w:rPr>
                <w:b/>
              </w:rPr>
              <w:t>Lead time</w:t>
            </w:r>
          </w:p>
        </w:tc>
        <w:tc>
          <w:tcPr>
            <w:tcW w:type="dxa" w:w="6624"/>
          </w:tcPr>
          <w:p>
            <w:r>
              <w:t>~30 days</w:t>
            </w:r>
          </w:p>
        </w:tc>
      </w:tr>
      <w:tr>
        <w:tc>
          <w:tcPr>
            <w:tcW w:type="dxa" w:w="2448"/>
          </w:tcPr>
          <w:p>
            <w:r>
              <w:rPr>
                <w:b/>
              </w:rPr>
              <w:t>Est. cost</w:t>
            </w:r>
          </w:p>
        </w:tc>
        <w:tc>
          <w:tcPr>
            <w:tcW w:type="dxa" w:w="6624"/>
          </w:tcPr>
          <w:p>
            <w:r>
              <w:t>~5,000 THB</w:t>
            </w:r>
          </w:p>
        </w:tc>
      </w:tr>
      <w:tr>
        <w:tc>
          <w:tcPr>
            <w:tcW w:type="dxa" w:w="2448"/>
          </w:tcPr>
          <w:p>
            <w:r>
              <w:rPr>
                <w:b/>
              </w:rPr>
              <w:t>When needed</w:t>
            </w:r>
          </w:p>
        </w:tc>
        <w:tc>
          <w:tcPr>
            <w:tcW w:type="dxa" w:w="6624"/>
          </w:tcPr>
          <w:p>
            <w:r>
              <w:t>If the facility/machinery meets the Factory Act thresholds</w:t>
            </w:r>
          </w:p>
        </w:tc>
      </w:tr>
    </w:tbl>
    <w:p/>
    <w:p>
      <w:pPr>
        <w:spacing w:after="40"/>
      </w:pPr>
      <w:r>
        <w:rPr>
          <w:b/>
          <w:i w:val="0"/>
          <w:color w:val="202440"/>
        </w:rPr>
        <w:t>Purpose</w:t>
      </w:r>
    </w:p>
    <w:p>
      <w:pPr>
        <w:spacing w:after="160"/>
      </w:pPr>
      <w:r>
        <w:rPr>
          <w:b w:val="0"/>
          <w:i w:val="0"/>
        </w:rPr>
        <w:t>Licenses the facility as a 'factory' under the Factory Act where its machinery/operations cross the statutory threshold — a data centre's plant (generators, cooling, electrical) often qualifies. Confirm applicability with DIW.</w:t>
      </w:r>
    </w:p>
    <w:p>
      <w:pPr>
        <w:spacing w:after="40"/>
      </w:pPr>
      <w:r>
        <w:rPr>
          <w:b/>
          <w:i w:val="0"/>
          <w:color w:val="202440"/>
        </w:rPr>
        <w:t>What each required item actually means</w:t>
      </w:r>
    </w:p>
    <w:p>
      <w:pPr>
        <w:pStyle w:val="ListBullet"/>
        <w:spacing w:after="80"/>
      </w:pPr>
      <w:r>
        <w:rPr>
          <w:b/>
        </w:rPr>
        <w:t xml:space="preserve">Factory licence application — </w:t>
      </w:r>
      <w:r>
        <w:t>The DIW application describing the operation, machinery list (capacity, power) and process.</w:t>
      </w:r>
    </w:p>
    <w:p>
      <w:pPr>
        <w:pStyle w:val="ListBullet"/>
        <w:spacing w:after="80"/>
      </w:pPr>
      <w:r>
        <w:rPr>
          <w:b/>
        </w:rPr>
        <w:t xml:space="preserve">Building/occupancy evidence — </w:t>
      </w:r>
      <w:r>
        <w:t>Building inspection/occupancy certificate showing the premises are lawful.</w:t>
      </w:r>
    </w:p>
    <w:p>
      <w:pPr>
        <w:pStyle w:val="ListBullet"/>
        <w:spacing w:after="80"/>
      </w:pPr>
      <w:r>
        <w:rPr>
          <w:b/>
        </w:rPr>
        <w:t xml:space="preserve">Environmental compliance — </w:t>
      </w:r>
      <w:r>
        <w:t>EIA approval or the relevant environmental notification, plus air/water/noise compliance.</w:t>
      </w:r>
    </w:p>
    <w:p>
      <w:pPr>
        <w:pStyle w:val="ListBullet"/>
        <w:spacing w:after="80"/>
      </w:pPr>
      <w:r>
        <w:rPr>
          <w:b/>
        </w:rPr>
        <w:t xml:space="preserve">Safety &amp; worker plan — </w:t>
      </w:r>
      <w:r>
        <w:t>Fire safety, first aid, PPE, worker numbers/classifications and occupational-health procedures.</w:t>
      </w:r>
    </w:p>
    <w:p>
      <w:pPr>
        <w:pStyle w:val="ListBullet"/>
        <w:spacing w:after="80"/>
      </w:pPr>
      <w:r>
        <w:rPr>
          <w:b/>
        </w:rPr>
        <w:t xml:space="preserve">Waste &amp; byproduct management — </w:t>
      </w:r>
      <w:r>
        <w:t>Types/quantities of waste and disposal methods, with any waste-disposal permits.</w:t>
      </w:r>
    </w:p>
    <w:p>
      <w:pPr>
        <w:pStyle w:val="ListBullet"/>
        <w:spacing w:after="80"/>
      </w:pPr>
      <w:r>
        <w:rPr>
          <w:b/>
        </w:rPr>
        <w:t xml:space="preserve">Manager appointment &amp; insurance — </w:t>
      </w:r>
      <w:r>
        <w:t>Designated factory manager details and workers' compensation insurance.</w:t>
      </w:r>
    </w:p>
    <w:p/>
    <w:p>
      <w:pPr>
        <w:spacing w:after="40"/>
      </w:pPr>
      <w:r>
        <w:rPr>
          <w:b/>
          <w:i w:val="0"/>
          <w:color w:val="202440"/>
        </w:rPr>
        <w:t>Common pitfalls &amp; review points</w:t>
      </w:r>
    </w:p>
    <w:p>
      <w:pPr>
        <w:pStyle w:val="ListBullet2"/>
        <w:spacing w:after="40"/>
      </w:pPr>
      <w:r>
        <w:t>Confirm with DIW whether your plant actually triggers the Factory Act before assuming you need (or don't need) this.</w:t>
      </w:r>
    </w:p>
    <w:p>
      <w:pPr>
        <w:pStyle w:val="ListBullet2"/>
        <w:spacing w:after="40"/>
      </w:pPr>
      <w:r>
        <w:t>Machinery safety certificates and the electrical-safety inspection must be in hand.</w:t>
      </w:r>
    </w:p>
    <w:p>
      <w:pPr>
        <w:pStyle w:val="ListBullet2"/>
        <w:spacing w:after="40"/>
      </w:pPr>
      <w:r>
        <w:t>Waste/hazardous-material handling must align with the EIA.</w:t>
      </w:r>
    </w:p>
    <w:p/>
    <w:p>
      <w:r>
        <w:br w:type="page"/>
      </w:r>
    </w:p>
    <w:p>
      <w:pPr>
        <w:pStyle w:val="Heading1"/>
      </w:pPr>
      <w:r>
        <w:rPr>
          <w:color w:val="5B4AB0"/>
        </w:rPr>
        <w:t>22. PDPA Compliance</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Personal Data Protection Committee (PDPC)</w:t>
            </w:r>
          </w:p>
        </w:tc>
      </w:tr>
      <w:tr>
        <w:tc>
          <w:tcPr>
            <w:tcW w:type="dxa" w:w="2448"/>
          </w:tcPr>
          <w:p>
            <w:r>
              <w:rPr>
                <w:b/>
              </w:rPr>
              <w:t>Phase</w:t>
            </w:r>
          </w:p>
        </w:tc>
        <w:tc>
          <w:tcPr>
            <w:tcW w:type="dxa" w:w="6624"/>
          </w:tcPr>
          <w:p>
            <w:r>
              <w:t>Operations</w:t>
            </w:r>
          </w:p>
        </w:tc>
      </w:tr>
      <w:tr>
        <w:tc>
          <w:tcPr>
            <w:tcW w:type="dxa" w:w="2448"/>
          </w:tcPr>
          <w:p>
            <w:r>
              <w:rPr>
                <w:b/>
              </w:rPr>
              <w:t>Lead time</w:t>
            </w:r>
          </w:p>
        </w:tc>
        <w:tc>
          <w:tcPr>
            <w:tcW w:type="dxa" w:w="6624"/>
          </w:tcPr>
          <w:p>
            <w:r>
              <w:t>~30 days to stand up</w:t>
            </w:r>
          </w:p>
        </w:tc>
      </w:tr>
      <w:tr>
        <w:tc>
          <w:tcPr>
            <w:tcW w:type="dxa" w:w="2448"/>
          </w:tcPr>
          <w:p>
            <w:r>
              <w:rPr>
                <w:b/>
              </w:rPr>
              <w:t>Est. cost</w:t>
            </w:r>
          </w:p>
        </w:tc>
        <w:tc>
          <w:tcPr>
            <w:tcW w:type="dxa" w:w="6624"/>
          </w:tcPr>
          <w:p>
            <w:r>
              <w:t>No fee</w:t>
            </w:r>
          </w:p>
        </w:tc>
      </w:tr>
      <w:tr>
        <w:tc>
          <w:tcPr>
            <w:tcW w:type="dxa" w:w="2448"/>
          </w:tcPr>
          <w:p>
            <w:r>
              <w:rPr>
                <w:b/>
              </w:rPr>
              <w:t>Nature</w:t>
            </w:r>
          </w:p>
        </w:tc>
        <w:tc>
          <w:tcPr>
            <w:tcW w:type="dxa" w:w="6624"/>
          </w:tcPr>
          <w:p>
            <w:r>
              <w:t>Ongoing compliance, not a one-off licence</w:t>
            </w:r>
          </w:p>
        </w:tc>
      </w:tr>
    </w:tbl>
    <w:p/>
    <w:p>
      <w:pPr>
        <w:spacing w:after="40"/>
      </w:pPr>
      <w:r>
        <w:rPr>
          <w:b/>
          <w:i w:val="0"/>
          <w:color w:val="202440"/>
        </w:rPr>
        <w:t>Purpose</w:t>
      </w:r>
    </w:p>
    <w:p>
      <w:pPr>
        <w:spacing w:after="160"/>
      </w:pPr>
      <w:r>
        <w:rPr>
          <w:b w:val="0"/>
          <w:i w:val="0"/>
        </w:rPr>
        <w:t>Establishes the data-protection framework required under Thailand's PDPA for any personal data the facility processes — an ongoing obligation rather than a single permit.</w:t>
      </w:r>
    </w:p>
    <w:p>
      <w:pPr>
        <w:spacing w:after="40"/>
      </w:pPr>
      <w:r>
        <w:rPr>
          <w:b/>
          <w:i w:val="0"/>
          <w:color w:val="202440"/>
        </w:rPr>
        <w:t>What each required item actually means</w:t>
      </w:r>
    </w:p>
    <w:p>
      <w:pPr>
        <w:pStyle w:val="ListBullet"/>
        <w:spacing w:after="80"/>
      </w:pPr>
      <w:r>
        <w:rPr>
          <w:b/>
        </w:rPr>
        <w:t xml:space="preserve">Data protection policy &amp; privacy notices — </w:t>
      </w:r>
      <w:r>
        <w:t>Written policy and the notices given to data subjects describing processing purposes and rights.</w:t>
      </w:r>
    </w:p>
    <w:p>
      <w:pPr>
        <w:pStyle w:val="ListBullet"/>
        <w:spacing w:after="80"/>
      </w:pPr>
      <w:r>
        <w:rPr>
          <w:b/>
        </w:rPr>
        <w:t xml:space="preserve">Records of processing &amp; data mapping — </w:t>
      </w:r>
      <w:r>
        <w:t>What personal data is held, where, why and for how long (retention schedule).</w:t>
      </w:r>
    </w:p>
    <w:p>
      <w:pPr>
        <w:pStyle w:val="ListBullet"/>
        <w:spacing w:after="80"/>
      </w:pPr>
      <w:r>
        <w:rPr>
          <w:b/>
        </w:rPr>
        <w:t xml:space="preserve">Security measures — </w:t>
      </w:r>
      <w:r>
        <w:t>Technical and organisational controls — encryption, access control, logging, backup — protecting the data.</w:t>
      </w:r>
    </w:p>
    <w:p>
      <w:pPr>
        <w:pStyle w:val="ListBullet"/>
        <w:spacing w:after="80"/>
      </w:pPr>
      <w:r>
        <w:rPr>
          <w:b/>
        </w:rPr>
        <w:t xml:space="preserve">Data subject rights procedures — </w:t>
      </w:r>
      <w:r>
        <w:t>Processes to handle access, correction, deletion, portability and objection requests.</w:t>
      </w:r>
    </w:p>
    <w:p>
      <w:pPr>
        <w:pStyle w:val="ListBullet"/>
        <w:spacing w:after="80"/>
      </w:pPr>
      <w:r>
        <w:rPr>
          <w:b/>
        </w:rPr>
        <w:t xml:space="preserve">Processor/vendor agreements — </w:t>
      </w:r>
      <w:r>
        <w:t>Data-processing agreements with third parties (cloud, maintenance) including confidentiality clauses.</w:t>
      </w:r>
    </w:p>
    <w:p>
      <w:pPr>
        <w:pStyle w:val="ListBullet"/>
        <w:spacing w:after="80"/>
      </w:pPr>
      <w:r>
        <w:rPr>
          <w:b/>
        </w:rPr>
        <w:t xml:space="preserve">Breach response plan — </w:t>
      </w:r>
      <w:r>
        <w:t>Detection, remediation and the 72-hour PDPC notification procedure, with staff training records.</w:t>
      </w:r>
    </w:p>
    <w:p/>
    <w:p>
      <w:pPr>
        <w:spacing w:after="40"/>
      </w:pPr>
      <w:r>
        <w:rPr>
          <w:b/>
          <w:i w:val="0"/>
          <w:color w:val="202440"/>
        </w:rPr>
        <w:t>Common pitfalls &amp; review points</w:t>
      </w:r>
    </w:p>
    <w:p>
      <w:pPr>
        <w:pStyle w:val="ListBullet2"/>
        <w:spacing w:after="40"/>
      </w:pPr>
      <w:r>
        <w:t>Appoint a Data Protection Officer if your processing scale requires one.</w:t>
      </w:r>
    </w:p>
    <w:p>
      <w:pPr>
        <w:pStyle w:val="ListBullet2"/>
        <w:spacing w:after="40"/>
      </w:pPr>
      <w:r>
        <w:t>Breach notification to the PDPC is time-bound (within 72 hours) — rehearse it.</w:t>
      </w:r>
    </w:p>
    <w:p>
      <w:pPr>
        <w:pStyle w:val="ListBullet2"/>
        <w:spacing w:after="40"/>
      </w:pPr>
      <w:r>
        <w:t>As a colocation/host, clarify controller vs. processor roles with customers in contracts.</w:t>
      </w:r>
    </w:p>
    <w:p/>
    <w:p>
      <w:r>
        <w:br w:type="page"/>
      </w:r>
    </w:p>
    <w:p>
      <w:pPr>
        <w:pStyle w:val="Heading1"/>
      </w:pPr>
      <w:r>
        <w:rPr>
          <w:color w:val="5B4AB0"/>
        </w:rPr>
        <w:t>23. Cybersecurity Compliance (CII)</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Authority</w:t>
            </w:r>
          </w:p>
        </w:tc>
        <w:tc>
          <w:tcPr>
            <w:tcW w:type="dxa" w:w="6624"/>
          </w:tcPr>
          <w:p>
            <w:r>
              <w:t>National Cyber Security Agency (NCSA)</w:t>
            </w:r>
          </w:p>
        </w:tc>
      </w:tr>
      <w:tr>
        <w:tc>
          <w:tcPr>
            <w:tcW w:type="dxa" w:w="2448"/>
          </w:tcPr>
          <w:p>
            <w:r>
              <w:rPr>
                <w:b/>
              </w:rPr>
              <w:t>Phase</w:t>
            </w:r>
          </w:p>
        </w:tc>
        <w:tc>
          <w:tcPr>
            <w:tcW w:type="dxa" w:w="6624"/>
          </w:tcPr>
          <w:p>
            <w:r>
              <w:t>Operations</w:t>
            </w:r>
          </w:p>
        </w:tc>
      </w:tr>
      <w:tr>
        <w:tc>
          <w:tcPr>
            <w:tcW w:type="dxa" w:w="2448"/>
          </w:tcPr>
          <w:p>
            <w:r>
              <w:rPr>
                <w:b/>
              </w:rPr>
              <w:t>Lead time</w:t>
            </w:r>
          </w:p>
        </w:tc>
        <w:tc>
          <w:tcPr>
            <w:tcW w:type="dxa" w:w="6624"/>
          </w:tcPr>
          <w:p>
            <w:r>
              <w:t>~30 days to stand up</w:t>
            </w:r>
          </w:p>
        </w:tc>
      </w:tr>
      <w:tr>
        <w:tc>
          <w:tcPr>
            <w:tcW w:type="dxa" w:w="2448"/>
          </w:tcPr>
          <w:p>
            <w:r>
              <w:rPr>
                <w:b/>
              </w:rPr>
              <w:t>Est. cost</w:t>
            </w:r>
          </w:p>
        </w:tc>
        <w:tc>
          <w:tcPr>
            <w:tcW w:type="dxa" w:w="6624"/>
          </w:tcPr>
          <w:p>
            <w:r>
              <w:t>No fee</w:t>
            </w:r>
          </w:p>
        </w:tc>
      </w:tr>
      <w:tr>
        <w:tc>
          <w:tcPr>
            <w:tcW w:type="dxa" w:w="2448"/>
          </w:tcPr>
          <w:p>
            <w:r>
              <w:rPr>
                <w:b/>
              </w:rPr>
              <w:t>Nature</w:t>
            </w:r>
          </w:p>
        </w:tc>
        <w:tc>
          <w:tcPr>
            <w:tcW w:type="dxa" w:w="6624"/>
          </w:tcPr>
          <w:p>
            <w:r>
              <w:t>Ongoing; applies if designated Critical Information Infrastructure</w:t>
            </w:r>
          </w:p>
        </w:tc>
      </w:tr>
    </w:tbl>
    <w:p/>
    <w:p>
      <w:pPr>
        <w:spacing w:after="40"/>
      </w:pPr>
      <w:r>
        <w:rPr>
          <w:b/>
          <w:i w:val="0"/>
          <w:color w:val="202440"/>
        </w:rPr>
        <w:t>Purpose</w:t>
      </w:r>
    </w:p>
    <w:p>
      <w:pPr>
        <w:spacing w:after="160"/>
      </w:pPr>
      <w:r>
        <w:rPr>
          <w:b w:val="0"/>
          <w:i w:val="0"/>
        </w:rPr>
        <w:t>Security governance required under the Cybersecurity Act, particularly if the facility is designated Critical Information Infrastructure (CII). Ongoing, with periodic reporting.</w:t>
      </w:r>
    </w:p>
    <w:p>
      <w:pPr>
        <w:spacing w:after="40"/>
      </w:pPr>
      <w:r>
        <w:rPr>
          <w:b/>
          <w:i w:val="0"/>
          <w:color w:val="202440"/>
        </w:rPr>
        <w:t>What each required item actually means</w:t>
      </w:r>
    </w:p>
    <w:p>
      <w:pPr>
        <w:pStyle w:val="ListBullet"/>
        <w:spacing w:after="80"/>
      </w:pPr>
      <w:r>
        <w:rPr>
          <w:b/>
        </w:rPr>
        <w:t xml:space="preserve">CII registration (if designated) — </w:t>
      </w:r>
      <w:r>
        <w:t>Notification/registration with NCSA where the facility is classed as CII.</w:t>
      </w:r>
    </w:p>
    <w:p>
      <w:pPr>
        <w:pStyle w:val="ListBullet"/>
        <w:spacing w:after="80"/>
      </w:pPr>
      <w:r>
        <w:rPr>
          <w:b/>
        </w:rPr>
        <w:t xml:space="preserve">Cybersecurity risk assessment — </w:t>
      </w:r>
      <w:r>
        <w:t>Asset inventory, threat and vulnerability assessment and impact analysis.</w:t>
      </w:r>
    </w:p>
    <w:p>
      <w:pPr>
        <w:pStyle w:val="ListBullet"/>
        <w:spacing w:after="80"/>
      </w:pPr>
      <w:r>
        <w:rPr>
          <w:b/>
        </w:rPr>
        <w:t xml:space="preserve">Policies &amp; plans — </w:t>
      </w:r>
      <w:r>
        <w:t>Information-security policy, access-control policy, incident-response, business-continuity and disaster-recovery plans.</w:t>
      </w:r>
    </w:p>
    <w:p>
      <w:pPr>
        <w:pStyle w:val="ListBullet"/>
        <w:spacing w:after="80"/>
      </w:pPr>
      <w:r>
        <w:rPr>
          <w:b/>
        </w:rPr>
        <w:t xml:space="preserve">Technical controls — </w:t>
      </w:r>
      <w:r>
        <w:t>Network segmentation, firewalls/IDS, encryption, authentication, logging/monitoring (SIEM/SOC) and endpoint protection.</w:t>
      </w:r>
    </w:p>
    <w:p>
      <w:pPr>
        <w:pStyle w:val="ListBullet"/>
        <w:spacing w:after="80"/>
      </w:pPr>
      <w:r>
        <w:rPr>
          <w:b/>
        </w:rPr>
        <w:t xml:space="preserve">Testing &amp; assurance — </w:t>
      </w:r>
      <w:r>
        <w:t>Regular penetration tests and vulnerability scans, and a recognised certification (ISO/IEC 27001, SOC 2).</w:t>
      </w:r>
    </w:p>
    <w:p>
      <w:pPr>
        <w:pStyle w:val="ListBullet"/>
        <w:spacing w:after="80"/>
      </w:pPr>
      <w:r>
        <w:rPr>
          <w:b/>
        </w:rPr>
        <w:t xml:space="preserve">Reporting &amp; supply-chain security — </w:t>
      </w:r>
      <w:r>
        <w:t>Incident-reporting procedures to NCSA, periodic compliance reporting, and hardware/software procurement and firmware-integrity controls.</w:t>
      </w:r>
    </w:p>
    <w:p/>
    <w:p>
      <w:pPr>
        <w:spacing w:after="40"/>
      </w:pPr>
      <w:r>
        <w:rPr>
          <w:b/>
          <w:i w:val="0"/>
          <w:color w:val="202440"/>
        </w:rPr>
        <w:t>Common pitfalls &amp; review points</w:t>
      </w:r>
    </w:p>
    <w:p>
      <w:pPr>
        <w:pStyle w:val="ListBullet2"/>
        <w:spacing w:after="40"/>
      </w:pPr>
      <w:r>
        <w:t>ISO/IEC 27001 also feeds the BOI tax-activation check — sequence the certification accordingly.</w:t>
      </w:r>
    </w:p>
    <w:p>
      <w:pPr>
        <w:pStyle w:val="ListBullet2"/>
        <w:spacing w:after="40"/>
      </w:pPr>
      <w:r>
        <w:t>Incident reporting to NCSA is mandatory and time-sensitive for CII — define the runbook now.</w:t>
      </w:r>
    </w:p>
    <w:p>
      <w:pPr>
        <w:pStyle w:val="ListBullet2"/>
        <w:spacing w:after="40"/>
      </w:pPr>
      <w:r>
        <w:t>Supply-chain/firmware integrity is increasingly scrutinised; document procurement controls.</w:t>
      </w:r>
    </w:p>
    <w:p/>
    <w:p>
      <w:r>
        <w:br w:type="page"/>
      </w:r>
    </w:p>
    <w:p>
      <w:pPr>
        <w:pStyle w:val="Heading1"/>
      </w:pPr>
      <w:r>
        <w:rPr>
          <w:color w:val="5B4AB0"/>
        </w:rPr>
        <w:t>Appendix · General review checklist before any submission</w:t>
      </w:r>
    </w:p>
    <w:p>
      <w:pPr>
        <w:pStyle w:val="ListBullet"/>
      </w:pPr>
      <w:r>
        <w:t>Entity documents current (company affidavit &amp; shareholder list issued within 3–6 months).</w:t>
      </w:r>
    </w:p>
    <w:p>
      <w:pPr>
        <w:pStyle w:val="ListBullet"/>
      </w:pPr>
      <w:r>
        <w:t>Every foreign document apostilled/legalised AND translated to Thai by a certified translator.</w:t>
      </w:r>
    </w:p>
    <w:p>
      <w:pPr>
        <w:pStyle w:val="ListBullet"/>
      </w:pPr>
      <w:r>
        <w:t>Certified true copies signed and sealed, not plain photocopies.</w:t>
      </w:r>
    </w:p>
    <w:p>
      <w:pPr>
        <w:pStyle w:val="ListBullet"/>
      </w:pPr>
      <w:r>
        <w:t>POA references the exact application and is properly executed (notarised/apostilled if signed abroad).</w:t>
      </w:r>
    </w:p>
    <w:p>
      <w:pPr>
        <w:pStyle w:val="ListBullet"/>
      </w:pPr>
      <w:r>
        <w:t>All engineering/architectural drawings sealed by Thai-licensed professionals with licence numbers.</w:t>
      </w:r>
    </w:p>
    <w:p>
      <w:pPr>
        <w:pStyle w:val="ListBullet"/>
      </w:pPr>
      <w:r>
        <w:t>Technical figures (load MW, water demand, emissions, capital) consistent across BOI, EIA, utilities and building sets.</w:t>
      </w:r>
    </w:p>
    <w:p>
      <w:pPr>
        <w:pStyle w:val="ListBullet"/>
      </w:pPr>
      <w:r>
        <w:t>Prerequisite permits attached where required (e.g. EIA letter with the building permit; ERC letter with BOI).</w:t>
      </w:r>
    </w:p>
    <w:p>
      <w:pPr>
        <w:pStyle w:val="ListBullet"/>
      </w:pPr>
      <w:r>
        <w:t>Fresh copies pulled just before lodging to stay within validity windows.</w:t>
      </w:r>
    </w:p>
    <w:p/>
    <w:p>
      <w:r>
        <w:br w:type="page"/>
      </w:r>
    </w:p>
    <w:p>
      <w:pPr>
        <w:pStyle w:val="Heading1"/>
      </w:pPr>
      <w:r>
        <w:rPr>
          <w:color w:val="5B4AB0"/>
        </w:rPr>
        <w:t>Forms &amp; annexes — verified detail for the key permits</w:t>
      </w:r>
    </w:p>
    <w:p>
      <w:pPr>
        <w:spacing w:after="80"/>
      </w:pPr>
      <w:r>
        <w:rPr>
          <w:b w:val="0"/>
          <w:i/>
          <w:color w:val="555566"/>
          <w:sz w:val="18"/>
        </w:rPr>
        <w:t>The form codes and statutory contents below were checked against official/government sources (BOI Investment Promotion Guide 2025, the DBD Foreign Business Act application handbook, and ONEP EIA guidance). Always download the current form from the authority's portal before lodging — codes and annex lists are updated periodically.</w:t>
      </w:r>
    </w:p>
    <w:p/>
    <w:p>
      <w:pPr>
        <w:pStyle w:val="Heading2"/>
      </w:pPr>
      <w:r>
        <w:rPr>
          <w:color w:val="5B4AB0"/>
        </w:rPr>
        <w:t>Company Registration — forms</w:t>
      </w:r>
    </w:p>
    <w:p>
      <w:pPr>
        <w:spacing w:after="40"/>
      </w:pPr>
      <w:r>
        <w:rPr>
          <w:b/>
        </w:rPr>
        <w:t xml:space="preserve">Authority: </w:t>
      </w:r>
      <w:r>
        <w:t>Department of Business Development (DBD), via DBD e-Registration</w:t>
      </w:r>
    </w:p>
    <w:p>
      <w:pPr>
        <w:spacing w:after="40"/>
      </w:pPr>
      <w:r>
        <w:rPr>
          <w:b/>
        </w:rPr>
        <w:t xml:space="preserve">Core forms: </w:t>
      </w:r>
      <w:r>
        <w:t>Memorandum of Association (MOA) registration; statutory-meeting minutes; company-registration application (Bor.Or.Jor. set); shareholder list Bor.Or.Jor.5</w:t>
      </w:r>
    </w:p>
    <w:p>
      <w:pPr>
        <w:spacing w:after="40"/>
      </w:pPr>
      <w:r>
        <w:rPr>
          <w:b/>
        </w:rPr>
        <w:t xml:space="preserve">Tax: </w:t>
      </w:r>
      <w:r>
        <w:t>VAT/Tax-ID registration via the Revenue Department (Phor.Phor.01 / Phor.Phor.20) once registered</w:t>
      </w:r>
    </w:p>
    <w:p>
      <w:pPr>
        <w:spacing w:after="40"/>
      </w:pPr>
      <w:r>
        <w:rPr>
          <w:b/>
          <w:i w:val="0"/>
          <w:color w:val="202440"/>
        </w:rPr>
        <w:t>Filed together as the incorporation packet:</w:t>
      </w:r>
    </w:p>
    <w:p>
      <w:pPr>
        <w:pStyle w:val="ListBullet"/>
        <w:spacing w:after="40"/>
      </w:pPr>
      <w:r>
        <w:t>MOA — objectives (must include data-centre/IT-infrastructure operation), registered capital and shares</w:t>
      </w:r>
    </w:p>
    <w:p>
      <w:pPr>
        <w:pStyle w:val="ListBullet"/>
        <w:spacing w:after="40"/>
      </w:pPr>
      <w:r>
        <w:t>List of promoters/shareholders with nationalities and shareholding (Bor.Or.Jor.5)</w:t>
      </w:r>
    </w:p>
    <w:p>
      <w:pPr>
        <w:pStyle w:val="ListBullet"/>
        <w:spacing w:after="40"/>
      </w:pPr>
      <w:r>
        <w:t>Directors' details and authorised-signatory/seal arrangement</w:t>
      </w:r>
    </w:p>
    <w:p>
      <w:pPr>
        <w:pStyle w:val="ListBullet"/>
        <w:spacing w:after="40"/>
      </w:pPr>
      <w:r>
        <w:t>Registered-office consent letter + house registration (Tabien Baan) + location map</w:t>
      </w:r>
    </w:p>
    <w:p>
      <w:pPr>
        <w:pStyle w:val="ListBullet"/>
        <w:spacing w:after="40"/>
      </w:pPr>
      <w:r>
        <w:t>Company affidavit (Nangsue Rabrong) is issued on registration — keep certified copies</w:t>
      </w:r>
    </w:p>
    <w:p/>
    <w:p>
      <w:pPr>
        <w:pStyle w:val="Heading2"/>
      </w:pPr>
      <w:r>
        <w:rPr>
          <w:color w:val="5B4AB0"/>
        </w:rPr>
        <w:t>BOI Promotion — application &amp; annexes</w:t>
      </w:r>
    </w:p>
    <w:p>
      <w:pPr>
        <w:spacing w:after="40"/>
      </w:pPr>
      <w:r>
        <w:rPr>
          <w:b/>
        </w:rPr>
        <w:t xml:space="preserve">Authority: </w:t>
      </w:r>
      <w:r>
        <w:t>Thailand Board of Investment (BOI), via the BOI online e-Investment system</w:t>
      </w:r>
    </w:p>
    <w:p>
      <w:pPr>
        <w:spacing w:after="40"/>
      </w:pPr>
      <w:r>
        <w:rPr>
          <w:b/>
        </w:rPr>
        <w:t xml:space="preserve">Activity codes: </w:t>
      </w:r>
      <w:r>
        <w:t>8.2.1.1 — data centre with high power-usage effectiveness (8-year CIT exemption, capped); 8.2.1.2 — other data centre (5-year CIT exemption, cap 100% of investment)</w:t>
      </w:r>
    </w:p>
    <w:p>
      <w:pPr>
        <w:spacing w:after="40"/>
      </w:pPr>
      <w:r>
        <w:rPr>
          <w:b/>
        </w:rPr>
        <w:t xml:space="preserve">Hard prerequisite: </w:t>
      </w:r>
      <w:r>
        <w:t>ERC/MEA/PEA power-availability confirmation before the application is accepted</w:t>
      </w:r>
    </w:p>
    <w:p>
      <w:pPr>
        <w:spacing w:after="40"/>
      </w:pPr>
      <w:r>
        <w:rPr>
          <w:b/>
          <w:i w:val="0"/>
          <w:color w:val="202440"/>
        </w:rPr>
        <w:t>Annexes submitted with the online application (certified Thai translations, PDF):</w:t>
      </w:r>
    </w:p>
    <w:p>
      <w:pPr>
        <w:pStyle w:val="ListBullet"/>
        <w:spacing w:after="40"/>
      </w:pPr>
      <w:r>
        <w:t>Detailed business plan and 3-year financial projections (feasibility study above ~2 bn THB investment)</w:t>
      </w:r>
    </w:p>
    <w:p>
      <w:pPr>
        <w:pStyle w:val="ListBullet"/>
        <w:spacing w:after="40"/>
      </w:pPr>
      <w:r>
        <w:t>Electricity and water management plans; technical pack (single-line, cooling, network)</w:t>
      </w:r>
    </w:p>
    <w:p>
      <w:pPr>
        <w:pStyle w:val="ListBullet"/>
        <w:spacing w:after="40"/>
      </w:pPr>
      <w:r>
        <w:t>PUE modelling / CFD studies — required to claim 8.2.1.1</w:t>
      </w:r>
    </w:p>
    <w:p>
      <w:pPr>
        <w:pStyle w:val="ListBullet"/>
        <w:spacing w:after="40"/>
      </w:pPr>
      <w:r>
        <w:t>Thailand Benefits Plan — training &amp; knowledge-transfer to Thai nationals, local supply chain (must be fully implemented BEFORE the CIT exemption can be exercised)</w:t>
      </w:r>
    </w:p>
    <w:p>
      <w:pPr>
        <w:pStyle w:val="ListBullet"/>
        <w:spacing w:after="40"/>
      </w:pPr>
      <w:r>
        <w:t>Shareholder list with nationalities; parent-company audited financials &amp; incorporation cert (apostilled) for corporate investors</w:t>
      </w:r>
    </w:p>
    <w:p>
      <w:pPr>
        <w:pStyle w:val="ListBullet"/>
        <w:spacing w:after="40"/>
      </w:pPr>
      <w:r>
        <w:t>ISO/IEC 27001 roadmap (feeds the later tax-activation verification)</w:t>
      </w:r>
    </w:p>
    <w:p>
      <w:pPr>
        <w:spacing w:after="80"/>
      </w:pPr>
      <w:r>
        <w:rPr>
          <w:b w:val="0"/>
          <w:i/>
          <w:color w:val="555566"/>
          <w:sz w:val="18"/>
        </w:rPr>
        <w:t>Note: BOI now runs quarterly e-Monitoring; two consecutive missed reports can revoke the certificate.</w:t>
      </w:r>
    </w:p>
    <w:p/>
    <w:p>
      <w:pPr>
        <w:pStyle w:val="Heading2"/>
      </w:pPr>
      <w:r>
        <w:rPr>
          <w:color w:val="5B4AB0"/>
        </w:rPr>
        <w:t>Foreign Business License — Form Tor. 2 (ต.2)</w:t>
      </w:r>
    </w:p>
    <w:p>
      <w:pPr>
        <w:spacing w:after="40"/>
      </w:pPr>
      <w:r>
        <w:rPr>
          <w:b/>
        </w:rPr>
        <w:t xml:space="preserve">Authority: </w:t>
      </w:r>
      <w:r>
        <w:t>Bureau of Foreign Business Administration, DBD (or Provincial Business Development Office)</w:t>
      </w:r>
    </w:p>
    <w:p>
      <w:pPr>
        <w:spacing w:after="40"/>
      </w:pPr>
      <w:r>
        <w:rPr>
          <w:b/>
        </w:rPr>
        <w:t xml:space="preserve">Statute / fee / time: </w:t>
      </w:r>
      <w:r>
        <w:t>Foreign Business Act B.E. 2542; application fee 2,000 THB; statutory consideration within 60 days</w:t>
      </w:r>
    </w:p>
    <w:p>
      <w:pPr>
        <w:spacing w:after="40"/>
      </w:pPr>
      <w:r>
        <w:rPr>
          <w:b/>
          <w:i w:val="0"/>
          <w:color w:val="202440"/>
        </w:rPr>
        <w:t>Documents accompanying Form Tor. 2:</w:t>
      </w:r>
    </w:p>
    <w:p>
      <w:pPr>
        <w:pStyle w:val="ListBullet"/>
        <w:spacing w:after="40"/>
      </w:pPr>
      <w:r>
        <w:t>Identification document for the foreigner (passport/affidavit), apostilled + translated</w:t>
      </w:r>
    </w:p>
    <w:p>
      <w:pPr>
        <w:pStyle w:val="ListBullet"/>
        <w:spacing w:after="40"/>
      </w:pPr>
      <w:r>
        <w:t>Certification that the applicant holds the correct qualifications and has none of the prohibited characteristics under Section 16 of the Foreign Business Act</w:t>
      </w:r>
    </w:p>
    <w:p>
      <w:pPr>
        <w:pStyle w:val="ListBullet"/>
        <w:spacing w:after="40"/>
      </w:pPr>
      <w:r>
        <w:t>Letter of business detail — type &amp; size of business, intended operating period, number of employees in Thailand, and the expected overall benefit to Thailand's economy</w:t>
      </w:r>
    </w:p>
    <w:p>
      <w:pPr>
        <w:pStyle w:val="ListBullet"/>
        <w:spacing w:after="40"/>
      </w:pPr>
      <w:r>
        <w:t>Map indicating the approximate location of the place of business in Thailand</w:t>
      </w:r>
    </w:p>
    <w:p>
      <w:pPr>
        <w:pStyle w:val="ListBullet"/>
        <w:spacing w:after="40"/>
      </w:pPr>
      <w:r>
        <w:t>Minimum-capital evidence (≥2M THB; 3M+ for List 2/3 activities) with bank certification</w:t>
      </w:r>
    </w:p>
    <w:p>
      <w:pPr>
        <w:spacing w:after="80"/>
      </w:pPr>
      <w:r>
        <w:rPr>
          <w:b w:val="0"/>
          <w:i/>
          <w:color w:val="555566"/>
          <w:sz w:val="18"/>
        </w:rPr>
        <w:t>Note: if the BOI card already grants a Foreign Business Certificate for the activity, a separate FBL may be unnecessary.</w:t>
      </w:r>
    </w:p>
    <w:p/>
    <w:p>
      <w:pPr>
        <w:pStyle w:val="Heading2"/>
      </w:pPr>
      <w:r>
        <w:rPr>
          <w:color w:val="5B4AB0"/>
        </w:rPr>
        <w:t>EIA — statutory report contents (ONEP / EIEB)</w:t>
      </w:r>
    </w:p>
    <w:p>
      <w:pPr>
        <w:spacing w:after="40"/>
      </w:pPr>
      <w:r>
        <w:rPr>
          <w:b/>
        </w:rPr>
        <w:t xml:space="preserve">Authority: </w:t>
      </w:r>
      <w:r>
        <w:t>Environmental Impact Evaluation Bureau (EIEB), under ONEP</w:t>
      </w:r>
    </w:p>
    <w:p>
      <w:pPr>
        <w:spacing w:after="40"/>
      </w:pPr>
      <w:r>
        <w:rPr>
          <w:b/>
        </w:rPr>
        <w:t xml:space="preserve">Phases assessed: </w:t>
      </w:r>
      <w:r>
        <w:t>Construction phase and operation phase (cumulative impacts included)</w:t>
      </w:r>
    </w:p>
    <w:p>
      <w:pPr>
        <w:spacing w:after="40"/>
      </w:pPr>
      <w:r>
        <w:rPr>
          <w:b/>
          <w:i w:val="0"/>
          <w:color w:val="202440"/>
        </w:rPr>
        <w:t>By law the EIA report must at minimum contain:</w:t>
      </w:r>
    </w:p>
    <w:p>
      <w:pPr>
        <w:pStyle w:val="ListBullet"/>
        <w:spacing w:after="40"/>
      </w:pPr>
      <w:r>
        <w:t>Detailed project description and land-use plan (with location map at 1:50,000 or other appropriate scale)</w:t>
      </w:r>
    </w:p>
    <w:p>
      <w:pPr>
        <w:pStyle w:val="ListBullet"/>
        <w:spacing w:after="40"/>
      </w:pPr>
      <w:r>
        <w:t>Current/existing environmental situation — physical, biological, human-use and quality-of-life values, classified as capable / incapable of rehabilitation, with surrounding-area map</w:t>
      </w:r>
    </w:p>
    <w:p>
      <w:pPr>
        <w:pStyle w:val="ListBullet"/>
        <w:spacing w:after="40"/>
      </w:pPr>
      <w:r>
        <w:t>Analysis of alternatives that could be operated</w:t>
      </w:r>
    </w:p>
    <w:p>
      <w:pPr>
        <w:pStyle w:val="ListBullet"/>
        <w:spacing w:after="40"/>
      </w:pPr>
      <w:r>
        <w:t>Assessment of direct and indirect impacts — incl. air-quality and water-quality impacts vs. the area's assimilative capacity</w:t>
      </w:r>
    </w:p>
    <w:p>
      <w:pPr>
        <w:pStyle w:val="ListBullet"/>
        <w:spacing w:after="40"/>
      </w:pPr>
      <w:r>
        <w:t>Public participation in the assessment (consultation record)</w:t>
      </w:r>
    </w:p>
    <w:p>
      <w:pPr>
        <w:pStyle w:val="ListBullet"/>
        <w:spacing w:after="40"/>
      </w:pPr>
      <w:r>
        <w:t>Measures to prevent and rectify impacts, and to compensate/remedy damage — plus the monitoring programme</w:t>
      </w:r>
    </w:p>
    <w:p>
      <w:pPr>
        <w:spacing w:after="80"/>
      </w:pPr>
      <w:r>
        <w:rPr>
          <w:b w:val="0"/>
          <w:i/>
          <w:color w:val="555566"/>
          <w:sz w:val="18"/>
        </w:rPr>
        <w:t>Note: the report must be authored by an ONEP-licensed EIA consultant; the TOR agreed at screening fixes the exact baseline scope.</w:t>
      </w:r>
    </w:p>
    <w:p/>
    <w:p>
      <w:pPr>
        <w:pStyle w:val="Heading2"/>
      </w:pPr>
      <w:r>
        <w:rPr>
          <w:color w:val="5B4AB0"/>
        </w:rPr>
        <w:t>Building Permit — forms</w:t>
      </w:r>
    </w:p>
    <w:p>
      <w:pPr>
        <w:spacing w:after="40"/>
      </w:pPr>
      <w:r>
        <w:rPr>
          <w:b/>
        </w:rPr>
        <w:t xml:space="preserve">Authority: </w:t>
      </w:r>
      <w:r>
        <w:t>Local Building Control Authority, under the Building Control Act B.E. 2522</w:t>
      </w:r>
    </w:p>
    <w:p>
      <w:pPr>
        <w:spacing w:after="40"/>
      </w:pPr>
      <w:r>
        <w:rPr>
          <w:b/>
        </w:rPr>
        <w:t xml:space="preserve">Core forms: </w:t>
      </w:r>
      <w:r>
        <w:t>Construction-permit application (Form Khor.1); permit issued as Form Or.1; modification/【use change uses Khor./Or. series</w:t>
      </w:r>
    </w:p>
    <w:p>
      <w:pPr>
        <w:spacing w:after="40"/>
      </w:pPr>
      <w:r>
        <w:rPr>
          <w:b/>
          <w:i w:val="0"/>
          <w:color w:val="202440"/>
        </w:rPr>
        <w:t>Submitted with the application:</w:t>
      </w:r>
    </w:p>
    <w:p>
      <w:pPr>
        <w:pStyle w:val="ListBullet"/>
        <w:spacing w:after="40"/>
      </w:pPr>
      <w:r>
        <w:t>Architectural, structural (with calculations) and MEP drawing sets, each sealed by a Thai-licensed professional</w:t>
      </w:r>
    </w:p>
    <w:p>
      <w:pPr>
        <w:pStyle w:val="ListBullet"/>
        <w:spacing w:after="40"/>
      </w:pPr>
      <w:r>
        <w:t>Fire &amp; life-safety plan; title deed + zoning confirmation</w:t>
      </w:r>
    </w:p>
    <w:p>
      <w:pPr>
        <w:pStyle w:val="ListBullet"/>
        <w:spacing w:after="40"/>
      </w:pPr>
      <w:r>
        <w:t>EIA approval letter attached where the project requires EIA</w:t>
      </w:r>
    </w:p>
    <w:p>
      <w:pPr>
        <w:pStyle w:val="ListBullet"/>
        <w:spacing w:after="40"/>
      </w:pPr>
      <w:r>
        <w:t>Engineer/architect licence copies and letters of undertaking</w:t>
      </w:r>
    </w:p>
    <w:p/>
    <w:p>
      <w:pPr>
        <w:pStyle w:val="Heading2"/>
      </w:pPr>
      <w:r>
        <w:rPr>
          <w:color w:val="5B4AB0"/>
        </w:rPr>
        <w:t>Factory License — forms (DIW)</w:t>
      </w:r>
    </w:p>
    <w:p>
      <w:pPr>
        <w:spacing w:after="40"/>
      </w:pPr>
      <w:r>
        <w:rPr>
          <w:b/>
        </w:rPr>
        <w:t xml:space="preserve">Authority: </w:t>
      </w:r>
      <w:r>
        <w:t>Department of Industrial Works (DIW), under the Factory Act B.E. 2535 (as amended)</w:t>
      </w:r>
    </w:p>
    <w:p>
      <w:pPr>
        <w:spacing w:after="40"/>
      </w:pPr>
      <w:r>
        <w:rPr>
          <w:b/>
        </w:rPr>
        <w:t xml:space="preserve">Core forms: </w:t>
      </w:r>
      <w:r>
        <w:t>Factory establishment/operation licence application (Ror.Ngor. series, e.g. Ror.Ngor.3); operation start notification</w:t>
      </w:r>
    </w:p>
    <w:p>
      <w:pPr>
        <w:spacing w:after="40"/>
      </w:pPr>
      <w:r>
        <w:rPr>
          <w:b/>
          <w:i w:val="0"/>
          <w:color w:val="202440"/>
        </w:rPr>
        <w:t>Submitted with the application:</w:t>
      </w:r>
    </w:p>
    <w:p>
      <w:pPr>
        <w:pStyle w:val="ListBullet"/>
        <w:spacing w:after="40"/>
      </w:pPr>
      <w:r>
        <w:t>Machinery list with capacity and total horsepower (determines whether the Factory Act threshold is met)</w:t>
      </w:r>
    </w:p>
    <w:p>
      <w:pPr>
        <w:pStyle w:val="ListBullet"/>
        <w:spacing w:after="40"/>
      </w:pPr>
      <w:r>
        <w:t>Building/occupancy certificate; site plan</w:t>
      </w:r>
    </w:p>
    <w:p>
      <w:pPr>
        <w:pStyle w:val="ListBullet"/>
        <w:spacing w:after="40"/>
      </w:pPr>
      <w:r>
        <w:t>Environmental compliance (EIA approval or notification); waste &amp; byproduct management plan</w:t>
      </w:r>
    </w:p>
    <w:p>
      <w:pPr>
        <w:pStyle w:val="ListBullet"/>
        <w:spacing w:after="40"/>
      </w:pPr>
      <w:r>
        <w:t>Worker-safety, fire-safety and occupational-health plans; factory-manager appointment; workers'-compensation insurance</w:t>
      </w:r>
    </w:p>
    <w:p>
      <w:pPr>
        <w:spacing w:after="80"/>
      </w:pPr>
      <w:r>
        <w:rPr>
          <w:b w:val="0"/>
          <w:i/>
          <w:color w:val="555566"/>
          <w:sz w:val="18"/>
        </w:rPr>
        <w:t>Note: confirm with DIW whether the facility's plant actually crosses the Factory Act threshold before assuming applicability.</w:t>
      </w:r>
    </w:p>
    <w:p/>
    <w:p>
      <w:pPr>
        <w:spacing w:after="80"/>
      </w:pPr>
      <w:r>
        <w:rPr>
          <w:b w:val="0"/>
          <w:i/>
          <w:color w:val="555566"/>
          <w:sz w:val="18"/>
        </w:rPr>
        <w:t>Sources: BOI Investment Promotion Guide 2025 (boi.go.th); DBD Foreign Business Act application handbook (onestopservice.ditp.go.th) and DBD (dbd.go.th); ONEP / EIA Thailand (eiathailand.onep.go.th). Form codes verified June 2026 — re-check the authority's portal before lodging.</w:t>
      </w:r>
    </w:p>
    <w:p/>
    <w:p>
      <w:pPr>
        <w:spacing w:after="80"/>
      </w:pPr>
      <w:r>
        <w:rPr>
          <w:b w:val="0"/>
          <w:i/>
          <w:color w:val="555566"/>
          <w:sz w:val="18"/>
        </w:rPr>
        <w:t>Prepared from the CHN1A permitting research package (Master Permitting Guide, EIA &amp; FBL detailed guides, BOI updates analysis, and the 23 permit checklists) plus the verified form/annex detail above. Figures are planning estimates — confirm current requirements with each authority before lodging.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