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96A0" w14:textId="77777777" w:rsidR="00F73538" w:rsidRDefault="00F73538" w:rsidP="00F73538">
      <w:pPr>
        <w:pStyle w:val="font-claude-response-body"/>
      </w:pPr>
      <w:r>
        <w:rPr>
          <w:rStyle w:val="Strong"/>
          <w:rFonts w:eastAsiaTheme="majorEastAsia"/>
        </w:rPr>
        <w:t>Description</w:t>
      </w:r>
    </w:p>
    <w:p w14:paraId="5C25569C" w14:textId="77777777" w:rsidR="00F73538" w:rsidRDefault="00F73538" w:rsidP="00F73538">
      <w:pPr>
        <w:pStyle w:val="font-claude-response-body"/>
      </w:pPr>
      <w:r>
        <w:t>This change implements AWS Reserved Instance and Savings Plans discount sharing across the organization's consolidated billing family. Currently, unused RI/SP commitment capacity in purchasing accounts goes to waste. By enabling sharing, surplus discounts will automatically apply to eligible usage in other linked accounts, reducing on-demand spend organization-wide. The implementation includes creating Cost Categories for account grouping, configuring sharing preferences in the Billing Console, and setting up utilization monitoring via budget alerts.</w:t>
      </w:r>
    </w:p>
    <w:p w14:paraId="1F787A63" w14:textId="77777777" w:rsidR="00F73538" w:rsidRDefault="00F73538" w:rsidP="00F73538">
      <w:pPr>
        <w:pStyle w:val="font-claude-response-body"/>
      </w:pPr>
      <w:r>
        <w:rPr>
          <w:rStyle w:val="Strong"/>
          <w:rFonts w:eastAsiaTheme="majorEastAsia"/>
        </w:rPr>
        <w:t>Linked Accounts</w:t>
      </w:r>
    </w:p>
    <w:p w14:paraId="6BFBE807" w14:textId="77777777" w:rsidR="00F73538" w:rsidRDefault="00F73538" w:rsidP="00F73538">
      <w:pPr>
        <w:pStyle w:val="font-claude-response-body"/>
      </w:pPr>
      <w:r>
        <w:t>You'll need to list your actual account IDs, but structure it like this:</w:t>
      </w:r>
    </w:p>
    <w:p w14:paraId="3A0139FF" w14:textId="77777777" w:rsidR="00F73538" w:rsidRDefault="00F73538" w:rsidP="00F73538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Management (Payer) Account:</w:t>
      </w:r>
      <w:r>
        <w:t xml:space="preserve"> 566306277350 — controls all sharing preferences</w:t>
      </w:r>
    </w:p>
    <w:p w14:paraId="5C1AC33A" w14:textId="77777777" w:rsidR="00F73538" w:rsidRDefault="00F73538" w:rsidP="00F73538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Production Group:</w:t>
      </w:r>
      <w:r>
        <w:t xml:space="preserve"> 111111111111, 222222222222, 333333333333</w:t>
      </w:r>
    </w:p>
    <w:p w14:paraId="09C06EE0" w14:textId="77777777" w:rsidR="00F73538" w:rsidRDefault="00F73538" w:rsidP="00F73538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Development Group:</w:t>
      </w:r>
      <w:r>
        <w:t xml:space="preserve"> 444444444444, 555555555555</w:t>
      </w:r>
    </w:p>
    <w:p w14:paraId="366A42F2" w14:textId="77777777" w:rsidR="00F73538" w:rsidRDefault="00F73538" w:rsidP="00F73538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Sandbox (excluded from sharing):</w:t>
      </w:r>
      <w:r>
        <w:t xml:space="preserve"> 666666666666, 777777777777</w:t>
      </w:r>
    </w:p>
    <w:p w14:paraId="259700E7" w14:textId="77777777" w:rsidR="00F73538" w:rsidRDefault="00F73538" w:rsidP="00F73538">
      <w:pPr>
        <w:pStyle w:val="font-claude-response-body"/>
      </w:pPr>
      <w:r>
        <w:rPr>
          <w:rStyle w:val="Strong"/>
          <w:rFonts w:eastAsiaTheme="majorEastAsia"/>
        </w:rPr>
        <w:t>What Will Be Done</w:t>
      </w:r>
    </w:p>
    <w:p w14:paraId="2D0A603B" w14:textId="77777777" w:rsidR="00F73538" w:rsidRDefault="00F73538" w:rsidP="00F73538">
      <w:pPr>
        <w:pStyle w:val="whitespace-normal"/>
        <w:numPr>
          <w:ilvl w:val="0"/>
          <w:numId w:val="2"/>
        </w:numPr>
      </w:pPr>
      <w:r>
        <w:t>Enable RI/SP discount sharing in Billing Preferences from the management account</w:t>
      </w:r>
    </w:p>
    <w:p w14:paraId="021A87C3" w14:textId="77777777" w:rsidR="00F73538" w:rsidRDefault="00F73538" w:rsidP="00F73538">
      <w:pPr>
        <w:pStyle w:val="whitespace-normal"/>
        <w:numPr>
          <w:ilvl w:val="0"/>
          <w:numId w:val="2"/>
        </w:numPr>
      </w:pPr>
      <w:r>
        <w:t>Create Cost Categories to define account sharing groups (if using group-based sharing)</w:t>
      </w:r>
    </w:p>
    <w:p w14:paraId="4ED6EC86" w14:textId="77777777" w:rsidR="00F73538" w:rsidRDefault="00F73538" w:rsidP="00F73538">
      <w:pPr>
        <w:pStyle w:val="whitespace-normal"/>
        <w:numPr>
          <w:ilvl w:val="0"/>
          <w:numId w:val="2"/>
        </w:numPr>
      </w:pPr>
      <w:r>
        <w:t>Configure sharing mode (Organization-Wide, Prioritized Group, or Restricted Group)</w:t>
      </w:r>
    </w:p>
    <w:p w14:paraId="263CC2BA" w14:textId="77777777" w:rsidR="00F73538" w:rsidRDefault="00F73538" w:rsidP="00F73538">
      <w:pPr>
        <w:pStyle w:val="whitespace-normal"/>
        <w:numPr>
          <w:ilvl w:val="0"/>
          <w:numId w:val="2"/>
        </w:numPr>
      </w:pPr>
      <w:r>
        <w:t>Activate sharing for all eligible linked accounts</w:t>
      </w:r>
    </w:p>
    <w:p w14:paraId="04070F39" w14:textId="77777777" w:rsidR="00F73538" w:rsidRDefault="00F73538" w:rsidP="00F73538">
      <w:pPr>
        <w:pStyle w:val="whitespace-normal"/>
        <w:numPr>
          <w:ilvl w:val="0"/>
          <w:numId w:val="2"/>
        </w:numPr>
      </w:pPr>
      <w:r>
        <w:t>Deactivate sharing for sandbox/test accounts that should be excluded</w:t>
      </w:r>
    </w:p>
    <w:p w14:paraId="1DDFB348" w14:textId="77777777" w:rsidR="00F73538" w:rsidRDefault="00F73538" w:rsidP="00F73538">
      <w:pPr>
        <w:pStyle w:val="whitespace-normal"/>
        <w:numPr>
          <w:ilvl w:val="0"/>
          <w:numId w:val="2"/>
        </w:numPr>
      </w:pPr>
      <w:r>
        <w:t>Deploy budget alerts for RI utilization (threshold: 80%) and SP utilization monitoring</w:t>
      </w:r>
    </w:p>
    <w:p w14:paraId="29EDA620" w14:textId="77777777" w:rsidR="00F73538" w:rsidRDefault="00F73538" w:rsidP="00F73538">
      <w:pPr>
        <w:pStyle w:val="whitespace-normal"/>
        <w:numPr>
          <w:ilvl w:val="0"/>
          <w:numId w:val="2"/>
        </w:numPr>
      </w:pPr>
      <w:r>
        <w:t>Validate Cost Category status changes from "Processing" to "Applied" (up to 24 hours)</w:t>
      </w:r>
    </w:p>
    <w:p w14:paraId="1D0AF2B8" w14:textId="77777777" w:rsidR="00F73538" w:rsidRDefault="00F73538" w:rsidP="00F73538">
      <w:pPr>
        <w:pStyle w:val="font-claude-response-body"/>
      </w:pPr>
      <w:r>
        <w:rPr>
          <w:rStyle w:val="Strong"/>
          <w:rFonts w:eastAsiaTheme="majorEastAsia"/>
        </w:rPr>
        <w:t>Duration of Test</w:t>
      </w:r>
    </w:p>
    <w:p w14:paraId="480E2F32" w14:textId="77777777" w:rsidR="00F73538" w:rsidRDefault="00F73538" w:rsidP="00F73538">
      <w:pPr>
        <w:pStyle w:val="whitespace-normal"/>
        <w:numPr>
          <w:ilvl w:val="0"/>
          <w:numId w:val="3"/>
        </w:numPr>
      </w:pPr>
      <w:r>
        <w:rPr>
          <w:rStyle w:val="Strong"/>
          <w:rFonts w:eastAsiaTheme="majorEastAsia"/>
        </w:rPr>
        <w:t>Initial setup:</w:t>
      </w:r>
      <w:r>
        <w:t xml:space="preserve"> 1–2 days for configuration and Cost Category processing</w:t>
      </w:r>
    </w:p>
    <w:p w14:paraId="63356D66" w14:textId="77777777" w:rsidR="00F73538" w:rsidRDefault="00F73538" w:rsidP="00F73538">
      <w:pPr>
        <w:pStyle w:val="whitespace-normal"/>
        <w:numPr>
          <w:ilvl w:val="0"/>
          <w:numId w:val="3"/>
        </w:numPr>
      </w:pPr>
      <w:r>
        <w:rPr>
          <w:rStyle w:val="Strong"/>
          <w:rFonts w:eastAsiaTheme="majorEastAsia"/>
        </w:rPr>
        <w:t>Observation period:</w:t>
      </w:r>
      <w:r>
        <w:t xml:space="preserve"> 1 full billing cycle (30 days) to measure baseline impact</w:t>
      </w:r>
    </w:p>
    <w:p w14:paraId="13B2D2E6" w14:textId="77777777" w:rsidR="00F73538" w:rsidRDefault="00F73538" w:rsidP="00F73538">
      <w:pPr>
        <w:pStyle w:val="whitespace-normal"/>
        <w:numPr>
          <w:ilvl w:val="0"/>
          <w:numId w:val="3"/>
        </w:numPr>
      </w:pPr>
      <w:r>
        <w:rPr>
          <w:rStyle w:val="Strong"/>
          <w:rFonts w:eastAsiaTheme="majorEastAsia"/>
        </w:rPr>
        <w:t>Full evaluation:</w:t>
      </w:r>
      <w:r>
        <w:t xml:space="preserve"> 2–3 billing cycles (60–90 days) recommended to account for usage variation and confirm sustained savings</w:t>
      </w:r>
    </w:p>
    <w:p w14:paraId="4E518A29" w14:textId="77777777" w:rsidR="00F73538" w:rsidRDefault="00F73538" w:rsidP="00F73538">
      <w:pPr>
        <w:pStyle w:val="whitespace-normal"/>
        <w:numPr>
          <w:ilvl w:val="0"/>
          <w:numId w:val="3"/>
        </w:numPr>
      </w:pPr>
      <w:r>
        <w:rPr>
          <w:rStyle w:val="Strong"/>
          <w:rFonts w:eastAsiaTheme="majorEastAsia"/>
        </w:rPr>
        <w:t>Rollback window:</w:t>
      </w:r>
      <w:r>
        <w:t xml:space="preserve"> Preferences can be changed at any time; the final monthly bill uses the preferences set at 23:59:59 UTC on the last day of the month</w:t>
      </w:r>
    </w:p>
    <w:p w14:paraId="292E211C" w14:textId="77777777" w:rsidR="00F73538" w:rsidRDefault="00F73538" w:rsidP="00F73538">
      <w:pPr>
        <w:pStyle w:val="font-claude-response-body"/>
      </w:pPr>
      <w:r>
        <w:rPr>
          <w:rStyle w:val="Strong"/>
          <w:rFonts w:eastAsiaTheme="majorEastAsia"/>
        </w:rPr>
        <w:t>How Effectiveness Will Be Measured</w:t>
      </w:r>
    </w:p>
    <w:p w14:paraId="69B8FD52" w14:textId="77777777" w:rsidR="00F73538" w:rsidRDefault="00F73538" w:rsidP="00F73538">
      <w:pPr>
        <w:pStyle w:val="whitespace-normal"/>
        <w:numPr>
          <w:ilvl w:val="0"/>
          <w:numId w:val="4"/>
        </w:numPr>
      </w:pPr>
      <w:r>
        <w:rPr>
          <w:rStyle w:val="Strong"/>
          <w:rFonts w:eastAsiaTheme="majorEastAsia"/>
        </w:rPr>
        <w:t>Utilization Rate:</w:t>
      </w:r>
      <w:r>
        <w:t xml:space="preserve"> Percentage of purchased RI/SP hours consumed — target 90%+ (tracked in Cost Explorer)</w:t>
      </w:r>
    </w:p>
    <w:p w14:paraId="78DB1DEF" w14:textId="77777777" w:rsidR="00F73538" w:rsidRDefault="00F73538" w:rsidP="00F73538">
      <w:pPr>
        <w:pStyle w:val="whitespace-normal"/>
        <w:numPr>
          <w:ilvl w:val="0"/>
          <w:numId w:val="4"/>
        </w:numPr>
      </w:pPr>
      <w:r>
        <w:rPr>
          <w:rStyle w:val="Strong"/>
          <w:rFonts w:eastAsiaTheme="majorEastAsia"/>
        </w:rPr>
        <w:t>Coverage Rate:</w:t>
      </w:r>
      <w:r>
        <w:t xml:space="preserve"> Percentage of eligible on-demand usage covered by commitments — target 70–80%</w:t>
      </w:r>
    </w:p>
    <w:p w14:paraId="0918504A" w14:textId="77777777" w:rsidR="00F73538" w:rsidRDefault="00F73538" w:rsidP="00F73538">
      <w:pPr>
        <w:pStyle w:val="whitespace-normal"/>
        <w:numPr>
          <w:ilvl w:val="0"/>
          <w:numId w:val="4"/>
        </w:numPr>
      </w:pPr>
      <w:r>
        <w:rPr>
          <w:rStyle w:val="Strong"/>
          <w:rFonts w:eastAsiaTheme="majorEastAsia"/>
        </w:rPr>
        <w:t>Net Savings:</w:t>
      </w:r>
      <w:r>
        <w:t xml:space="preserve"> Actual bill vs. what would have been paid at on-demand rates, reviewed monthly</w:t>
      </w:r>
    </w:p>
    <w:p w14:paraId="04CCE11B" w14:textId="77777777" w:rsidR="00F73538" w:rsidRDefault="00F73538" w:rsidP="00F73538">
      <w:pPr>
        <w:pStyle w:val="whitespace-normal"/>
        <w:numPr>
          <w:ilvl w:val="0"/>
          <w:numId w:val="4"/>
        </w:numPr>
      </w:pPr>
      <w:r>
        <w:rPr>
          <w:rStyle w:val="Strong"/>
          <w:rFonts w:eastAsiaTheme="majorEastAsia"/>
        </w:rPr>
        <w:t>Waste Reduction:</w:t>
      </w:r>
      <w:r>
        <w:t xml:space="preserve"> Unused commitment hours before vs. after sharing — target near zero</w:t>
      </w:r>
    </w:p>
    <w:p w14:paraId="42E48174" w14:textId="77777777" w:rsidR="00F73538" w:rsidRDefault="00F73538" w:rsidP="00F73538">
      <w:pPr>
        <w:pStyle w:val="whitespace-normal"/>
        <w:numPr>
          <w:ilvl w:val="0"/>
          <w:numId w:val="4"/>
        </w:numPr>
      </w:pPr>
      <w:r>
        <w:rPr>
          <w:rStyle w:val="Strong"/>
          <w:rFonts w:eastAsiaTheme="majorEastAsia"/>
        </w:rPr>
        <w:lastRenderedPageBreak/>
        <w:t>Per-Account Impact:</w:t>
      </w:r>
      <w:r>
        <w:t xml:space="preserve"> Monthly effective rate change per business unit to validate discount distribution</w:t>
      </w:r>
    </w:p>
    <w:p w14:paraId="4F2257A8" w14:textId="77777777" w:rsidR="00F73538" w:rsidRDefault="00F73538"/>
    <w:sectPr w:rsidR="00F73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1F9B"/>
    <w:multiLevelType w:val="multilevel"/>
    <w:tmpl w:val="8022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A72CE"/>
    <w:multiLevelType w:val="multilevel"/>
    <w:tmpl w:val="4C4C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B1D67"/>
    <w:multiLevelType w:val="multilevel"/>
    <w:tmpl w:val="6344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51244"/>
    <w:multiLevelType w:val="multilevel"/>
    <w:tmpl w:val="FA0C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628662">
    <w:abstractNumId w:val="0"/>
  </w:num>
  <w:num w:numId="2" w16cid:durableId="1858080422">
    <w:abstractNumId w:val="2"/>
  </w:num>
  <w:num w:numId="3" w16cid:durableId="128254873">
    <w:abstractNumId w:val="1"/>
  </w:num>
  <w:num w:numId="4" w16cid:durableId="559439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538"/>
    <w:rsid w:val="00023291"/>
    <w:rsid w:val="00F7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B8CE9E"/>
  <w15:chartTrackingRefBased/>
  <w15:docId w15:val="{8FBAB69B-C81E-2B42-8982-5AA98123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538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73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3538"/>
    <w:rPr>
      <w:b/>
      <w:bCs/>
    </w:rPr>
  </w:style>
  <w:style w:type="paragraph" w:customStyle="1" w:styleId="whitespace-normal">
    <w:name w:val="whitespace-normal"/>
    <w:basedOn w:val="Normal"/>
    <w:rsid w:val="00F73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Sahay</dc:creator>
  <cp:keywords/>
  <dc:description/>
  <cp:lastModifiedBy>Anupam Sahay</cp:lastModifiedBy>
  <cp:revision>1</cp:revision>
  <dcterms:created xsi:type="dcterms:W3CDTF">2026-04-08T20:50:00Z</dcterms:created>
  <dcterms:modified xsi:type="dcterms:W3CDTF">2026-04-08T20:51:00Z</dcterms:modified>
</cp:coreProperties>
</file>