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040"/>
        <w:rPr>
          <w:rFonts w:ascii="Times New Roman"/>
        </w:rPr>
      </w:pPr>
      <w:r>
        <w:rPr>
          <w:rFonts w:ascii="Times New Roman"/>
        </w:rPr>
        <w:drawing>
          <wp:inline distT="0" distB="0" distL="0" distR="0">
            <wp:extent cx="2430744" cy="47929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430744" cy="479298"/>
                    </a:xfrm>
                    <a:prstGeom prst="rect">
                      <a:avLst/>
                    </a:prstGeom>
                  </pic:spPr>
                </pic:pic>
              </a:graphicData>
            </a:graphic>
          </wp:inline>
        </w:drawing>
      </w:r>
      <w:r>
        <w:rPr>
          <w:rFonts w:ascii="Times New Roman"/>
        </w:rPr>
      </w:r>
    </w:p>
    <w:p>
      <w:pPr>
        <w:pStyle w:val="BodyText"/>
        <w:spacing w:before="11"/>
        <w:rPr>
          <w:rFonts w:ascii="Times New Roman"/>
          <w:sz w:val="27"/>
        </w:rPr>
      </w:pPr>
    </w:p>
    <w:p>
      <w:pPr>
        <w:spacing w:after="0"/>
        <w:rPr>
          <w:rFonts w:ascii="Times New Roman"/>
          <w:sz w:val="27"/>
        </w:rPr>
        <w:sectPr>
          <w:footerReference w:type="default" r:id="rId5"/>
          <w:type w:val="continuous"/>
          <w:pgSz w:w="12240" w:h="15840"/>
          <w:pgMar w:footer="811" w:top="580" w:bottom="1000" w:left="700" w:right="520"/>
          <w:pgNumType w:start="1"/>
        </w:sect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Heading2"/>
        <w:spacing w:before="171"/>
        <w:rPr>
          <w:rFonts w:ascii="Arial Narrow"/>
        </w:rPr>
      </w:pPr>
      <w:r>
        <w:rPr>
          <w:rFonts w:ascii="Arial Narrow"/>
        </w:rPr>
        <w:t>PART A: TYPE OF COVERAGE</w:t>
      </w:r>
    </w:p>
    <w:p>
      <w:pPr>
        <w:spacing w:line="320" w:lineRule="exact" w:before="99"/>
        <w:ind w:left="187" w:right="3186" w:firstLine="0"/>
        <w:jc w:val="center"/>
        <w:rPr>
          <w:b/>
          <w:sz w:val="28"/>
        </w:rPr>
      </w:pPr>
      <w:r>
        <w:rPr/>
        <w:br w:type="column"/>
      </w:r>
      <w:r>
        <w:rPr>
          <w:b/>
          <w:sz w:val="28"/>
        </w:rPr>
        <w:t>SCHEDULE OF BENEFITS (Who Pays What)</w:t>
      </w:r>
    </w:p>
    <w:p>
      <w:pPr>
        <w:spacing w:line="320" w:lineRule="exact" w:before="0"/>
        <w:ind w:left="187" w:right="3186" w:firstLine="0"/>
        <w:jc w:val="center"/>
        <w:rPr>
          <w:b/>
          <w:sz w:val="28"/>
        </w:rPr>
      </w:pPr>
      <w:r>
        <w:rPr>
          <w:b/>
          <w:sz w:val="28"/>
          <w:u w:val="thick"/>
        </w:rPr>
        <w:t>Anthem Blue Cross and Blue Shield</w:t>
      </w:r>
    </w:p>
    <w:p>
      <w:pPr>
        <w:spacing w:line="206" w:lineRule="exact" w:before="0"/>
        <w:ind w:left="186" w:right="3186" w:firstLine="0"/>
        <w:jc w:val="center"/>
        <w:rPr>
          <w:b/>
          <w:sz w:val="18"/>
        </w:rPr>
      </w:pPr>
      <w:r>
        <w:rPr>
          <w:b/>
          <w:sz w:val="18"/>
        </w:rPr>
        <w:t>Name of Carrier</w:t>
      </w:r>
    </w:p>
    <w:p>
      <w:pPr>
        <w:pStyle w:val="Heading1"/>
        <w:spacing w:line="321" w:lineRule="exact" w:before="1"/>
        <w:ind w:right="3123"/>
      </w:pPr>
      <w:r>
        <w:rPr>
          <w:u w:val="thick"/>
        </w:rPr>
        <w:t>PPO $40 Copay</w:t>
      </w:r>
    </w:p>
    <w:p>
      <w:pPr>
        <w:spacing w:line="206" w:lineRule="exact" w:before="0"/>
        <w:ind w:left="186" w:right="3186" w:firstLine="0"/>
        <w:jc w:val="center"/>
        <w:rPr>
          <w:b/>
          <w:sz w:val="18"/>
        </w:rPr>
      </w:pPr>
      <w:r>
        <w:rPr>
          <w:b/>
          <w:sz w:val="18"/>
        </w:rPr>
        <w:t>Name of Plan</w:t>
      </w:r>
    </w:p>
    <w:p>
      <w:pPr>
        <w:spacing w:after="0" w:line="206" w:lineRule="exact"/>
        <w:jc w:val="center"/>
        <w:rPr>
          <w:sz w:val="18"/>
        </w:rPr>
        <w:sectPr>
          <w:type w:val="continuous"/>
          <w:pgSz w:w="12240" w:h="15840"/>
          <w:pgMar w:top="580" w:bottom="1000" w:left="700" w:right="520"/>
          <w:cols w:num="2" w:equalWidth="0">
            <w:col w:w="2782" w:space="40"/>
            <w:col w:w="8198"/>
          </w:cols>
        </w:sect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524"/>
        <w:gridCol w:w="6006"/>
      </w:tblGrid>
      <w:tr>
        <w:trPr>
          <w:trHeight w:val="229" w:hRule="atLeast"/>
        </w:trPr>
        <w:tc>
          <w:tcPr>
            <w:tcW w:w="4524" w:type="dxa"/>
            <w:tcBorders>
              <w:bottom w:val="single" w:sz="4" w:space="0" w:color="000000"/>
              <w:right w:val="single" w:sz="4" w:space="0" w:color="000000"/>
            </w:tcBorders>
          </w:tcPr>
          <w:p>
            <w:pPr>
              <w:pStyle w:val="TableParagraph"/>
              <w:tabs>
                <w:tab w:pos="459" w:val="left" w:leader="none"/>
              </w:tabs>
              <w:spacing w:line="210" w:lineRule="exact"/>
              <w:ind w:left="98"/>
              <w:rPr>
                <w:b/>
                <w:sz w:val="20"/>
              </w:rPr>
            </w:pPr>
            <w:r>
              <w:rPr>
                <w:b/>
                <w:sz w:val="20"/>
              </w:rPr>
              <w:t>1.</w:t>
              <w:tab/>
              <w:t>TYPE OF</w:t>
            </w:r>
            <w:r>
              <w:rPr>
                <w:b/>
                <w:spacing w:val="-3"/>
                <w:sz w:val="20"/>
              </w:rPr>
              <w:t> </w:t>
            </w:r>
            <w:r>
              <w:rPr>
                <w:b/>
                <w:sz w:val="20"/>
              </w:rPr>
              <w:t>PLAN</w:t>
            </w:r>
          </w:p>
        </w:tc>
        <w:tc>
          <w:tcPr>
            <w:tcW w:w="6006" w:type="dxa"/>
            <w:tcBorders>
              <w:left w:val="single" w:sz="4" w:space="0" w:color="000000"/>
              <w:bottom w:val="single" w:sz="4" w:space="0" w:color="000000"/>
            </w:tcBorders>
          </w:tcPr>
          <w:p>
            <w:pPr>
              <w:pStyle w:val="TableParagraph"/>
              <w:spacing w:line="210" w:lineRule="exact"/>
              <w:rPr>
                <w:sz w:val="20"/>
              </w:rPr>
            </w:pPr>
            <w:r>
              <w:rPr>
                <w:sz w:val="20"/>
              </w:rPr>
              <w:t>Preferred provider plan</w:t>
            </w:r>
          </w:p>
        </w:tc>
      </w:tr>
      <w:tr>
        <w:trPr>
          <w:trHeight w:val="228" w:hRule="atLeast"/>
        </w:trPr>
        <w:tc>
          <w:tcPr>
            <w:tcW w:w="4524" w:type="dxa"/>
            <w:tcBorders>
              <w:top w:val="single" w:sz="4" w:space="0" w:color="000000"/>
              <w:bottom w:val="single" w:sz="4" w:space="0" w:color="000000"/>
              <w:right w:val="single" w:sz="4" w:space="0" w:color="000000"/>
            </w:tcBorders>
          </w:tcPr>
          <w:p>
            <w:pPr>
              <w:pStyle w:val="TableParagraph"/>
              <w:tabs>
                <w:tab w:pos="459" w:val="left" w:leader="none"/>
              </w:tabs>
              <w:spacing w:line="209" w:lineRule="exact"/>
              <w:ind w:left="99"/>
              <w:rPr>
                <w:b/>
                <w:sz w:val="13"/>
              </w:rPr>
            </w:pPr>
            <w:r>
              <w:rPr>
                <w:b/>
                <w:sz w:val="20"/>
              </w:rPr>
              <w:t>2.</w:t>
              <w:tab/>
              <w:t>OUT-OF-NETWORK CARE COVERED?</w:t>
            </w:r>
            <w:r>
              <w:rPr>
                <w:b/>
                <w:position w:val="5"/>
                <w:sz w:val="13"/>
              </w:rPr>
              <w:t>1</w:t>
            </w:r>
          </w:p>
        </w:tc>
        <w:tc>
          <w:tcPr>
            <w:tcW w:w="6006" w:type="dxa"/>
            <w:tcBorders>
              <w:top w:val="single" w:sz="4" w:space="0" w:color="000000"/>
              <w:left w:val="single" w:sz="4" w:space="0" w:color="000000"/>
              <w:bottom w:val="single" w:sz="4" w:space="0" w:color="000000"/>
            </w:tcBorders>
          </w:tcPr>
          <w:p>
            <w:pPr>
              <w:pStyle w:val="TableParagraph"/>
              <w:spacing w:line="209" w:lineRule="exact"/>
              <w:rPr>
                <w:sz w:val="20"/>
              </w:rPr>
            </w:pPr>
            <w:r>
              <w:rPr>
                <w:sz w:val="20"/>
              </w:rPr>
              <w:t>Yes, but the patient pays more for Out-of-Network care</w:t>
            </w:r>
          </w:p>
        </w:tc>
      </w:tr>
      <w:tr>
        <w:trPr>
          <w:trHeight w:val="456" w:hRule="atLeast"/>
        </w:trPr>
        <w:tc>
          <w:tcPr>
            <w:tcW w:w="4524" w:type="dxa"/>
            <w:tcBorders>
              <w:top w:val="single" w:sz="4" w:space="0" w:color="000000"/>
              <w:right w:val="single" w:sz="4" w:space="0" w:color="000000"/>
            </w:tcBorders>
          </w:tcPr>
          <w:p>
            <w:pPr>
              <w:pStyle w:val="TableParagraph"/>
              <w:tabs>
                <w:tab w:pos="459" w:val="left" w:leader="none"/>
              </w:tabs>
              <w:spacing w:line="228" w:lineRule="exact" w:before="3"/>
              <w:ind w:left="458" w:right="836" w:hanging="360"/>
              <w:rPr>
                <w:b/>
                <w:sz w:val="20"/>
              </w:rPr>
            </w:pPr>
            <w:r>
              <w:rPr>
                <w:b/>
                <w:sz w:val="20"/>
              </w:rPr>
              <w:t>3.</w:t>
              <w:tab/>
              <w:tab/>
              <w:t>AREAS OF COLORADO WHERE PLAN IS AVAILABLE</w:t>
            </w:r>
          </w:p>
        </w:tc>
        <w:tc>
          <w:tcPr>
            <w:tcW w:w="6006" w:type="dxa"/>
            <w:tcBorders>
              <w:top w:val="single" w:sz="4" w:space="0" w:color="000000"/>
              <w:left w:val="single" w:sz="4" w:space="0" w:color="000000"/>
            </w:tcBorders>
          </w:tcPr>
          <w:p>
            <w:pPr>
              <w:pStyle w:val="TableParagraph"/>
              <w:spacing w:line="224" w:lineRule="exact"/>
              <w:rPr>
                <w:sz w:val="20"/>
              </w:rPr>
            </w:pPr>
            <w:r>
              <w:rPr>
                <w:sz w:val="20"/>
              </w:rPr>
              <w:t>Plan is available throughout Colorado</w:t>
            </w:r>
          </w:p>
        </w:tc>
      </w:tr>
    </w:tbl>
    <w:p>
      <w:pPr>
        <w:spacing w:line="240" w:lineRule="auto" w:before="0"/>
        <w:rPr>
          <w:b/>
          <w:sz w:val="20"/>
        </w:rPr>
      </w:pPr>
    </w:p>
    <w:p>
      <w:pPr>
        <w:spacing w:line="240" w:lineRule="auto" w:before="6"/>
        <w:rPr>
          <w:b/>
          <w:sz w:val="21"/>
        </w:rPr>
      </w:pPr>
    </w:p>
    <w:p>
      <w:pPr>
        <w:pStyle w:val="Heading2"/>
        <w:spacing w:before="1"/>
        <w:rPr>
          <w:rFonts w:ascii="Arial Narrow"/>
        </w:rPr>
      </w:pPr>
      <w:r>
        <w:rPr>
          <w:rFonts w:ascii="Arial Narrow"/>
        </w:rPr>
        <w:t>PART B: SUMMARY OF BENEFITS</w:t>
      </w:r>
    </w:p>
    <w:p>
      <w:pPr>
        <w:pStyle w:val="BodyText"/>
        <w:spacing w:before="3"/>
        <w:ind w:left="379" w:right="605"/>
        <w:rPr>
          <w:rFonts w:ascii="Arial Narrow"/>
        </w:rPr>
      </w:pPr>
      <w:r>
        <w:rPr>
          <w:rFonts w:ascii="Arial Narrow"/>
          <w:b/>
          <w:u w:val="single"/>
        </w:rPr>
        <w:t>Important Note</w:t>
      </w:r>
      <w:r>
        <w:rPr>
          <w:rFonts w:ascii="Arial Narrow"/>
        </w:rPr>
        <w:t>: This form is not a contract, it is only a summary. The contents of this form are subject to the provisions of the policy, which contains all terms, covenants and conditions of coverage. Your plan may exclude coverage for certain treatments, diagnoses, or services not noted below. The benefits shown in this summary may only be available if required plan procedures are followed (e.g., plans may require Precertification, prior authorization, a referral from your Primary Care Provider, or use of specified Providers or facilities).</w:t>
      </w:r>
    </w:p>
    <w:p>
      <w:pPr>
        <w:pStyle w:val="BodyText"/>
        <w:spacing w:before="4"/>
        <w:ind w:left="379" w:right="605"/>
        <w:rPr>
          <w:rFonts w:ascii="Arial Narrow"/>
        </w:rPr>
      </w:pPr>
      <w:r>
        <w:rPr>
          <w:rFonts w:ascii="Arial Narrow"/>
        </w:rPr>
        <w:t>Consult the actual policy to determine the exact terms and conditions of coverage. Coinsurance options reflect the amount the covered person will pay.</w:t>
      </w:r>
    </w:p>
    <w:p>
      <w:pPr>
        <w:spacing w:line="240" w:lineRule="auto" w:before="11" w:after="0"/>
        <w:rPr>
          <w:sz w:val="20"/>
        </w:r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50"/>
        <w:gridCol w:w="3690"/>
        <w:gridCol w:w="3690"/>
      </w:tblGrid>
      <w:tr>
        <w:trPr>
          <w:trHeight w:val="232" w:hRule="atLeast"/>
        </w:trPr>
        <w:tc>
          <w:tcPr>
            <w:tcW w:w="3150" w:type="dxa"/>
            <w:tcBorders>
              <w:bottom w:val="single" w:sz="4" w:space="0" w:color="000000"/>
              <w:right w:val="single" w:sz="4" w:space="0" w:color="000000"/>
            </w:tcBorders>
          </w:tcPr>
          <w:p>
            <w:pPr>
              <w:pStyle w:val="TableParagraph"/>
              <w:ind w:left="0"/>
              <w:rPr>
                <w:rFonts w:ascii="Times New Roman"/>
                <w:sz w:val="16"/>
              </w:rPr>
            </w:pPr>
          </w:p>
        </w:tc>
        <w:tc>
          <w:tcPr>
            <w:tcW w:w="3690" w:type="dxa"/>
            <w:tcBorders>
              <w:left w:val="single" w:sz="4" w:space="0" w:color="000000"/>
              <w:bottom w:val="single" w:sz="4" w:space="0" w:color="000000"/>
              <w:right w:val="single" w:sz="4" w:space="0" w:color="000000"/>
            </w:tcBorders>
          </w:tcPr>
          <w:p>
            <w:pPr>
              <w:pStyle w:val="TableParagraph"/>
              <w:spacing w:line="212" w:lineRule="exact"/>
              <w:ind w:left="1291" w:right="1282"/>
              <w:jc w:val="center"/>
              <w:rPr>
                <w:b/>
                <w:sz w:val="20"/>
              </w:rPr>
            </w:pPr>
            <w:r>
              <w:rPr>
                <w:b/>
                <w:sz w:val="20"/>
              </w:rPr>
              <w:t>IN-NETWORK</w:t>
            </w:r>
          </w:p>
        </w:tc>
        <w:tc>
          <w:tcPr>
            <w:tcW w:w="3690" w:type="dxa"/>
            <w:tcBorders>
              <w:left w:val="single" w:sz="4" w:space="0" w:color="000000"/>
              <w:bottom w:val="single" w:sz="4" w:space="0" w:color="000000"/>
            </w:tcBorders>
          </w:tcPr>
          <w:p>
            <w:pPr>
              <w:pStyle w:val="TableParagraph"/>
              <w:spacing w:line="212" w:lineRule="exact"/>
              <w:ind w:left="1076"/>
              <w:rPr>
                <w:b/>
                <w:sz w:val="20"/>
              </w:rPr>
            </w:pPr>
            <w:r>
              <w:rPr>
                <w:b/>
                <w:sz w:val="20"/>
              </w:rPr>
              <w:t>OUT-OF-NETWORK</w:t>
            </w:r>
          </w:p>
        </w:tc>
      </w:tr>
      <w:tr>
        <w:trPr>
          <w:trHeight w:val="231" w:hRule="atLeast"/>
        </w:trPr>
        <w:tc>
          <w:tcPr>
            <w:tcW w:w="3150" w:type="dxa"/>
            <w:tcBorders>
              <w:top w:val="single" w:sz="4" w:space="0" w:color="000000"/>
              <w:bottom w:val="single" w:sz="4" w:space="0" w:color="000000"/>
              <w:right w:val="single" w:sz="4" w:space="0" w:color="000000"/>
            </w:tcBorders>
          </w:tcPr>
          <w:p>
            <w:pPr>
              <w:pStyle w:val="TableParagraph"/>
              <w:spacing w:line="211" w:lineRule="exact"/>
              <w:ind w:left="99"/>
              <w:rPr>
                <w:b/>
                <w:sz w:val="13"/>
              </w:rPr>
            </w:pPr>
            <w:r>
              <w:rPr>
                <w:b/>
                <w:sz w:val="20"/>
              </w:rPr>
              <w:t>4. Deductible Type</w:t>
            </w:r>
            <w:r>
              <w:rPr>
                <w:b/>
                <w:position w:val="5"/>
                <w:sz w:val="13"/>
              </w:rPr>
              <w:t>2</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1"/>
              <w:rPr>
                <w:sz w:val="20"/>
              </w:rPr>
            </w:pPr>
            <w:r>
              <w:rPr>
                <w:sz w:val="20"/>
              </w:rPr>
              <w:t>Calendar Year</w:t>
            </w:r>
          </w:p>
        </w:tc>
        <w:tc>
          <w:tcPr>
            <w:tcW w:w="3690" w:type="dxa"/>
            <w:tcBorders>
              <w:top w:val="single" w:sz="4" w:space="0" w:color="000000"/>
              <w:left w:val="single" w:sz="4" w:space="0" w:color="000000"/>
              <w:bottom w:val="single" w:sz="4" w:space="0" w:color="000000"/>
            </w:tcBorders>
          </w:tcPr>
          <w:p>
            <w:pPr>
              <w:pStyle w:val="TableParagraph"/>
              <w:spacing w:line="210" w:lineRule="exact" w:before="1"/>
              <w:ind w:left="108"/>
              <w:rPr>
                <w:sz w:val="20"/>
              </w:rPr>
            </w:pPr>
            <w:r>
              <w:rPr>
                <w:sz w:val="20"/>
              </w:rPr>
              <w:t>Calendar Year</w:t>
            </w:r>
          </w:p>
        </w:tc>
      </w:tr>
      <w:tr>
        <w:trPr>
          <w:trHeight w:val="571" w:hRule="atLeast"/>
        </w:trPr>
        <w:tc>
          <w:tcPr>
            <w:tcW w:w="3150" w:type="dxa"/>
            <w:tcBorders>
              <w:top w:val="single" w:sz="4" w:space="0" w:color="000000"/>
              <w:bottom w:val="nil"/>
              <w:right w:val="single" w:sz="4" w:space="0" w:color="000000"/>
            </w:tcBorders>
          </w:tcPr>
          <w:p>
            <w:pPr>
              <w:pStyle w:val="TableParagraph"/>
              <w:spacing w:line="227" w:lineRule="exact"/>
              <w:ind w:left="99"/>
              <w:rPr>
                <w:b/>
                <w:sz w:val="13"/>
              </w:rPr>
            </w:pPr>
            <w:r>
              <w:rPr>
                <w:b/>
                <w:sz w:val="20"/>
              </w:rPr>
              <w:t>4a. ANNUAL DEDUCTIBLE</w:t>
            </w:r>
            <w:r>
              <w:rPr>
                <w:b/>
                <w:position w:val="5"/>
                <w:sz w:val="13"/>
              </w:rPr>
              <w:t>2a</w:t>
            </w:r>
          </w:p>
          <w:p>
            <w:pPr>
              <w:pStyle w:val="TableParagraph"/>
              <w:tabs>
                <w:tab w:pos="818" w:val="left" w:leader="none"/>
              </w:tabs>
              <w:spacing w:line="229" w:lineRule="exact"/>
              <w:ind w:left="458"/>
              <w:rPr>
                <w:b/>
                <w:sz w:val="13"/>
              </w:rPr>
            </w:pPr>
            <w:r>
              <w:rPr>
                <w:b/>
                <w:sz w:val="20"/>
              </w:rPr>
              <w:t>a)</w:t>
              <w:tab/>
              <w:t>Individual</w:t>
            </w:r>
            <w:r>
              <w:rPr>
                <w:b/>
                <w:position w:val="5"/>
                <w:sz w:val="13"/>
              </w:rPr>
              <w:t>2b</w:t>
            </w:r>
          </w:p>
        </w:tc>
        <w:tc>
          <w:tcPr>
            <w:tcW w:w="3690" w:type="dxa"/>
            <w:tcBorders>
              <w:top w:val="single" w:sz="4" w:space="0" w:color="000000"/>
              <w:left w:val="single" w:sz="4" w:space="0" w:color="000000"/>
              <w:bottom w:val="nil"/>
              <w:right w:val="single" w:sz="4" w:space="0" w:color="000000"/>
            </w:tcBorders>
          </w:tcPr>
          <w:p>
            <w:pPr>
              <w:pStyle w:val="TableParagraph"/>
              <w:spacing w:before="1"/>
              <w:ind w:left="0"/>
              <w:rPr>
                <w:sz w:val="20"/>
              </w:rPr>
            </w:pPr>
          </w:p>
          <w:p>
            <w:pPr>
              <w:pStyle w:val="TableParagraph"/>
              <w:rPr>
                <w:sz w:val="20"/>
              </w:rPr>
            </w:pPr>
            <w:r>
              <w:rPr>
                <w:sz w:val="20"/>
              </w:rPr>
              <w:t>$500, excludes Copayments</w:t>
            </w:r>
          </w:p>
        </w:tc>
        <w:tc>
          <w:tcPr>
            <w:tcW w:w="3690" w:type="dxa"/>
            <w:tcBorders>
              <w:top w:val="single" w:sz="4" w:space="0" w:color="000000"/>
              <w:left w:val="single" w:sz="4" w:space="0" w:color="000000"/>
              <w:bottom w:val="nil"/>
            </w:tcBorders>
          </w:tcPr>
          <w:p>
            <w:pPr>
              <w:pStyle w:val="TableParagraph"/>
              <w:spacing w:before="1"/>
              <w:ind w:left="0"/>
              <w:rPr>
                <w:sz w:val="20"/>
              </w:rPr>
            </w:pPr>
          </w:p>
          <w:p>
            <w:pPr>
              <w:pStyle w:val="TableParagraph"/>
              <w:rPr>
                <w:sz w:val="20"/>
              </w:rPr>
            </w:pPr>
            <w:r>
              <w:rPr>
                <w:sz w:val="20"/>
              </w:rPr>
              <w:t>$1,000</w:t>
            </w:r>
          </w:p>
        </w:tc>
      </w:tr>
      <w:tr>
        <w:trPr>
          <w:trHeight w:val="465" w:hRule="atLeast"/>
        </w:trPr>
        <w:tc>
          <w:tcPr>
            <w:tcW w:w="3150" w:type="dxa"/>
            <w:tcBorders>
              <w:top w:val="nil"/>
              <w:bottom w:val="nil"/>
              <w:right w:val="single" w:sz="4" w:space="0" w:color="000000"/>
            </w:tcBorders>
          </w:tcPr>
          <w:p>
            <w:pPr>
              <w:pStyle w:val="TableParagraph"/>
              <w:tabs>
                <w:tab w:pos="818" w:val="left" w:leader="none"/>
              </w:tabs>
              <w:spacing w:before="110"/>
              <w:ind w:left="459"/>
              <w:rPr>
                <w:b/>
                <w:sz w:val="13"/>
              </w:rPr>
            </w:pPr>
            <w:r>
              <w:rPr>
                <w:b/>
                <w:sz w:val="20"/>
              </w:rPr>
              <w:t>b)</w:t>
              <w:tab/>
              <w:t>Family</w:t>
            </w:r>
            <w:r>
              <w:rPr>
                <w:b/>
                <w:position w:val="5"/>
                <w:sz w:val="13"/>
              </w:rPr>
              <w:t>2c</w:t>
            </w:r>
          </w:p>
        </w:tc>
        <w:tc>
          <w:tcPr>
            <w:tcW w:w="3690" w:type="dxa"/>
            <w:tcBorders>
              <w:top w:val="nil"/>
              <w:left w:val="single" w:sz="4" w:space="0" w:color="000000"/>
              <w:bottom w:val="nil"/>
              <w:right w:val="single" w:sz="4" w:space="0" w:color="000000"/>
            </w:tcBorders>
          </w:tcPr>
          <w:p>
            <w:pPr>
              <w:pStyle w:val="TableParagraph"/>
              <w:spacing w:before="120"/>
              <w:rPr>
                <w:sz w:val="20"/>
              </w:rPr>
            </w:pPr>
            <w:r>
              <w:rPr>
                <w:sz w:val="20"/>
              </w:rPr>
              <w:t>$1,000, excludes Copayments</w:t>
            </w:r>
          </w:p>
        </w:tc>
        <w:tc>
          <w:tcPr>
            <w:tcW w:w="3690" w:type="dxa"/>
            <w:tcBorders>
              <w:top w:val="nil"/>
              <w:left w:val="single" w:sz="4" w:space="0" w:color="000000"/>
              <w:bottom w:val="nil"/>
            </w:tcBorders>
          </w:tcPr>
          <w:p>
            <w:pPr>
              <w:pStyle w:val="TableParagraph"/>
              <w:spacing w:before="120"/>
              <w:rPr>
                <w:sz w:val="20"/>
              </w:rPr>
            </w:pPr>
            <w:r>
              <w:rPr>
                <w:sz w:val="20"/>
              </w:rPr>
              <w:t>$2,000</w:t>
            </w:r>
          </w:p>
        </w:tc>
      </w:tr>
      <w:tr>
        <w:trPr>
          <w:trHeight w:val="921" w:hRule="atLeast"/>
        </w:trPr>
        <w:tc>
          <w:tcPr>
            <w:tcW w:w="3150" w:type="dxa"/>
            <w:tcBorders>
              <w:top w:val="nil"/>
              <w:bottom w:val="nil"/>
              <w:right w:val="single" w:sz="4" w:space="0" w:color="000000"/>
            </w:tcBorders>
          </w:tcPr>
          <w:p>
            <w:pPr>
              <w:pStyle w:val="TableParagraph"/>
              <w:ind w:left="0"/>
              <w:rPr>
                <w:rFonts w:ascii="Times New Roman"/>
                <w:sz w:val="18"/>
              </w:rPr>
            </w:pPr>
          </w:p>
        </w:tc>
        <w:tc>
          <w:tcPr>
            <w:tcW w:w="3690" w:type="dxa"/>
            <w:tcBorders>
              <w:top w:val="nil"/>
              <w:left w:val="single" w:sz="4" w:space="0" w:color="000000"/>
              <w:bottom w:val="nil"/>
              <w:right w:val="single" w:sz="4" w:space="0" w:color="000000"/>
            </w:tcBorders>
          </w:tcPr>
          <w:p>
            <w:pPr>
              <w:pStyle w:val="TableParagraph"/>
              <w:spacing w:before="115"/>
              <w:ind w:right="106"/>
              <w:rPr>
                <w:sz w:val="20"/>
              </w:rPr>
            </w:pPr>
            <w:r>
              <w:rPr>
                <w:sz w:val="20"/>
              </w:rPr>
              <w:t>One Member may not contribute any more than the individual Deductible towards the family Deductible.</w:t>
            </w:r>
          </w:p>
        </w:tc>
        <w:tc>
          <w:tcPr>
            <w:tcW w:w="3690" w:type="dxa"/>
            <w:tcBorders>
              <w:top w:val="nil"/>
              <w:left w:val="single" w:sz="4" w:space="0" w:color="000000"/>
              <w:bottom w:val="nil"/>
            </w:tcBorders>
          </w:tcPr>
          <w:p>
            <w:pPr>
              <w:pStyle w:val="TableParagraph"/>
              <w:spacing w:before="115"/>
              <w:ind w:right="96"/>
              <w:rPr>
                <w:sz w:val="20"/>
              </w:rPr>
            </w:pPr>
            <w:r>
              <w:rPr>
                <w:sz w:val="20"/>
              </w:rPr>
              <w:t>One Member may not contribute any more than the individual Deductible towards the family Deductible.</w:t>
            </w:r>
          </w:p>
        </w:tc>
      </w:tr>
      <w:tr>
        <w:trPr>
          <w:trHeight w:val="1958" w:hRule="atLeast"/>
        </w:trPr>
        <w:tc>
          <w:tcPr>
            <w:tcW w:w="3150" w:type="dxa"/>
            <w:tcBorders>
              <w:top w:val="nil"/>
              <w:right w:val="single" w:sz="4" w:space="0" w:color="000000"/>
            </w:tcBorders>
          </w:tcPr>
          <w:p>
            <w:pPr>
              <w:pStyle w:val="TableParagraph"/>
              <w:ind w:left="0"/>
              <w:rPr>
                <w:rFonts w:ascii="Times New Roman"/>
                <w:sz w:val="18"/>
              </w:rPr>
            </w:pPr>
          </w:p>
        </w:tc>
        <w:tc>
          <w:tcPr>
            <w:tcW w:w="3690" w:type="dxa"/>
            <w:tcBorders>
              <w:top w:val="nil"/>
              <w:left w:val="single" w:sz="4" w:space="0" w:color="000000"/>
              <w:right w:val="single" w:sz="4" w:space="0" w:color="000000"/>
            </w:tcBorders>
          </w:tcPr>
          <w:p>
            <w:pPr>
              <w:pStyle w:val="TableParagraph"/>
              <w:spacing w:line="230" w:lineRule="atLeast" w:before="115"/>
              <w:ind w:right="179"/>
              <w:rPr>
                <w:sz w:val="20"/>
              </w:rPr>
            </w:pPr>
            <w:r>
              <w:rPr>
                <w:sz w:val="20"/>
              </w:rPr>
              <w:t>Some Covered Services have a maximum number of days, visits or dollar amounts allowed. When the Deductible is applied to a Covered Service which has a maximum number of days or visits, those maximum benefits will be reduced by the amount applied toward the Deductible, whether or not the Covered Service is paid.</w:t>
            </w:r>
          </w:p>
        </w:tc>
        <w:tc>
          <w:tcPr>
            <w:tcW w:w="3690" w:type="dxa"/>
            <w:tcBorders>
              <w:top w:val="nil"/>
              <w:left w:val="single" w:sz="4" w:space="0" w:color="000000"/>
            </w:tcBorders>
          </w:tcPr>
          <w:p>
            <w:pPr>
              <w:pStyle w:val="TableParagraph"/>
              <w:spacing w:line="230" w:lineRule="atLeast" w:before="115"/>
              <w:ind w:right="169"/>
              <w:rPr>
                <w:sz w:val="20"/>
              </w:rPr>
            </w:pPr>
            <w:r>
              <w:rPr>
                <w:sz w:val="20"/>
              </w:rPr>
              <w:t>Some Covered Services have a maximum number of days, visits or dollar amounts allowed. When the Deductible is applied to a Covered Service which has a maximum number of days or visits, those maximum benefits will be reduced by the amount applied toward the Deductible, whether or not the Covered Service is paid.</w:t>
            </w:r>
          </w:p>
        </w:tc>
      </w:tr>
    </w:tbl>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3"/>
        <w:rPr>
          <w:sz w:val="30"/>
        </w:rPr>
      </w:pPr>
    </w:p>
    <w:p>
      <w:pPr>
        <w:spacing w:line="249" w:lineRule="auto" w:before="0"/>
        <w:ind w:left="101" w:right="605" w:firstLine="30"/>
        <w:jc w:val="left"/>
        <w:rPr>
          <w:sz w:val="13"/>
        </w:rPr>
      </w:pPr>
      <w:r>
        <w:rPr>
          <w:sz w:val="13"/>
        </w:rPr>
        <w:t>Anthem Blue Cross and Blue Shield is the trade name of Rocky Mountain Hospital and Medical Service, Inc. HMO products are underwritten by HMO Colorado, Inc. Independent licensees of the Blue Cross and Blue Shield Association. ® ANTHEM is a registered trademark of Anthem Insurance Companies, Inc. The Blue Cross and Blue Shield names and symbols are registered marks of the Blue Cross and Blue Shield Association.</w:t>
      </w:r>
    </w:p>
    <w:p>
      <w:pPr>
        <w:spacing w:line="240" w:lineRule="auto" w:before="0"/>
        <w:rPr>
          <w:sz w:val="13"/>
        </w:rPr>
      </w:pPr>
    </w:p>
    <w:p>
      <w:pPr>
        <w:spacing w:line="244" w:lineRule="auto" w:before="1"/>
        <w:ind w:left="101" w:right="605" w:firstLine="0"/>
        <w:jc w:val="left"/>
        <w:rPr>
          <w:b/>
          <w:sz w:val="13"/>
        </w:rPr>
      </w:pPr>
      <w:r>
        <w:rPr>
          <w:b/>
          <w:sz w:val="13"/>
        </w:rPr>
        <w:t>Si usted necesita ayuda en español para entender éste documento, puede solicitarla gratis llamando al número de servicio al cliente que aparece en su tarjeta de identificación o en su folleto de inscripción.</w:t>
      </w:r>
    </w:p>
    <w:p>
      <w:pPr>
        <w:spacing w:line="240" w:lineRule="auto" w:before="8"/>
        <w:rPr>
          <w:b/>
          <w:sz w:val="13"/>
        </w:rPr>
      </w:pPr>
    </w:p>
    <w:p>
      <w:pPr>
        <w:spacing w:before="0"/>
        <w:ind w:left="101" w:right="0" w:firstLine="0"/>
        <w:jc w:val="left"/>
        <w:rPr>
          <w:sz w:val="13"/>
        </w:rPr>
      </w:pPr>
      <w:r>
        <w:rPr>
          <w:sz w:val="13"/>
        </w:rPr>
        <w:t>If you need Spanish-language assistance to understand this document, you may request it at no additional cost by calling member services at the number on the back of your Health Benefit ID Card.</w:t>
      </w:r>
    </w:p>
    <w:p>
      <w:pPr>
        <w:spacing w:after="0"/>
        <w:jc w:val="left"/>
        <w:rPr>
          <w:sz w:val="13"/>
        </w:rPr>
        <w:sectPr>
          <w:type w:val="continuous"/>
          <w:pgSz w:w="12240" w:h="15840"/>
          <w:pgMar w:top="580" w:bottom="1000" w:left="700" w:right="520"/>
        </w:sect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50"/>
        <w:gridCol w:w="3690"/>
        <w:gridCol w:w="3690"/>
      </w:tblGrid>
      <w:tr>
        <w:trPr>
          <w:trHeight w:val="231" w:hRule="atLeast"/>
        </w:trPr>
        <w:tc>
          <w:tcPr>
            <w:tcW w:w="3150" w:type="dxa"/>
            <w:tcBorders>
              <w:bottom w:val="single" w:sz="4" w:space="0" w:color="000000"/>
              <w:right w:val="single" w:sz="4" w:space="0" w:color="000000"/>
            </w:tcBorders>
          </w:tcPr>
          <w:p>
            <w:pPr>
              <w:pStyle w:val="TableParagraph"/>
              <w:ind w:left="0"/>
              <w:rPr>
                <w:rFonts w:ascii="Times New Roman"/>
                <w:sz w:val="16"/>
              </w:rPr>
            </w:pPr>
          </w:p>
        </w:tc>
        <w:tc>
          <w:tcPr>
            <w:tcW w:w="3690" w:type="dxa"/>
            <w:tcBorders>
              <w:left w:val="single" w:sz="4" w:space="0" w:color="000000"/>
              <w:bottom w:val="single" w:sz="4" w:space="0" w:color="000000"/>
              <w:right w:val="single" w:sz="4" w:space="0" w:color="000000"/>
            </w:tcBorders>
          </w:tcPr>
          <w:p>
            <w:pPr>
              <w:pStyle w:val="TableParagraph"/>
              <w:spacing w:line="212" w:lineRule="exact"/>
              <w:ind w:left="1291" w:right="1282"/>
              <w:jc w:val="center"/>
              <w:rPr>
                <w:b/>
                <w:sz w:val="20"/>
              </w:rPr>
            </w:pPr>
            <w:r>
              <w:rPr>
                <w:b/>
                <w:sz w:val="20"/>
              </w:rPr>
              <w:t>IN-NETWORK</w:t>
            </w:r>
          </w:p>
        </w:tc>
        <w:tc>
          <w:tcPr>
            <w:tcW w:w="3690" w:type="dxa"/>
            <w:tcBorders>
              <w:left w:val="single" w:sz="4" w:space="0" w:color="000000"/>
              <w:bottom w:val="single" w:sz="4" w:space="0" w:color="000000"/>
            </w:tcBorders>
          </w:tcPr>
          <w:p>
            <w:pPr>
              <w:pStyle w:val="TableParagraph"/>
              <w:spacing w:line="212" w:lineRule="exact"/>
              <w:ind w:left="1076"/>
              <w:rPr>
                <w:b/>
                <w:sz w:val="20"/>
              </w:rPr>
            </w:pPr>
            <w:r>
              <w:rPr>
                <w:b/>
                <w:sz w:val="20"/>
              </w:rPr>
              <w:t>OUT-OF-NETWORK</w:t>
            </w:r>
          </w:p>
        </w:tc>
      </w:tr>
      <w:tr>
        <w:trPr>
          <w:trHeight w:val="7143" w:hRule="atLeast"/>
        </w:trPr>
        <w:tc>
          <w:tcPr>
            <w:tcW w:w="3150" w:type="dxa"/>
            <w:tcBorders>
              <w:top w:val="single" w:sz="4" w:space="0" w:color="000000"/>
              <w:bottom w:val="single" w:sz="4" w:space="0" w:color="000000"/>
              <w:right w:val="single" w:sz="4" w:space="0" w:color="000000"/>
            </w:tcBorders>
          </w:tcPr>
          <w:p>
            <w:pPr>
              <w:pStyle w:val="TableParagraph"/>
              <w:numPr>
                <w:ilvl w:val="0"/>
                <w:numId w:val="1"/>
              </w:numPr>
              <w:tabs>
                <w:tab w:pos="459" w:val="left" w:leader="none"/>
                <w:tab w:pos="460" w:val="left" w:leader="none"/>
              </w:tabs>
              <w:spacing w:line="240" w:lineRule="auto" w:before="0" w:after="0"/>
              <w:ind w:left="459" w:right="556" w:hanging="360"/>
              <w:jc w:val="left"/>
              <w:rPr>
                <w:b/>
                <w:sz w:val="13"/>
              </w:rPr>
            </w:pPr>
            <w:r>
              <w:rPr>
                <w:b/>
                <w:sz w:val="20"/>
              </w:rPr>
              <w:t>OUT-OF-POCKET ANNUAL MAXIMUM</w:t>
            </w:r>
            <w:r>
              <w:rPr>
                <w:b/>
                <w:position w:val="5"/>
                <w:sz w:val="13"/>
              </w:rPr>
              <w:t>3</w:t>
            </w:r>
          </w:p>
          <w:p>
            <w:pPr>
              <w:pStyle w:val="TableParagraph"/>
              <w:numPr>
                <w:ilvl w:val="1"/>
                <w:numId w:val="1"/>
              </w:numPr>
              <w:tabs>
                <w:tab w:pos="818" w:val="left" w:leader="none"/>
                <w:tab w:pos="819" w:val="left" w:leader="none"/>
              </w:tabs>
              <w:spacing w:line="227" w:lineRule="exact" w:before="0" w:after="0"/>
              <w:ind w:left="531" w:right="0" w:hanging="72"/>
              <w:jc w:val="left"/>
              <w:rPr>
                <w:b/>
                <w:sz w:val="20"/>
              </w:rPr>
            </w:pPr>
            <w:r>
              <w:rPr>
                <w:b/>
                <w:sz w:val="20"/>
              </w:rPr>
              <w:t>Individual</w:t>
            </w:r>
          </w:p>
          <w:p>
            <w:pPr>
              <w:pStyle w:val="TableParagraph"/>
              <w:spacing w:before="6"/>
              <w:ind w:left="0"/>
              <w:rPr>
                <w:sz w:val="19"/>
              </w:rPr>
            </w:pPr>
          </w:p>
          <w:p>
            <w:pPr>
              <w:pStyle w:val="TableParagraph"/>
              <w:numPr>
                <w:ilvl w:val="1"/>
                <w:numId w:val="1"/>
              </w:numPr>
              <w:tabs>
                <w:tab w:pos="818" w:val="left" w:leader="none"/>
                <w:tab w:pos="819" w:val="left" w:leader="none"/>
              </w:tabs>
              <w:spacing w:line="240" w:lineRule="auto" w:before="1" w:after="0"/>
              <w:ind w:left="531" w:right="0" w:hanging="72"/>
              <w:jc w:val="left"/>
              <w:rPr>
                <w:b/>
                <w:sz w:val="20"/>
              </w:rPr>
            </w:pPr>
            <w:r>
              <w:rPr>
                <w:b/>
                <w:sz w:val="20"/>
              </w:rPr>
              <w:t>Family</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3"/>
              <w:ind w:left="0"/>
              <w:rPr>
                <w:sz w:val="31"/>
              </w:rPr>
            </w:pPr>
          </w:p>
          <w:p>
            <w:pPr>
              <w:pStyle w:val="TableParagraph"/>
              <w:numPr>
                <w:ilvl w:val="1"/>
                <w:numId w:val="1"/>
              </w:numPr>
              <w:tabs>
                <w:tab w:pos="818" w:val="left" w:leader="none"/>
                <w:tab w:pos="819" w:val="left" w:leader="none"/>
              </w:tabs>
              <w:spacing w:line="240" w:lineRule="auto" w:before="0" w:after="0"/>
              <w:ind w:left="531" w:right="96" w:hanging="72"/>
              <w:jc w:val="left"/>
              <w:rPr>
                <w:b/>
                <w:sz w:val="20"/>
              </w:rPr>
            </w:pPr>
            <w:r>
              <w:rPr>
                <w:b/>
                <w:sz w:val="20"/>
              </w:rPr>
              <w:t>Is deductible included in the out-of-pocket maximum?</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ind w:left="0"/>
              <w:rPr>
                <w:sz w:val="22"/>
              </w:rPr>
            </w:pPr>
          </w:p>
          <w:p>
            <w:pPr>
              <w:pStyle w:val="TableParagraph"/>
              <w:spacing w:before="2"/>
              <w:ind w:left="0"/>
              <w:rPr>
                <w:sz w:val="18"/>
              </w:rPr>
            </w:pPr>
          </w:p>
          <w:p>
            <w:pPr>
              <w:pStyle w:val="TableParagraph"/>
              <w:rPr>
                <w:sz w:val="20"/>
              </w:rPr>
            </w:pPr>
            <w:r>
              <w:rPr>
                <w:sz w:val="20"/>
              </w:rPr>
              <w:t>$4,000 excludes Deductible and Copayments</w:t>
            </w:r>
          </w:p>
          <w:p>
            <w:pPr>
              <w:pStyle w:val="TableParagraph"/>
              <w:spacing w:before="2"/>
              <w:ind w:left="0"/>
              <w:rPr>
                <w:sz w:val="20"/>
              </w:rPr>
            </w:pPr>
          </w:p>
          <w:p>
            <w:pPr>
              <w:pStyle w:val="TableParagraph"/>
              <w:rPr>
                <w:sz w:val="20"/>
              </w:rPr>
            </w:pPr>
            <w:r>
              <w:rPr>
                <w:sz w:val="20"/>
              </w:rPr>
              <w:t>$8,000, excludes Deductible and Copayments</w:t>
            </w:r>
          </w:p>
          <w:p>
            <w:pPr>
              <w:pStyle w:val="TableParagraph"/>
              <w:spacing w:before="2"/>
              <w:ind w:left="0"/>
              <w:rPr>
                <w:sz w:val="20"/>
              </w:rPr>
            </w:pPr>
          </w:p>
          <w:p>
            <w:pPr>
              <w:pStyle w:val="TableParagraph"/>
              <w:ind w:right="106"/>
              <w:rPr>
                <w:sz w:val="20"/>
              </w:rPr>
            </w:pPr>
            <w:r>
              <w:rPr>
                <w:sz w:val="20"/>
              </w:rPr>
              <w:t>One Member may not contribute any more than the individual Out-of-Pocket Annual Maximum toward the family Out-of-Pocket Annual Maximum.</w:t>
            </w:r>
          </w:p>
          <w:p>
            <w:pPr>
              <w:pStyle w:val="TableParagraph"/>
              <w:spacing w:before="4"/>
              <w:ind w:left="0"/>
              <w:rPr>
                <w:sz w:val="20"/>
              </w:rPr>
            </w:pPr>
          </w:p>
          <w:p>
            <w:pPr>
              <w:pStyle w:val="TableParagraph"/>
              <w:rPr>
                <w:sz w:val="20"/>
              </w:rPr>
            </w:pPr>
            <w:r>
              <w:rPr>
                <w:sz w:val="20"/>
              </w:rPr>
              <w:t>No</w:t>
            </w:r>
          </w:p>
          <w:p>
            <w:pPr>
              <w:pStyle w:val="TableParagraph"/>
              <w:spacing w:before="2"/>
              <w:ind w:left="0"/>
              <w:rPr>
                <w:sz w:val="20"/>
              </w:rPr>
            </w:pPr>
          </w:p>
          <w:p>
            <w:pPr>
              <w:pStyle w:val="TableParagraph"/>
              <w:ind w:right="280"/>
              <w:rPr>
                <w:sz w:val="20"/>
              </w:rPr>
            </w:pPr>
            <w:r>
              <w:rPr>
                <w:sz w:val="20"/>
              </w:rPr>
              <w:t>Some Covered Services have a maximum number of days, visits or dollar amounts allowed. These maximums apply even if the applicable Out-of-Pocket Annual Maximum is satisfied.</w:t>
            </w:r>
          </w:p>
        </w:tc>
        <w:tc>
          <w:tcPr>
            <w:tcW w:w="3690" w:type="dxa"/>
            <w:tcBorders>
              <w:top w:val="single" w:sz="4" w:space="0" w:color="000000"/>
              <w:left w:val="single" w:sz="4" w:space="0" w:color="000000"/>
              <w:bottom w:val="single" w:sz="4" w:space="0" w:color="000000"/>
            </w:tcBorders>
          </w:tcPr>
          <w:p>
            <w:pPr>
              <w:pStyle w:val="TableParagraph"/>
              <w:ind w:left="0"/>
              <w:rPr>
                <w:sz w:val="22"/>
              </w:rPr>
            </w:pPr>
          </w:p>
          <w:p>
            <w:pPr>
              <w:pStyle w:val="TableParagraph"/>
              <w:spacing w:before="2"/>
              <w:ind w:left="0"/>
              <w:rPr>
                <w:sz w:val="18"/>
              </w:rPr>
            </w:pPr>
          </w:p>
          <w:p>
            <w:pPr>
              <w:pStyle w:val="TableParagraph"/>
              <w:rPr>
                <w:sz w:val="20"/>
              </w:rPr>
            </w:pPr>
            <w:r>
              <w:rPr>
                <w:sz w:val="20"/>
              </w:rPr>
              <w:t>$8,000 excludes Deductible</w:t>
            </w:r>
          </w:p>
          <w:p>
            <w:pPr>
              <w:pStyle w:val="TableParagraph"/>
              <w:spacing w:before="2"/>
              <w:ind w:left="0"/>
              <w:rPr>
                <w:sz w:val="20"/>
              </w:rPr>
            </w:pPr>
          </w:p>
          <w:p>
            <w:pPr>
              <w:pStyle w:val="TableParagraph"/>
              <w:rPr>
                <w:sz w:val="20"/>
              </w:rPr>
            </w:pPr>
            <w:r>
              <w:rPr>
                <w:sz w:val="20"/>
              </w:rPr>
              <w:t>$16,000, excludes Deductible</w:t>
            </w:r>
          </w:p>
          <w:p>
            <w:pPr>
              <w:pStyle w:val="TableParagraph"/>
              <w:spacing w:before="2"/>
              <w:ind w:left="0"/>
              <w:rPr>
                <w:sz w:val="20"/>
              </w:rPr>
            </w:pPr>
          </w:p>
          <w:p>
            <w:pPr>
              <w:pStyle w:val="TableParagraph"/>
              <w:ind w:right="96"/>
              <w:rPr>
                <w:sz w:val="20"/>
              </w:rPr>
            </w:pPr>
            <w:r>
              <w:rPr>
                <w:sz w:val="20"/>
              </w:rPr>
              <w:t>One Member may not contribute any more than the individual Out-of-Pocket Annual Maximum toward the family Out-of-Pocket Annual Maximum.</w:t>
            </w:r>
          </w:p>
          <w:p>
            <w:pPr>
              <w:pStyle w:val="TableParagraph"/>
              <w:spacing w:before="4"/>
              <w:ind w:left="0"/>
              <w:rPr>
                <w:sz w:val="20"/>
              </w:rPr>
            </w:pPr>
          </w:p>
          <w:p>
            <w:pPr>
              <w:pStyle w:val="TableParagraph"/>
              <w:rPr>
                <w:sz w:val="20"/>
              </w:rPr>
            </w:pPr>
            <w:r>
              <w:rPr>
                <w:sz w:val="20"/>
              </w:rPr>
              <w:t>No</w:t>
            </w:r>
          </w:p>
          <w:p>
            <w:pPr>
              <w:pStyle w:val="TableParagraph"/>
              <w:spacing w:before="2"/>
              <w:ind w:left="0"/>
              <w:rPr>
                <w:sz w:val="20"/>
              </w:rPr>
            </w:pPr>
          </w:p>
          <w:p>
            <w:pPr>
              <w:pStyle w:val="TableParagraph"/>
              <w:ind w:right="122"/>
              <w:rPr>
                <w:sz w:val="20"/>
              </w:rPr>
            </w:pPr>
            <w:r>
              <w:rPr>
                <w:sz w:val="20"/>
              </w:rPr>
              <w:t>Some Covered Services have a maximum number of days, visits or dollar amounts allowed. These maximums apply even if the applicable Out-of-Pocket Annual Maximum is satisfied. The difference between Billed Charges and the Maximum Allowed Amount for non-participating Providers does not count toward the Out-of-Pocket Annual Maximum.</w:t>
            </w:r>
          </w:p>
          <w:p>
            <w:pPr>
              <w:pStyle w:val="TableParagraph"/>
              <w:spacing w:before="8"/>
              <w:ind w:right="124"/>
              <w:rPr>
                <w:sz w:val="20"/>
              </w:rPr>
            </w:pPr>
            <w:r>
              <w:rPr>
                <w:sz w:val="20"/>
              </w:rPr>
              <w:t>Even once the Out-of-Pocket Annual Maximum is satisfied, you will still be responsible for paying the difference between the Maximum Allowed Amount and the non-participating Providers Billed Charges (sometimes called “balance billing”).</w:t>
            </w:r>
          </w:p>
          <w:p>
            <w:pPr>
              <w:pStyle w:val="TableParagraph"/>
              <w:spacing w:before="5"/>
              <w:ind w:left="0"/>
              <w:rPr>
                <w:sz w:val="20"/>
              </w:rPr>
            </w:pPr>
          </w:p>
          <w:p>
            <w:pPr>
              <w:pStyle w:val="TableParagraph"/>
              <w:spacing w:line="230" w:lineRule="atLeast"/>
              <w:ind w:right="586"/>
              <w:jc w:val="both"/>
              <w:rPr>
                <w:sz w:val="20"/>
              </w:rPr>
            </w:pPr>
            <w:r>
              <w:rPr>
                <w:sz w:val="20"/>
              </w:rPr>
              <w:t>The amounts you pay for Out-of-Network Covered Services are in addition to your balance billing costs.</w:t>
            </w:r>
          </w:p>
        </w:tc>
      </w:tr>
      <w:tr>
        <w:trPr>
          <w:trHeight w:val="2765" w:hRule="atLeast"/>
        </w:trPr>
        <w:tc>
          <w:tcPr>
            <w:tcW w:w="3150" w:type="dxa"/>
            <w:tcBorders>
              <w:top w:val="single" w:sz="4" w:space="0" w:color="000000"/>
              <w:bottom w:val="single" w:sz="4" w:space="0" w:color="000000"/>
              <w:right w:val="single" w:sz="4" w:space="0" w:color="000000"/>
            </w:tcBorders>
          </w:tcPr>
          <w:p>
            <w:pPr>
              <w:pStyle w:val="TableParagraph"/>
              <w:tabs>
                <w:tab w:pos="459" w:val="left" w:leader="none"/>
              </w:tabs>
              <w:ind w:left="458" w:right="287" w:hanging="360"/>
              <w:rPr>
                <w:b/>
                <w:sz w:val="20"/>
              </w:rPr>
            </w:pPr>
            <w:r>
              <w:rPr>
                <w:b/>
                <w:sz w:val="20"/>
              </w:rPr>
              <w:t>6.</w:t>
              <w:tab/>
              <w:tab/>
              <w:t>LIFETIME OR BENEFIT MAXIMUM PAID BY THE PLAN FOR ALL CARE</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ind w:right="81"/>
              <w:rPr>
                <w:sz w:val="20"/>
              </w:rPr>
            </w:pPr>
            <w:r>
              <w:rPr>
                <w:sz w:val="20"/>
              </w:rPr>
              <w:t>No lifetime maximum for most Covered Services. Infertility diagnostic services have a lifetime maximum benefit of $2,000 per Member In and Out-of-Network combined. Bariatric surgery has a per occurrence maximum benefit of $7,500 per Member for services received from a designated Facility or a per occurrence maximum benefit of $1,500 per Member for services received from a facility that is not a designated Facility; total per occurrence maximum benefit shall not exceed $7,500 per Member In and Out-of-Network combined.</w:t>
            </w:r>
          </w:p>
        </w:tc>
        <w:tc>
          <w:tcPr>
            <w:tcW w:w="3690" w:type="dxa"/>
            <w:tcBorders>
              <w:top w:val="single" w:sz="4" w:space="0" w:color="000000"/>
              <w:left w:val="single" w:sz="4" w:space="0" w:color="000000"/>
              <w:bottom w:val="single" w:sz="4" w:space="0" w:color="000000"/>
            </w:tcBorders>
          </w:tcPr>
          <w:p>
            <w:pPr>
              <w:pStyle w:val="TableParagraph"/>
              <w:ind w:right="71"/>
              <w:rPr>
                <w:sz w:val="20"/>
              </w:rPr>
            </w:pPr>
            <w:r>
              <w:rPr>
                <w:sz w:val="20"/>
              </w:rPr>
              <w:t>No lifetime maximum for most Covered Services. Infertility diagnostic services have a lifetime maximum benefit of $2,000 per Member In and Out-of-Network combined. Bariatric surgery has a per occurrence maximum benefit of $1,500 per Member for services received from a Facility that is not a designated Facility; total per occurrence maximum benefit shall not exceed $7,500 per Member In and Out-of- Network combined.</w:t>
            </w:r>
          </w:p>
        </w:tc>
      </w:tr>
      <w:tr>
        <w:trPr>
          <w:trHeight w:val="922" w:hRule="atLeast"/>
        </w:trPr>
        <w:tc>
          <w:tcPr>
            <w:tcW w:w="3150" w:type="dxa"/>
            <w:tcBorders>
              <w:top w:val="single" w:sz="4" w:space="0" w:color="000000"/>
              <w:bottom w:val="single" w:sz="4" w:space="0" w:color="000000"/>
              <w:right w:val="single" w:sz="4" w:space="0" w:color="000000"/>
            </w:tcBorders>
          </w:tcPr>
          <w:p>
            <w:pPr>
              <w:pStyle w:val="TableParagraph"/>
              <w:spacing w:line="228" w:lineRule="exact"/>
              <w:ind w:left="99"/>
              <w:rPr>
                <w:b/>
                <w:sz w:val="20"/>
              </w:rPr>
            </w:pPr>
            <w:r>
              <w:rPr>
                <w:b/>
                <w:sz w:val="20"/>
              </w:rPr>
              <w:t>7A. COVERED PROVIDERS</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before="1"/>
              <w:ind w:right="371"/>
              <w:rPr>
                <w:sz w:val="20"/>
              </w:rPr>
            </w:pPr>
            <w:r>
              <w:rPr>
                <w:sz w:val="20"/>
              </w:rPr>
              <w:t>Anthem Blue Cross and Blue Shield PPO Provider network. See Provider directory for complete list of current Providers.</w:t>
            </w:r>
          </w:p>
        </w:tc>
        <w:tc>
          <w:tcPr>
            <w:tcW w:w="3690" w:type="dxa"/>
            <w:tcBorders>
              <w:top w:val="single" w:sz="4" w:space="0" w:color="000000"/>
              <w:left w:val="single" w:sz="4" w:space="0" w:color="000000"/>
              <w:bottom w:val="single" w:sz="4" w:space="0" w:color="000000"/>
            </w:tcBorders>
          </w:tcPr>
          <w:p>
            <w:pPr>
              <w:pStyle w:val="TableParagraph"/>
              <w:spacing w:before="1"/>
              <w:rPr>
                <w:sz w:val="20"/>
              </w:rPr>
            </w:pPr>
            <w:r>
              <w:rPr>
                <w:sz w:val="20"/>
              </w:rPr>
              <w:t>All Providers licensed or certified to provide Covered Services.</w:t>
            </w:r>
          </w:p>
        </w:tc>
      </w:tr>
      <w:tr>
        <w:trPr>
          <w:trHeight w:val="1142" w:hRule="atLeast"/>
        </w:trPr>
        <w:tc>
          <w:tcPr>
            <w:tcW w:w="3150" w:type="dxa"/>
            <w:tcBorders>
              <w:top w:val="single" w:sz="4" w:space="0" w:color="000000"/>
              <w:right w:val="single" w:sz="4" w:space="0" w:color="000000"/>
            </w:tcBorders>
          </w:tcPr>
          <w:p>
            <w:pPr>
              <w:pStyle w:val="TableParagraph"/>
              <w:ind w:left="458" w:right="172" w:hanging="360"/>
              <w:rPr>
                <w:b/>
                <w:sz w:val="20"/>
              </w:rPr>
            </w:pPr>
            <w:r>
              <w:rPr>
                <w:b/>
                <w:sz w:val="20"/>
              </w:rPr>
              <w:t>7B. With respect to network plans, are all the providers listed in 7A accessible to me through my Primary Care Provider?</w:t>
            </w:r>
          </w:p>
        </w:tc>
        <w:tc>
          <w:tcPr>
            <w:tcW w:w="3690" w:type="dxa"/>
            <w:tcBorders>
              <w:top w:val="single" w:sz="4" w:space="0" w:color="000000"/>
              <w:left w:val="single" w:sz="4" w:space="0" w:color="000000"/>
              <w:right w:val="single" w:sz="4" w:space="0" w:color="000000"/>
            </w:tcBorders>
          </w:tcPr>
          <w:p>
            <w:pPr>
              <w:pStyle w:val="TableParagraph"/>
              <w:rPr>
                <w:sz w:val="20"/>
              </w:rPr>
            </w:pPr>
            <w:r>
              <w:rPr>
                <w:sz w:val="20"/>
              </w:rPr>
              <w:t>Yes</w:t>
            </w:r>
          </w:p>
        </w:tc>
        <w:tc>
          <w:tcPr>
            <w:tcW w:w="3690" w:type="dxa"/>
            <w:tcBorders>
              <w:top w:val="single" w:sz="4" w:space="0" w:color="000000"/>
              <w:left w:val="single" w:sz="4" w:space="0" w:color="000000"/>
            </w:tcBorders>
          </w:tcPr>
          <w:p>
            <w:pPr>
              <w:pStyle w:val="TableParagraph"/>
              <w:rPr>
                <w:sz w:val="20"/>
              </w:rPr>
            </w:pPr>
            <w:r>
              <w:rPr>
                <w:sz w:val="20"/>
              </w:rPr>
              <w:t>Yes</w:t>
            </w:r>
          </w:p>
        </w:tc>
      </w:tr>
    </w:tbl>
    <w:p>
      <w:pPr>
        <w:spacing w:after="0"/>
        <w:rPr>
          <w:sz w:val="20"/>
        </w:rPr>
        <w:sectPr>
          <w:pgSz w:w="12240" w:h="15840"/>
          <w:pgMar w:header="0" w:footer="811" w:top="720" w:bottom="1000" w:left="700" w:right="520"/>
        </w:sect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50"/>
        <w:gridCol w:w="3690"/>
        <w:gridCol w:w="3690"/>
      </w:tblGrid>
      <w:tr>
        <w:trPr>
          <w:trHeight w:val="231" w:hRule="atLeast"/>
        </w:trPr>
        <w:tc>
          <w:tcPr>
            <w:tcW w:w="3150" w:type="dxa"/>
            <w:tcBorders>
              <w:bottom w:val="single" w:sz="4" w:space="0" w:color="000000"/>
              <w:right w:val="single" w:sz="4" w:space="0" w:color="000000"/>
            </w:tcBorders>
          </w:tcPr>
          <w:p>
            <w:pPr>
              <w:pStyle w:val="TableParagraph"/>
              <w:ind w:left="0"/>
              <w:rPr>
                <w:rFonts w:ascii="Times New Roman"/>
                <w:sz w:val="16"/>
              </w:rPr>
            </w:pPr>
          </w:p>
        </w:tc>
        <w:tc>
          <w:tcPr>
            <w:tcW w:w="3690" w:type="dxa"/>
            <w:tcBorders>
              <w:left w:val="single" w:sz="4" w:space="0" w:color="000000"/>
              <w:bottom w:val="single" w:sz="4" w:space="0" w:color="000000"/>
              <w:right w:val="single" w:sz="4" w:space="0" w:color="000000"/>
            </w:tcBorders>
          </w:tcPr>
          <w:p>
            <w:pPr>
              <w:pStyle w:val="TableParagraph"/>
              <w:spacing w:line="212" w:lineRule="exact"/>
              <w:ind w:left="1291" w:right="1282"/>
              <w:jc w:val="center"/>
              <w:rPr>
                <w:b/>
                <w:sz w:val="20"/>
              </w:rPr>
            </w:pPr>
            <w:r>
              <w:rPr>
                <w:b/>
                <w:sz w:val="20"/>
              </w:rPr>
              <w:t>IN-NETWORK</w:t>
            </w:r>
          </w:p>
        </w:tc>
        <w:tc>
          <w:tcPr>
            <w:tcW w:w="3690" w:type="dxa"/>
            <w:tcBorders>
              <w:left w:val="single" w:sz="4" w:space="0" w:color="000000"/>
              <w:bottom w:val="single" w:sz="4" w:space="0" w:color="000000"/>
            </w:tcBorders>
          </w:tcPr>
          <w:p>
            <w:pPr>
              <w:pStyle w:val="TableParagraph"/>
              <w:spacing w:line="212" w:lineRule="exact"/>
              <w:ind w:left="1076"/>
              <w:rPr>
                <w:b/>
                <w:sz w:val="20"/>
              </w:rPr>
            </w:pPr>
            <w:r>
              <w:rPr>
                <w:b/>
                <w:sz w:val="20"/>
              </w:rPr>
              <w:t>OUT-OF-NETWORK</w:t>
            </w:r>
          </w:p>
        </w:tc>
      </w:tr>
      <w:tr>
        <w:trPr>
          <w:trHeight w:val="5300" w:hRule="atLeast"/>
        </w:trPr>
        <w:tc>
          <w:tcPr>
            <w:tcW w:w="3150" w:type="dxa"/>
            <w:tcBorders>
              <w:top w:val="single" w:sz="4" w:space="0" w:color="000000"/>
              <w:bottom w:val="single" w:sz="4" w:space="0" w:color="000000"/>
              <w:right w:val="single" w:sz="4" w:space="0" w:color="000000"/>
            </w:tcBorders>
          </w:tcPr>
          <w:p>
            <w:pPr>
              <w:pStyle w:val="TableParagraph"/>
              <w:numPr>
                <w:ilvl w:val="0"/>
                <w:numId w:val="2"/>
              </w:numPr>
              <w:tabs>
                <w:tab w:pos="458" w:val="left" w:leader="none"/>
                <w:tab w:pos="459" w:val="left" w:leader="none"/>
              </w:tabs>
              <w:spacing w:line="227" w:lineRule="exact" w:before="0" w:after="0"/>
              <w:ind w:left="459" w:right="0" w:hanging="360"/>
              <w:jc w:val="left"/>
              <w:rPr>
                <w:b/>
                <w:sz w:val="13"/>
              </w:rPr>
            </w:pPr>
            <w:r>
              <w:rPr>
                <w:b/>
                <w:sz w:val="20"/>
              </w:rPr>
              <w:t>MEDICAL OFFICE</w:t>
            </w:r>
            <w:r>
              <w:rPr>
                <w:b/>
                <w:spacing w:val="-3"/>
                <w:sz w:val="20"/>
              </w:rPr>
              <w:t> </w:t>
            </w:r>
            <w:r>
              <w:rPr>
                <w:b/>
                <w:sz w:val="20"/>
              </w:rPr>
              <w:t>VISITS</w:t>
            </w:r>
            <w:r>
              <w:rPr>
                <w:b/>
                <w:position w:val="5"/>
                <w:sz w:val="13"/>
              </w:rPr>
              <w:t>4</w:t>
            </w:r>
          </w:p>
          <w:p>
            <w:pPr>
              <w:pStyle w:val="TableParagraph"/>
              <w:numPr>
                <w:ilvl w:val="1"/>
                <w:numId w:val="2"/>
              </w:numPr>
              <w:tabs>
                <w:tab w:pos="818" w:val="left" w:leader="none"/>
                <w:tab w:pos="820" w:val="left" w:leader="none"/>
              </w:tabs>
              <w:spacing w:line="229" w:lineRule="exact" w:before="0" w:after="0"/>
              <w:ind w:left="819" w:right="0" w:hanging="360"/>
              <w:jc w:val="left"/>
              <w:rPr>
                <w:b/>
                <w:sz w:val="20"/>
              </w:rPr>
            </w:pPr>
            <w:r>
              <w:rPr>
                <w:b/>
                <w:sz w:val="20"/>
              </w:rPr>
              <w:t>Primary Care</w:t>
            </w:r>
            <w:r>
              <w:rPr>
                <w:b/>
                <w:spacing w:val="-5"/>
                <w:sz w:val="20"/>
              </w:rPr>
              <w:t> </w:t>
            </w:r>
            <w:r>
              <w:rPr>
                <w:b/>
                <w:sz w:val="20"/>
              </w:rPr>
              <w:t>Providers</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2"/>
              </w:rPr>
            </w:pPr>
          </w:p>
          <w:p>
            <w:pPr>
              <w:pStyle w:val="TableParagraph"/>
              <w:numPr>
                <w:ilvl w:val="1"/>
                <w:numId w:val="2"/>
              </w:numPr>
              <w:tabs>
                <w:tab w:pos="818" w:val="left" w:leader="none"/>
                <w:tab w:pos="820" w:val="left" w:leader="none"/>
              </w:tabs>
              <w:spacing w:line="240" w:lineRule="auto" w:before="0" w:after="0"/>
              <w:ind w:left="819" w:right="0" w:hanging="360"/>
              <w:jc w:val="left"/>
              <w:rPr>
                <w:b/>
                <w:sz w:val="20"/>
              </w:rPr>
            </w:pPr>
            <w:r>
              <w:rPr>
                <w:b/>
                <w:sz w:val="20"/>
              </w:rPr>
              <w:t>Specialists</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sz w:val="20"/>
              </w:rPr>
            </w:pPr>
          </w:p>
          <w:p>
            <w:pPr>
              <w:pStyle w:val="TableParagraph"/>
              <w:ind w:right="106"/>
              <w:rPr>
                <w:sz w:val="20"/>
              </w:rPr>
            </w:pPr>
            <w:r>
              <w:rPr>
                <w:sz w:val="20"/>
              </w:rPr>
              <w:t>$40 Copayment per office visit; no Coinsurance (100% covered) for all other services which are performed in the Doctor’s office and billed by the Doctor (e.g., laboratory and x-ray services). Services performed or billed by another Provider are not included in the visit Copayment, see line 14 for payment information. Excludes MRI, CT, PET scans, nuclear medicine and other high-tech services, see line 14.</w:t>
            </w:r>
          </w:p>
          <w:p>
            <w:pPr>
              <w:pStyle w:val="TableParagraph"/>
              <w:spacing w:before="10"/>
              <w:ind w:left="0"/>
              <w:rPr>
                <w:sz w:val="20"/>
              </w:rPr>
            </w:pPr>
          </w:p>
          <w:p>
            <w:pPr>
              <w:pStyle w:val="TableParagraph"/>
              <w:ind w:right="106"/>
              <w:rPr>
                <w:sz w:val="20"/>
              </w:rPr>
            </w:pPr>
            <w:r>
              <w:rPr>
                <w:sz w:val="20"/>
              </w:rPr>
              <w:t>$40 Copayment per office visit; no Coinsurance (100% covered) for all other services which are performed in the Doctor’s office and billed by the Doctor (e.g., laboratory and x-ray services). Services performed or billed by another Provider are not included in the visit Copayment, see line 14 for payment information. Excludes MRI, CT, PET scans, nuclear medicine and other high-tech services, see line 14.</w:t>
            </w:r>
          </w:p>
        </w:tc>
        <w:tc>
          <w:tcPr>
            <w:tcW w:w="3690" w:type="dxa"/>
            <w:tcBorders>
              <w:top w:val="single" w:sz="4" w:space="0" w:color="000000"/>
              <w:left w:val="single" w:sz="4" w:space="0" w:color="000000"/>
              <w:bottom w:val="single" w:sz="4" w:space="0" w:color="000000"/>
            </w:tcBorders>
          </w:tcPr>
          <w:p>
            <w:pPr>
              <w:pStyle w:val="TableParagraph"/>
              <w:spacing w:before="1"/>
              <w:ind w:left="0"/>
              <w:rPr>
                <w:sz w:val="20"/>
              </w:rPr>
            </w:pPr>
          </w:p>
          <w:p>
            <w:pPr>
              <w:pStyle w:val="TableParagraph"/>
              <w:rPr>
                <w:sz w:val="20"/>
              </w:rPr>
            </w:pPr>
            <w:r>
              <w:rPr>
                <w:sz w:val="20"/>
              </w:rPr>
              <w:t>You pay 50% after Deductible</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0"/>
              <w:ind w:left="0"/>
              <w:rPr>
                <w:sz w:val="24"/>
              </w:rPr>
            </w:pPr>
          </w:p>
          <w:p>
            <w:pPr>
              <w:pStyle w:val="TableParagraph"/>
              <w:rPr>
                <w:sz w:val="20"/>
              </w:rPr>
            </w:pPr>
            <w:r>
              <w:rPr>
                <w:sz w:val="20"/>
              </w:rPr>
              <w:t>You pay 50% after Deductible</w:t>
            </w:r>
          </w:p>
        </w:tc>
      </w:tr>
      <w:tr>
        <w:trPr>
          <w:trHeight w:val="2765" w:hRule="atLeast"/>
        </w:trPr>
        <w:tc>
          <w:tcPr>
            <w:tcW w:w="3150" w:type="dxa"/>
            <w:tcBorders>
              <w:top w:val="single" w:sz="4" w:space="0" w:color="000000"/>
              <w:bottom w:val="single" w:sz="4" w:space="0" w:color="000000"/>
              <w:right w:val="single" w:sz="4" w:space="0" w:color="000000"/>
            </w:tcBorders>
          </w:tcPr>
          <w:p>
            <w:pPr>
              <w:pStyle w:val="TableParagraph"/>
              <w:numPr>
                <w:ilvl w:val="0"/>
                <w:numId w:val="3"/>
              </w:numPr>
              <w:tabs>
                <w:tab w:pos="458" w:val="left" w:leader="none"/>
                <w:tab w:pos="459" w:val="left" w:leader="none"/>
              </w:tabs>
              <w:spacing w:line="227" w:lineRule="exact" w:before="0" w:after="0"/>
              <w:ind w:left="458" w:right="0" w:hanging="359"/>
              <w:jc w:val="left"/>
              <w:rPr>
                <w:b/>
                <w:sz w:val="20"/>
              </w:rPr>
            </w:pPr>
            <w:r>
              <w:rPr>
                <w:b/>
                <w:sz w:val="20"/>
              </w:rPr>
              <w:t>PREVENTIVE</w:t>
            </w:r>
            <w:r>
              <w:rPr>
                <w:b/>
                <w:spacing w:val="-2"/>
                <w:sz w:val="20"/>
              </w:rPr>
              <w:t> </w:t>
            </w:r>
            <w:r>
              <w:rPr>
                <w:b/>
                <w:sz w:val="20"/>
              </w:rPr>
              <w:t>CARE</w:t>
            </w:r>
          </w:p>
          <w:p>
            <w:pPr>
              <w:pStyle w:val="TableParagraph"/>
              <w:numPr>
                <w:ilvl w:val="1"/>
                <w:numId w:val="3"/>
              </w:numPr>
              <w:tabs>
                <w:tab w:pos="818" w:val="left" w:leader="none"/>
                <w:tab w:pos="819" w:val="left" w:leader="none"/>
              </w:tabs>
              <w:spacing w:line="229" w:lineRule="exact" w:before="0" w:after="0"/>
              <w:ind w:left="818" w:right="0" w:hanging="359"/>
              <w:jc w:val="left"/>
              <w:rPr>
                <w:b/>
                <w:sz w:val="20"/>
              </w:rPr>
            </w:pPr>
            <w:r>
              <w:rPr>
                <w:b/>
                <w:sz w:val="20"/>
              </w:rPr>
              <w:t>Children’s</w:t>
            </w:r>
            <w:r>
              <w:rPr>
                <w:b/>
                <w:spacing w:val="-2"/>
                <w:sz w:val="20"/>
              </w:rPr>
              <w:t> </w:t>
            </w:r>
            <w:r>
              <w:rPr>
                <w:b/>
                <w:sz w:val="20"/>
              </w:rPr>
              <w:t>services</w:t>
            </w:r>
          </w:p>
          <w:p>
            <w:pPr>
              <w:pStyle w:val="TableParagraph"/>
              <w:ind w:left="0"/>
              <w:rPr>
                <w:sz w:val="22"/>
              </w:rPr>
            </w:pPr>
          </w:p>
          <w:p>
            <w:pPr>
              <w:pStyle w:val="TableParagraph"/>
              <w:ind w:left="0"/>
              <w:rPr>
                <w:sz w:val="22"/>
              </w:rPr>
            </w:pPr>
          </w:p>
          <w:p>
            <w:pPr>
              <w:pStyle w:val="TableParagraph"/>
              <w:numPr>
                <w:ilvl w:val="1"/>
                <w:numId w:val="3"/>
              </w:numPr>
              <w:tabs>
                <w:tab w:pos="818" w:val="left" w:leader="none"/>
                <w:tab w:pos="819" w:val="left" w:leader="none"/>
              </w:tabs>
              <w:spacing w:line="240" w:lineRule="auto" w:before="185" w:after="0"/>
              <w:ind w:left="818" w:right="0" w:hanging="359"/>
              <w:jc w:val="left"/>
              <w:rPr>
                <w:b/>
                <w:sz w:val="20"/>
              </w:rPr>
            </w:pPr>
            <w:r>
              <w:rPr>
                <w:b/>
                <w:sz w:val="20"/>
              </w:rPr>
              <w:t>Adults’</w:t>
            </w:r>
            <w:r>
              <w:rPr>
                <w:b/>
                <w:spacing w:val="-1"/>
                <w:sz w:val="20"/>
              </w:rPr>
              <w:t> </w:t>
            </w:r>
            <w:r>
              <w:rPr>
                <w:b/>
                <w:sz w:val="20"/>
              </w:rPr>
              <w:t>services</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sz w:val="20"/>
              </w:rPr>
            </w:pPr>
          </w:p>
          <w:p>
            <w:pPr>
              <w:pStyle w:val="TableParagraph"/>
              <w:ind w:right="270"/>
              <w:rPr>
                <w:sz w:val="20"/>
              </w:rPr>
            </w:pPr>
            <w:r>
              <w:rPr>
                <w:sz w:val="20"/>
              </w:rPr>
              <w:t>Up to age 13, $40 Copayment per office visit. Copayment includes services provided as preventive care.</w:t>
            </w:r>
          </w:p>
          <w:p>
            <w:pPr>
              <w:pStyle w:val="TableParagraph"/>
              <w:spacing w:before="4"/>
              <w:ind w:left="0"/>
              <w:rPr>
                <w:sz w:val="20"/>
              </w:rPr>
            </w:pPr>
          </w:p>
          <w:p>
            <w:pPr>
              <w:pStyle w:val="TableParagraph"/>
              <w:rPr>
                <w:sz w:val="20"/>
              </w:rPr>
            </w:pPr>
            <w:r>
              <w:rPr>
                <w:sz w:val="20"/>
              </w:rPr>
              <w:t>$40 Copayment per office visit. Copayment includes services provided as preventive care, including preventive Facility services.</w:t>
            </w:r>
          </w:p>
          <w:p>
            <w:pPr>
              <w:pStyle w:val="TableParagraph"/>
              <w:ind w:left="0"/>
              <w:rPr>
                <w:sz w:val="22"/>
              </w:rPr>
            </w:pPr>
          </w:p>
          <w:p>
            <w:pPr>
              <w:pStyle w:val="TableParagraph"/>
              <w:spacing w:before="4"/>
              <w:ind w:left="0"/>
              <w:rPr>
                <w:sz w:val="18"/>
              </w:rPr>
            </w:pPr>
          </w:p>
          <w:p>
            <w:pPr>
              <w:pStyle w:val="TableParagraph"/>
              <w:spacing w:line="230" w:lineRule="atLeast"/>
              <w:rPr>
                <w:sz w:val="20"/>
              </w:rPr>
            </w:pPr>
            <w:r>
              <w:rPr>
                <w:sz w:val="20"/>
              </w:rPr>
              <w:t>Covered preventive services are not subject to Coinsurance or Deductible.</w:t>
            </w:r>
          </w:p>
        </w:tc>
        <w:tc>
          <w:tcPr>
            <w:tcW w:w="3690" w:type="dxa"/>
            <w:tcBorders>
              <w:top w:val="single" w:sz="4" w:space="0" w:color="000000"/>
              <w:left w:val="single" w:sz="4" w:space="0" w:color="000000"/>
              <w:bottom w:val="single" w:sz="4" w:space="0" w:color="000000"/>
            </w:tcBorders>
          </w:tcPr>
          <w:p>
            <w:pPr>
              <w:pStyle w:val="TableParagraph"/>
              <w:spacing w:before="1"/>
              <w:ind w:left="0"/>
              <w:rPr>
                <w:sz w:val="20"/>
              </w:rPr>
            </w:pPr>
          </w:p>
          <w:p>
            <w:pPr>
              <w:pStyle w:val="TableParagraph"/>
              <w:ind w:right="260"/>
              <w:rPr>
                <w:sz w:val="20"/>
              </w:rPr>
            </w:pPr>
            <w:r>
              <w:rPr>
                <w:sz w:val="20"/>
              </w:rPr>
              <w:t>Up to age 13, $80 Copayment per office visit. Copayment includes services provided as preventive care.</w:t>
            </w:r>
          </w:p>
          <w:p>
            <w:pPr>
              <w:pStyle w:val="TableParagraph"/>
              <w:spacing w:before="4"/>
              <w:ind w:left="0"/>
              <w:rPr>
                <w:sz w:val="20"/>
              </w:rPr>
            </w:pPr>
          </w:p>
          <w:p>
            <w:pPr>
              <w:pStyle w:val="TableParagraph"/>
              <w:ind w:right="96"/>
              <w:rPr>
                <w:sz w:val="20"/>
              </w:rPr>
            </w:pPr>
            <w:r>
              <w:rPr>
                <w:sz w:val="20"/>
              </w:rPr>
              <w:t>$80 Copayment per office visit. Copayment includes services provided as preventive care. For covered preventive Facility services, you pay $500 Copayment.</w:t>
            </w:r>
          </w:p>
          <w:p>
            <w:pPr>
              <w:pStyle w:val="TableParagraph"/>
              <w:spacing w:before="4"/>
              <w:ind w:left="0"/>
              <w:rPr>
                <w:sz w:val="20"/>
              </w:rPr>
            </w:pPr>
          </w:p>
          <w:p>
            <w:pPr>
              <w:pStyle w:val="TableParagraph"/>
              <w:spacing w:line="230" w:lineRule="atLeast"/>
              <w:rPr>
                <w:sz w:val="20"/>
              </w:rPr>
            </w:pPr>
            <w:r>
              <w:rPr>
                <w:sz w:val="20"/>
              </w:rPr>
              <w:t>Covered preventive services are not subject to Coinsurance or Deductible.</w:t>
            </w:r>
          </w:p>
        </w:tc>
      </w:tr>
      <w:tr>
        <w:trPr>
          <w:trHeight w:val="3225" w:hRule="atLeast"/>
        </w:trPr>
        <w:tc>
          <w:tcPr>
            <w:tcW w:w="3150" w:type="dxa"/>
            <w:tcBorders>
              <w:top w:val="single" w:sz="4" w:space="0" w:color="000000"/>
              <w:right w:val="single" w:sz="4" w:space="0" w:color="000000"/>
            </w:tcBorders>
          </w:tcPr>
          <w:p>
            <w:pPr>
              <w:pStyle w:val="TableParagraph"/>
              <w:numPr>
                <w:ilvl w:val="0"/>
                <w:numId w:val="4"/>
              </w:numPr>
              <w:tabs>
                <w:tab w:pos="460" w:val="left" w:leader="none"/>
              </w:tabs>
              <w:spacing w:line="227" w:lineRule="exact" w:before="0" w:after="0"/>
              <w:ind w:left="459" w:right="0" w:hanging="360"/>
              <w:jc w:val="left"/>
              <w:rPr>
                <w:b/>
                <w:sz w:val="20"/>
              </w:rPr>
            </w:pPr>
            <w:r>
              <w:rPr>
                <w:b/>
                <w:sz w:val="20"/>
              </w:rPr>
              <w:t>MATERNITY</w:t>
            </w:r>
          </w:p>
          <w:p>
            <w:pPr>
              <w:pStyle w:val="TableParagraph"/>
              <w:numPr>
                <w:ilvl w:val="1"/>
                <w:numId w:val="4"/>
              </w:numPr>
              <w:tabs>
                <w:tab w:pos="818" w:val="left" w:leader="none"/>
                <w:tab w:pos="819" w:val="left" w:leader="none"/>
              </w:tabs>
              <w:spacing w:line="229" w:lineRule="exact" w:before="0" w:after="0"/>
              <w:ind w:left="801" w:right="0" w:hanging="342"/>
              <w:jc w:val="left"/>
              <w:rPr>
                <w:b/>
                <w:sz w:val="20"/>
              </w:rPr>
            </w:pPr>
            <w:r>
              <w:rPr>
                <w:b/>
                <w:sz w:val="20"/>
              </w:rPr>
              <w:t>Prenatal</w:t>
            </w:r>
            <w:r>
              <w:rPr>
                <w:b/>
                <w:spacing w:val="-2"/>
                <w:sz w:val="20"/>
              </w:rPr>
              <w:t> </w:t>
            </w:r>
            <w:r>
              <w:rPr>
                <w:b/>
                <w:sz w:val="20"/>
              </w:rPr>
              <w:t>care</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6"/>
              </w:rPr>
            </w:pPr>
          </w:p>
          <w:p>
            <w:pPr>
              <w:pStyle w:val="TableParagraph"/>
              <w:numPr>
                <w:ilvl w:val="1"/>
                <w:numId w:val="4"/>
              </w:numPr>
              <w:tabs>
                <w:tab w:pos="818" w:val="left" w:leader="none"/>
                <w:tab w:pos="819" w:val="left" w:leader="none"/>
              </w:tabs>
              <w:spacing w:line="240" w:lineRule="auto" w:before="0" w:after="0"/>
              <w:ind w:left="801" w:right="417" w:hanging="342"/>
              <w:jc w:val="left"/>
              <w:rPr>
                <w:b/>
                <w:sz w:val="13"/>
              </w:rPr>
            </w:pPr>
            <w:r>
              <w:rPr>
                <w:b/>
                <w:sz w:val="20"/>
              </w:rPr>
              <w:t>Delivery &amp; inpatient well baby</w:t>
            </w:r>
            <w:r>
              <w:rPr>
                <w:b/>
                <w:spacing w:val="-2"/>
                <w:sz w:val="20"/>
              </w:rPr>
              <w:t> </w:t>
            </w:r>
            <w:r>
              <w:rPr>
                <w:b/>
                <w:sz w:val="20"/>
              </w:rPr>
              <w:t>care</w:t>
            </w:r>
            <w:r>
              <w:rPr>
                <w:b/>
                <w:position w:val="5"/>
                <w:sz w:val="13"/>
              </w:rPr>
              <w:t>5</w:t>
            </w:r>
          </w:p>
        </w:tc>
        <w:tc>
          <w:tcPr>
            <w:tcW w:w="3690" w:type="dxa"/>
            <w:tcBorders>
              <w:top w:val="single" w:sz="4" w:space="0" w:color="000000"/>
              <w:left w:val="single" w:sz="4" w:space="0" w:color="000000"/>
              <w:right w:val="single" w:sz="4" w:space="0" w:color="000000"/>
            </w:tcBorders>
          </w:tcPr>
          <w:p>
            <w:pPr>
              <w:pStyle w:val="TableParagraph"/>
              <w:spacing w:before="1"/>
              <w:ind w:left="0"/>
              <w:rPr>
                <w:sz w:val="20"/>
              </w:rPr>
            </w:pPr>
          </w:p>
          <w:p>
            <w:pPr>
              <w:pStyle w:val="TableParagraph"/>
              <w:ind w:right="125"/>
              <w:rPr>
                <w:sz w:val="20"/>
              </w:rPr>
            </w:pPr>
            <w:r>
              <w:rPr>
                <w:sz w:val="20"/>
              </w:rPr>
              <w:t>$40 Copayment for first prenatal care office visit/delivery from the Doctor; no Coinsurance (100% covered) for all other services which are performed in the Doctor’s office and billed by the Doctor (e.g., laboratory and x-ray services). Services performed or billed by another Provider are not included in the visit Copayment, see line 14 for payment information.</w:t>
            </w:r>
          </w:p>
          <w:p>
            <w:pPr>
              <w:pStyle w:val="TableParagraph"/>
              <w:spacing w:before="9"/>
              <w:ind w:left="0"/>
              <w:rPr>
                <w:sz w:val="20"/>
              </w:rPr>
            </w:pPr>
          </w:p>
          <w:p>
            <w:pPr>
              <w:pStyle w:val="TableParagraph"/>
              <w:rPr>
                <w:sz w:val="20"/>
              </w:rPr>
            </w:pPr>
            <w:r>
              <w:rPr>
                <w:sz w:val="20"/>
              </w:rPr>
              <w:t>You pay 30% after Deductible</w:t>
            </w:r>
          </w:p>
        </w:tc>
        <w:tc>
          <w:tcPr>
            <w:tcW w:w="3690" w:type="dxa"/>
            <w:tcBorders>
              <w:top w:val="single" w:sz="4" w:space="0" w:color="000000"/>
              <w:left w:val="single" w:sz="4" w:space="0" w:color="000000"/>
            </w:tcBorders>
          </w:tcPr>
          <w:p>
            <w:pPr>
              <w:pStyle w:val="TableParagraph"/>
              <w:spacing w:before="1"/>
              <w:ind w:left="0"/>
              <w:rPr>
                <w:sz w:val="20"/>
              </w:rPr>
            </w:pPr>
          </w:p>
          <w:p>
            <w:pPr>
              <w:pStyle w:val="TableParagraph"/>
              <w:rPr>
                <w:sz w:val="20"/>
              </w:rPr>
            </w:pPr>
            <w:r>
              <w:rPr>
                <w:sz w:val="20"/>
              </w:rPr>
              <w:t>You pay 50% after Deductible</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9"/>
              <w:ind w:left="0"/>
              <w:rPr>
                <w:sz w:val="26"/>
              </w:rPr>
            </w:pPr>
          </w:p>
          <w:p>
            <w:pPr>
              <w:pStyle w:val="TableParagraph"/>
              <w:rPr>
                <w:sz w:val="20"/>
              </w:rPr>
            </w:pPr>
            <w:r>
              <w:rPr>
                <w:sz w:val="20"/>
              </w:rPr>
              <w:t>You pay 50% after Deductible</w:t>
            </w:r>
          </w:p>
        </w:tc>
      </w:tr>
    </w:tbl>
    <w:p>
      <w:pPr>
        <w:spacing w:after="0"/>
        <w:rPr>
          <w:sz w:val="20"/>
        </w:rPr>
        <w:sectPr>
          <w:pgSz w:w="12240" w:h="15840"/>
          <w:pgMar w:header="0" w:footer="811" w:top="720" w:bottom="1000" w:left="700" w:right="520"/>
        </w:sect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50"/>
        <w:gridCol w:w="3690"/>
        <w:gridCol w:w="3690"/>
      </w:tblGrid>
      <w:tr>
        <w:trPr>
          <w:trHeight w:val="674" w:hRule="atLeast"/>
        </w:trPr>
        <w:tc>
          <w:tcPr>
            <w:tcW w:w="3150" w:type="dxa"/>
            <w:tcBorders>
              <w:bottom w:val="nil"/>
              <w:right w:val="single" w:sz="4" w:space="0" w:color="000000"/>
            </w:tcBorders>
          </w:tcPr>
          <w:p>
            <w:pPr>
              <w:pStyle w:val="TableParagraph"/>
              <w:spacing w:line="220" w:lineRule="exact" w:before="1"/>
              <w:ind w:left="441" w:right="398" w:hanging="343"/>
              <w:rPr>
                <w:b/>
                <w:sz w:val="13"/>
              </w:rPr>
            </w:pPr>
            <w:r>
              <w:rPr>
                <w:b/>
                <w:sz w:val="20"/>
              </w:rPr>
              <w:t>11.  PRESCRIPTION DRUGS Level of coverage and restrictions on</w:t>
            </w:r>
            <w:r>
              <w:rPr>
                <w:b/>
                <w:spacing w:val="0"/>
                <w:sz w:val="20"/>
              </w:rPr>
              <w:t> </w:t>
            </w:r>
            <w:r>
              <w:rPr>
                <w:b/>
                <w:sz w:val="20"/>
              </w:rPr>
              <w:t>prescriptions</w:t>
            </w:r>
            <w:r>
              <w:rPr>
                <w:b/>
                <w:position w:val="5"/>
                <w:sz w:val="13"/>
              </w:rPr>
              <w:t>6</w:t>
            </w:r>
          </w:p>
        </w:tc>
        <w:tc>
          <w:tcPr>
            <w:tcW w:w="3690" w:type="dxa"/>
            <w:tcBorders>
              <w:left w:val="single" w:sz="4" w:space="0" w:color="000000"/>
              <w:bottom w:val="nil"/>
              <w:right w:val="single" w:sz="4" w:space="0" w:color="000000"/>
            </w:tcBorders>
          </w:tcPr>
          <w:p>
            <w:pPr>
              <w:pStyle w:val="TableParagraph"/>
              <w:spacing w:before="1"/>
              <w:ind w:right="407"/>
              <w:rPr>
                <w:sz w:val="20"/>
              </w:rPr>
            </w:pPr>
            <w:r>
              <w:rPr>
                <w:b/>
                <w:sz w:val="20"/>
              </w:rPr>
              <w:t>Inpatient care </w:t>
            </w:r>
            <w:r>
              <w:rPr>
                <w:sz w:val="20"/>
              </w:rPr>
              <w:t>– Included with the inpatient Hospital benefit (see line 12)</w:t>
            </w:r>
          </w:p>
        </w:tc>
        <w:tc>
          <w:tcPr>
            <w:tcW w:w="3690" w:type="dxa"/>
            <w:tcBorders>
              <w:left w:val="single" w:sz="4" w:space="0" w:color="000000"/>
              <w:bottom w:val="nil"/>
            </w:tcBorders>
          </w:tcPr>
          <w:p>
            <w:pPr>
              <w:pStyle w:val="TableParagraph"/>
              <w:spacing w:before="1"/>
              <w:ind w:right="397"/>
              <w:rPr>
                <w:sz w:val="20"/>
              </w:rPr>
            </w:pPr>
            <w:r>
              <w:rPr>
                <w:b/>
                <w:sz w:val="20"/>
              </w:rPr>
              <w:t>Inpatient care </w:t>
            </w:r>
            <w:r>
              <w:rPr>
                <w:sz w:val="20"/>
              </w:rPr>
              <w:t>– Included with the inpatient Hospital benefit (see line 12).</w:t>
            </w:r>
          </w:p>
        </w:tc>
      </w:tr>
      <w:tr>
        <w:trPr>
          <w:trHeight w:val="1743" w:hRule="atLeast"/>
        </w:trPr>
        <w:tc>
          <w:tcPr>
            <w:tcW w:w="3150" w:type="dxa"/>
            <w:tcBorders>
              <w:top w:val="nil"/>
              <w:bottom w:val="nil"/>
              <w:right w:val="single" w:sz="4" w:space="0" w:color="000000"/>
            </w:tcBorders>
          </w:tcPr>
          <w:p>
            <w:pPr>
              <w:pStyle w:val="TableParagraph"/>
              <w:ind w:left="0"/>
              <w:rPr>
                <w:rFonts w:ascii="Times New Roman"/>
                <w:sz w:val="18"/>
              </w:rPr>
            </w:pPr>
          </w:p>
        </w:tc>
        <w:tc>
          <w:tcPr>
            <w:tcW w:w="3690" w:type="dxa"/>
            <w:tcBorders>
              <w:top w:val="nil"/>
              <w:left w:val="single" w:sz="4" w:space="0" w:color="000000"/>
              <w:bottom w:val="nil"/>
              <w:right w:val="single" w:sz="4" w:space="0" w:color="000000"/>
            </w:tcBorders>
          </w:tcPr>
          <w:p>
            <w:pPr>
              <w:pStyle w:val="TableParagraph"/>
              <w:spacing w:before="16"/>
              <w:ind w:right="179"/>
              <w:rPr>
                <w:sz w:val="20"/>
              </w:rPr>
            </w:pPr>
            <w:r>
              <w:rPr>
                <w:b/>
                <w:sz w:val="20"/>
              </w:rPr>
              <w:t>Outpatient care Retail Pharmacy Drugs </w:t>
            </w:r>
            <w:r>
              <w:rPr>
                <w:sz w:val="20"/>
              </w:rPr>
              <w:t>- Tier 1 $20 Copayment, tier 2 $40 Copayment, tier 3 $50 Copayment, tier 4 30% Copayment, per prescription at a participating pharmacy up to a 30-day supply. For tier 4 retail Pharmacy Drugs, the maximum Copayment per prescription is $250 per 30-day supply.</w:t>
            </w:r>
          </w:p>
        </w:tc>
        <w:tc>
          <w:tcPr>
            <w:tcW w:w="3690" w:type="dxa"/>
            <w:tcBorders>
              <w:top w:val="nil"/>
              <w:left w:val="single" w:sz="4" w:space="0" w:color="000000"/>
              <w:bottom w:val="nil"/>
            </w:tcBorders>
          </w:tcPr>
          <w:p>
            <w:pPr>
              <w:pStyle w:val="TableParagraph"/>
              <w:spacing w:before="18"/>
              <w:ind w:right="97"/>
              <w:rPr>
                <w:sz w:val="20"/>
              </w:rPr>
            </w:pPr>
            <w:r>
              <w:rPr>
                <w:b/>
                <w:sz w:val="20"/>
              </w:rPr>
              <w:t>Outpatient care Retail Pharmacy Drugs </w:t>
            </w:r>
            <w:r>
              <w:rPr>
                <w:sz w:val="20"/>
              </w:rPr>
              <w:t>- Not covered</w:t>
            </w:r>
          </w:p>
        </w:tc>
      </w:tr>
      <w:tr>
        <w:trPr>
          <w:trHeight w:val="2301" w:hRule="atLeast"/>
        </w:trPr>
        <w:tc>
          <w:tcPr>
            <w:tcW w:w="3150" w:type="dxa"/>
            <w:tcBorders>
              <w:top w:val="nil"/>
              <w:bottom w:val="nil"/>
              <w:right w:val="single" w:sz="4" w:space="0" w:color="000000"/>
            </w:tcBorders>
          </w:tcPr>
          <w:p>
            <w:pPr>
              <w:pStyle w:val="TableParagraph"/>
              <w:ind w:left="0"/>
              <w:rPr>
                <w:rFonts w:ascii="Times New Roman"/>
                <w:sz w:val="18"/>
              </w:rPr>
            </w:pPr>
          </w:p>
        </w:tc>
        <w:tc>
          <w:tcPr>
            <w:tcW w:w="3690" w:type="dxa"/>
            <w:tcBorders>
              <w:top w:val="nil"/>
              <w:left w:val="single" w:sz="4" w:space="0" w:color="000000"/>
              <w:bottom w:val="nil"/>
              <w:right w:val="single" w:sz="4" w:space="0" w:color="000000"/>
            </w:tcBorders>
          </w:tcPr>
          <w:p>
            <w:pPr>
              <w:pStyle w:val="TableParagraph"/>
              <w:spacing w:before="115"/>
              <w:ind w:right="134"/>
              <w:rPr>
                <w:sz w:val="20"/>
              </w:rPr>
            </w:pPr>
            <w:r>
              <w:rPr>
                <w:b/>
                <w:sz w:val="20"/>
              </w:rPr>
              <w:t>Outpatient care Specialty Pharmacy Drugs </w:t>
            </w:r>
            <w:r>
              <w:rPr>
                <w:sz w:val="20"/>
              </w:rPr>
              <w:t>- Tier 1 $20 Copayment, tier 2 $40 Copayment, tier 3 $50 copayment, tier 4 30% Copayment, per prescription up to a 30-day supply. For tier 4 Specialty Pharmacy Drugs the maximum Copayment per prescription is $250 per 30-day supply. Specialty Pharmacy Drugs are not available at a Retail Pharmacy or from a Home Delivery Pharmacy.</w:t>
            </w:r>
          </w:p>
        </w:tc>
        <w:tc>
          <w:tcPr>
            <w:tcW w:w="3690" w:type="dxa"/>
            <w:tcBorders>
              <w:top w:val="nil"/>
              <w:left w:val="single" w:sz="4" w:space="0" w:color="000000"/>
              <w:bottom w:val="nil"/>
            </w:tcBorders>
          </w:tcPr>
          <w:p>
            <w:pPr>
              <w:pStyle w:val="TableParagraph"/>
              <w:spacing w:before="118"/>
              <w:ind w:right="125"/>
              <w:rPr>
                <w:sz w:val="20"/>
              </w:rPr>
            </w:pPr>
            <w:r>
              <w:rPr>
                <w:b/>
                <w:sz w:val="20"/>
              </w:rPr>
              <w:t>Outpatient care Specialty Pharmacy Drugs </w:t>
            </w:r>
            <w:r>
              <w:rPr>
                <w:sz w:val="20"/>
              </w:rPr>
              <w:t>- Not covered</w:t>
            </w:r>
          </w:p>
        </w:tc>
      </w:tr>
      <w:tr>
        <w:trPr>
          <w:trHeight w:val="2529" w:hRule="atLeast"/>
        </w:trPr>
        <w:tc>
          <w:tcPr>
            <w:tcW w:w="3150" w:type="dxa"/>
            <w:tcBorders>
              <w:top w:val="nil"/>
              <w:bottom w:val="nil"/>
              <w:right w:val="single" w:sz="4" w:space="0" w:color="000000"/>
            </w:tcBorders>
          </w:tcPr>
          <w:p>
            <w:pPr>
              <w:pStyle w:val="TableParagraph"/>
              <w:ind w:left="0"/>
              <w:rPr>
                <w:rFonts w:ascii="Times New Roman"/>
                <w:sz w:val="18"/>
              </w:rPr>
            </w:pPr>
          </w:p>
        </w:tc>
        <w:tc>
          <w:tcPr>
            <w:tcW w:w="3690" w:type="dxa"/>
            <w:tcBorders>
              <w:top w:val="nil"/>
              <w:left w:val="single" w:sz="4" w:space="0" w:color="000000"/>
              <w:bottom w:val="nil"/>
              <w:right w:val="single" w:sz="4" w:space="0" w:color="000000"/>
            </w:tcBorders>
          </w:tcPr>
          <w:p>
            <w:pPr>
              <w:pStyle w:val="TableParagraph"/>
              <w:spacing w:before="113"/>
              <w:ind w:right="134"/>
              <w:rPr>
                <w:sz w:val="20"/>
              </w:rPr>
            </w:pPr>
            <w:r>
              <w:rPr>
                <w:b/>
                <w:sz w:val="20"/>
              </w:rPr>
              <w:t>Outpatient care Home Delivery Pharmacy Drugs </w:t>
            </w:r>
            <w:r>
              <w:rPr>
                <w:sz w:val="20"/>
              </w:rPr>
              <w:t>- Tier 1 $20 Copayment, tier 2 $80 Copayment, tier 3 $100 Copayment, tier 4 30% Copayment, per prescription through the Home Delivery Pharmacy up to a 90-day supply. For the tier 4 Home Delivery Pharmacy drugs, the maximum Copayment per prescription is $250 per 30-day supply or $500 per 90-day supply. Specialty Pharmacy Drugs are not available through the Home Delivery Pharmacy.</w:t>
            </w:r>
          </w:p>
        </w:tc>
        <w:tc>
          <w:tcPr>
            <w:tcW w:w="3690" w:type="dxa"/>
            <w:tcBorders>
              <w:top w:val="nil"/>
              <w:left w:val="single" w:sz="4" w:space="0" w:color="000000"/>
              <w:bottom w:val="nil"/>
            </w:tcBorders>
          </w:tcPr>
          <w:p>
            <w:pPr>
              <w:pStyle w:val="TableParagraph"/>
              <w:spacing w:before="118"/>
              <w:ind w:right="325"/>
              <w:rPr>
                <w:sz w:val="20"/>
              </w:rPr>
            </w:pPr>
            <w:r>
              <w:rPr>
                <w:b/>
                <w:sz w:val="20"/>
              </w:rPr>
              <w:t>Outpatient care Home Delivery Pharmacy Drugs </w:t>
            </w:r>
            <w:r>
              <w:rPr>
                <w:sz w:val="20"/>
              </w:rPr>
              <w:t>- Not covered</w:t>
            </w:r>
          </w:p>
        </w:tc>
      </w:tr>
      <w:tr>
        <w:trPr>
          <w:trHeight w:val="1835" w:hRule="atLeast"/>
        </w:trPr>
        <w:tc>
          <w:tcPr>
            <w:tcW w:w="3150" w:type="dxa"/>
            <w:tcBorders>
              <w:top w:val="nil"/>
              <w:bottom w:val="nil"/>
              <w:right w:val="single" w:sz="4" w:space="0" w:color="000000"/>
            </w:tcBorders>
          </w:tcPr>
          <w:p>
            <w:pPr>
              <w:pStyle w:val="TableParagraph"/>
              <w:ind w:left="0"/>
              <w:rPr>
                <w:rFonts w:ascii="Times New Roman"/>
                <w:sz w:val="18"/>
              </w:rPr>
            </w:pPr>
          </w:p>
        </w:tc>
        <w:tc>
          <w:tcPr>
            <w:tcW w:w="3690" w:type="dxa"/>
            <w:tcBorders>
              <w:top w:val="nil"/>
              <w:left w:val="single" w:sz="4" w:space="0" w:color="000000"/>
              <w:bottom w:val="nil"/>
              <w:right w:val="single" w:sz="4" w:space="0" w:color="000000"/>
            </w:tcBorders>
          </w:tcPr>
          <w:p>
            <w:pPr>
              <w:pStyle w:val="TableParagraph"/>
              <w:spacing w:before="113"/>
              <w:ind w:right="89"/>
              <w:rPr>
                <w:sz w:val="20"/>
              </w:rPr>
            </w:pPr>
            <w:r>
              <w:rPr>
                <w:b/>
                <w:sz w:val="20"/>
              </w:rPr>
              <w:t>The following applies to outpatient retail Pharmacy Drugs, Specialty Pharmacy Drugs and Home Delivery Pharmacy Drugs: </w:t>
            </w:r>
            <w:r>
              <w:rPr>
                <w:sz w:val="20"/>
              </w:rPr>
              <w:t>Includes coverage for smoking cessation prescription Legend Drugs when enrolled in a smoking cessation counseling program approved by Anthem.</w:t>
            </w:r>
          </w:p>
        </w:tc>
        <w:tc>
          <w:tcPr>
            <w:tcW w:w="3690" w:type="dxa"/>
            <w:tcBorders>
              <w:top w:val="nil"/>
              <w:left w:val="single" w:sz="4" w:space="0" w:color="000000"/>
              <w:bottom w:val="nil"/>
            </w:tcBorders>
          </w:tcPr>
          <w:p>
            <w:pPr>
              <w:pStyle w:val="TableParagraph"/>
              <w:spacing w:before="122"/>
              <w:rPr>
                <w:sz w:val="20"/>
              </w:rPr>
            </w:pPr>
            <w:r>
              <w:rPr>
                <w:sz w:val="20"/>
              </w:rPr>
              <w:t>Not covered</w:t>
            </w:r>
          </w:p>
        </w:tc>
      </w:tr>
      <w:tr>
        <w:trPr>
          <w:trHeight w:val="4492" w:hRule="atLeast"/>
        </w:trPr>
        <w:tc>
          <w:tcPr>
            <w:tcW w:w="3150" w:type="dxa"/>
            <w:tcBorders>
              <w:top w:val="nil"/>
              <w:right w:val="single" w:sz="4" w:space="0" w:color="000000"/>
            </w:tcBorders>
          </w:tcPr>
          <w:p>
            <w:pPr>
              <w:pStyle w:val="TableParagraph"/>
              <w:ind w:left="0"/>
              <w:rPr>
                <w:rFonts w:ascii="Times New Roman"/>
                <w:sz w:val="18"/>
              </w:rPr>
            </w:pPr>
          </w:p>
        </w:tc>
        <w:tc>
          <w:tcPr>
            <w:tcW w:w="3690" w:type="dxa"/>
            <w:tcBorders>
              <w:top w:val="nil"/>
              <w:left w:val="single" w:sz="4" w:space="0" w:color="000000"/>
              <w:right w:val="single" w:sz="4" w:space="0" w:color="000000"/>
            </w:tcBorders>
          </w:tcPr>
          <w:p>
            <w:pPr>
              <w:pStyle w:val="TableParagraph"/>
              <w:spacing w:line="230" w:lineRule="atLeast" w:before="115"/>
              <w:ind w:right="115"/>
              <w:rPr>
                <w:sz w:val="20"/>
              </w:rPr>
            </w:pPr>
            <w:r>
              <w:rPr>
                <w:sz w:val="20"/>
              </w:rPr>
              <w:t>Prescription Drugs will always be dispensed as ordered by your Provider and by applicable State Pharmacy Regulations, however you may have higher out-of-pocket expenses. You may request, or your Provider may order, the Brand- Name Drug. However, if a Generic Drug is available, you will need to pay for the cost difference between the Generic and Brand- Name Drug, in addition to your tier Copayment. The cost difference between the Generic and Brand Name Drug does not go towards your Out-of-Pocket Annual Maximum. By law, Generic and Brand-Name drugs must meet the same standards for safety, strength, and effectiveness. We reserve the right, at our discretion, to remove certain higher cost generic drugs from this policy. For drugs on our approved list, call member services at 877-833- 5734.</w:t>
            </w:r>
          </w:p>
        </w:tc>
        <w:tc>
          <w:tcPr>
            <w:tcW w:w="3690" w:type="dxa"/>
            <w:tcBorders>
              <w:top w:val="nil"/>
              <w:left w:val="single" w:sz="4" w:space="0" w:color="000000"/>
            </w:tcBorders>
          </w:tcPr>
          <w:p>
            <w:pPr>
              <w:pStyle w:val="TableParagraph"/>
              <w:ind w:left="0"/>
              <w:rPr>
                <w:rFonts w:ascii="Times New Roman"/>
                <w:sz w:val="18"/>
              </w:rPr>
            </w:pPr>
          </w:p>
        </w:tc>
      </w:tr>
    </w:tbl>
    <w:p>
      <w:pPr>
        <w:spacing w:after="0"/>
        <w:rPr>
          <w:rFonts w:ascii="Times New Roman"/>
          <w:sz w:val="18"/>
        </w:rPr>
        <w:sectPr>
          <w:pgSz w:w="12240" w:h="15840"/>
          <w:pgMar w:header="0" w:footer="811" w:top="720" w:bottom="1000" w:left="700" w:right="520"/>
        </w:sect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50"/>
        <w:gridCol w:w="3690"/>
        <w:gridCol w:w="3690"/>
      </w:tblGrid>
      <w:tr>
        <w:trPr>
          <w:trHeight w:val="231" w:hRule="atLeast"/>
        </w:trPr>
        <w:tc>
          <w:tcPr>
            <w:tcW w:w="3150" w:type="dxa"/>
            <w:tcBorders>
              <w:bottom w:val="single" w:sz="4" w:space="0" w:color="000000"/>
              <w:right w:val="single" w:sz="4" w:space="0" w:color="000000"/>
            </w:tcBorders>
          </w:tcPr>
          <w:p>
            <w:pPr>
              <w:pStyle w:val="TableParagraph"/>
              <w:ind w:left="0"/>
              <w:rPr>
                <w:rFonts w:ascii="Times New Roman"/>
                <w:sz w:val="16"/>
              </w:rPr>
            </w:pPr>
          </w:p>
        </w:tc>
        <w:tc>
          <w:tcPr>
            <w:tcW w:w="3690" w:type="dxa"/>
            <w:tcBorders>
              <w:left w:val="single" w:sz="4" w:space="0" w:color="000000"/>
              <w:bottom w:val="single" w:sz="4" w:space="0" w:color="000000"/>
              <w:right w:val="single" w:sz="4" w:space="0" w:color="000000"/>
            </w:tcBorders>
          </w:tcPr>
          <w:p>
            <w:pPr>
              <w:pStyle w:val="TableParagraph"/>
              <w:spacing w:line="212" w:lineRule="exact"/>
              <w:ind w:left="1291" w:right="1282"/>
              <w:jc w:val="center"/>
              <w:rPr>
                <w:b/>
                <w:sz w:val="20"/>
              </w:rPr>
            </w:pPr>
            <w:r>
              <w:rPr>
                <w:b/>
                <w:sz w:val="20"/>
              </w:rPr>
              <w:t>IN-NETWORK</w:t>
            </w:r>
          </w:p>
        </w:tc>
        <w:tc>
          <w:tcPr>
            <w:tcW w:w="3690" w:type="dxa"/>
            <w:tcBorders>
              <w:left w:val="single" w:sz="4" w:space="0" w:color="000000"/>
              <w:bottom w:val="single" w:sz="4" w:space="0" w:color="000000"/>
            </w:tcBorders>
          </w:tcPr>
          <w:p>
            <w:pPr>
              <w:pStyle w:val="TableParagraph"/>
              <w:spacing w:line="212" w:lineRule="exact"/>
              <w:ind w:left="1076"/>
              <w:rPr>
                <w:b/>
                <w:sz w:val="20"/>
              </w:rPr>
            </w:pPr>
            <w:r>
              <w:rPr>
                <w:b/>
                <w:sz w:val="20"/>
              </w:rPr>
              <w:t>OUT-OF-NETWORK</w:t>
            </w:r>
          </w:p>
        </w:tc>
      </w:tr>
      <w:tr>
        <w:trPr>
          <w:trHeight w:val="231" w:hRule="atLeast"/>
        </w:trPr>
        <w:tc>
          <w:tcPr>
            <w:tcW w:w="3150" w:type="dxa"/>
            <w:tcBorders>
              <w:top w:val="single" w:sz="4" w:space="0" w:color="000000"/>
              <w:bottom w:val="single" w:sz="4" w:space="0" w:color="000000"/>
              <w:right w:val="single" w:sz="4" w:space="0" w:color="000000"/>
            </w:tcBorders>
          </w:tcPr>
          <w:p>
            <w:pPr>
              <w:pStyle w:val="TableParagraph"/>
              <w:spacing w:line="211" w:lineRule="exact"/>
              <w:ind w:left="99"/>
              <w:rPr>
                <w:b/>
                <w:sz w:val="20"/>
              </w:rPr>
            </w:pPr>
            <w:r>
              <w:rPr>
                <w:b/>
                <w:sz w:val="20"/>
              </w:rPr>
              <w:t>12. INPATIENT HOSPITAL</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1"/>
              <w:rPr>
                <w:sz w:val="20"/>
              </w:rPr>
            </w:pPr>
            <w:r>
              <w:rPr>
                <w:sz w:val="20"/>
              </w:rPr>
              <w:t>You pay 30% after Deductible</w:t>
            </w:r>
          </w:p>
        </w:tc>
        <w:tc>
          <w:tcPr>
            <w:tcW w:w="3690" w:type="dxa"/>
            <w:tcBorders>
              <w:top w:val="single" w:sz="4" w:space="0" w:color="000000"/>
              <w:left w:val="single" w:sz="4" w:space="0" w:color="000000"/>
              <w:bottom w:val="single" w:sz="4" w:space="0" w:color="000000"/>
            </w:tcBorders>
          </w:tcPr>
          <w:p>
            <w:pPr>
              <w:pStyle w:val="TableParagraph"/>
              <w:spacing w:line="210" w:lineRule="exact" w:before="1"/>
              <w:ind w:left="109"/>
              <w:rPr>
                <w:sz w:val="20"/>
              </w:rPr>
            </w:pPr>
            <w:r>
              <w:rPr>
                <w:sz w:val="20"/>
              </w:rPr>
              <w:t>You pay 50% after Deductible</w:t>
            </w:r>
          </w:p>
        </w:tc>
      </w:tr>
      <w:tr>
        <w:trPr>
          <w:trHeight w:val="461" w:hRule="atLeast"/>
        </w:trPr>
        <w:tc>
          <w:tcPr>
            <w:tcW w:w="3150" w:type="dxa"/>
            <w:tcBorders>
              <w:top w:val="single" w:sz="4" w:space="0" w:color="000000"/>
              <w:bottom w:val="single" w:sz="4" w:space="0" w:color="000000"/>
              <w:right w:val="single" w:sz="4" w:space="0" w:color="000000"/>
            </w:tcBorders>
          </w:tcPr>
          <w:p>
            <w:pPr>
              <w:pStyle w:val="TableParagraph"/>
              <w:spacing w:line="228" w:lineRule="exact" w:before="3"/>
              <w:ind w:left="458" w:hanging="360"/>
              <w:rPr>
                <w:b/>
                <w:sz w:val="20"/>
              </w:rPr>
            </w:pPr>
            <w:r>
              <w:rPr>
                <w:b/>
                <w:sz w:val="20"/>
              </w:rPr>
              <w:t>13. OUTPATIENT/AMBULATORY SURGERY AT A FACILITY</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before="1"/>
              <w:rPr>
                <w:sz w:val="20"/>
              </w:rPr>
            </w:pPr>
            <w:r>
              <w:rPr>
                <w:sz w:val="20"/>
              </w:rPr>
              <w:t>You pay 30% after Deductible</w:t>
            </w:r>
          </w:p>
        </w:tc>
        <w:tc>
          <w:tcPr>
            <w:tcW w:w="3690" w:type="dxa"/>
            <w:tcBorders>
              <w:top w:val="single" w:sz="4" w:space="0" w:color="000000"/>
              <w:left w:val="single" w:sz="4" w:space="0" w:color="000000"/>
              <w:bottom w:val="single" w:sz="4" w:space="0" w:color="000000"/>
            </w:tcBorders>
          </w:tcPr>
          <w:p>
            <w:pPr>
              <w:pStyle w:val="TableParagraph"/>
              <w:spacing w:before="1"/>
              <w:rPr>
                <w:sz w:val="20"/>
              </w:rPr>
            </w:pPr>
            <w:r>
              <w:rPr>
                <w:sz w:val="20"/>
              </w:rPr>
              <w:t>You pay 50% after Deductible</w:t>
            </w:r>
          </w:p>
        </w:tc>
      </w:tr>
      <w:tr>
        <w:trPr>
          <w:trHeight w:val="2055" w:hRule="atLeast"/>
        </w:trPr>
        <w:tc>
          <w:tcPr>
            <w:tcW w:w="3150" w:type="dxa"/>
            <w:tcBorders>
              <w:top w:val="single" w:sz="4" w:space="0" w:color="000000"/>
              <w:bottom w:val="single" w:sz="4" w:space="0" w:color="000000"/>
              <w:right w:val="single" w:sz="4" w:space="0" w:color="000000"/>
            </w:tcBorders>
          </w:tcPr>
          <w:p>
            <w:pPr>
              <w:pStyle w:val="TableParagraph"/>
              <w:numPr>
                <w:ilvl w:val="0"/>
                <w:numId w:val="5"/>
              </w:numPr>
              <w:tabs>
                <w:tab w:pos="459" w:val="left" w:leader="none"/>
              </w:tabs>
              <w:spacing w:line="227" w:lineRule="exact" w:before="0" w:after="0"/>
              <w:ind w:left="459" w:right="0" w:hanging="360"/>
              <w:jc w:val="left"/>
              <w:rPr>
                <w:b/>
                <w:sz w:val="20"/>
              </w:rPr>
            </w:pPr>
            <w:r>
              <w:rPr>
                <w:b/>
                <w:sz w:val="20"/>
              </w:rPr>
              <w:t>DIAGNOSTICS</w:t>
            </w:r>
          </w:p>
          <w:p>
            <w:pPr>
              <w:pStyle w:val="TableParagraph"/>
              <w:numPr>
                <w:ilvl w:val="1"/>
                <w:numId w:val="5"/>
              </w:numPr>
              <w:tabs>
                <w:tab w:pos="818" w:val="left" w:leader="none"/>
                <w:tab w:pos="819" w:val="left" w:leader="none"/>
              </w:tabs>
              <w:spacing w:line="229" w:lineRule="exact" w:before="0" w:after="0"/>
              <w:ind w:left="531" w:right="0" w:hanging="72"/>
              <w:jc w:val="left"/>
              <w:rPr>
                <w:b/>
                <w:sz w:val="20"/>
              </w:rPr>
            </w:pPr>
            <w:r>
              <w:rPr>
                <w:b/>
                <w:sz w:val="20"/>
              </w:rPr>
              <w:t>Laboratory &amp; x-ray</w:t>
            </w:r>
          </w:p>
          <w:p>
            <w:pPr>
              <w:pStyle w:val="TableParagraph"/>
              <w:ind w:left="0"/>
              <w:rPr>
                <w:sz w:val="22"/>
              </w:rPr>
            </w:pPr>
          </w:p>
          <w:p>
            <w:pPr>
              <w:pStyle w:val="TableParagraph"/>
              <w:ind w:left="0"/>
              <w:rPr>
                <w:sz w:val="22"/>
              </w:rPr>
            </w:pPr>
          </w:p>
          <w:p>
            <w:pPr>
              <w:pStyle w:val="TableParagraph"/>
              <w:ind w:left="0"/>
              <w:rPr>
                <w:sz w:val="22"/>
              </w:rPr>
            </w:pPr>
          </w:p>
          <w:p>
            <w:pPr>
              <w:pStyle w:val="TableParagraph"/>
              <w:numPr>
                <w:ilvl w:val="1"/>
                <w:numId w:val="5"/>
              </w:numPr>
              <w:tabs>
                <w:tab w:pos="818" w:val="left" w:leader="none"/>
                <w:tab w:pos="819" w:val="left" w:leader="none"/>
              </w:tabs>
              <w:spacing w:line="240" w:lineRule="auto" w:before="153" w:after="0"/>
              <w:ind w:left="531" w:right="190" w:hanging="72"/>
              <w:jc w:val="left"/>
              <w:rPr>
                <w:b/>
                <w:sz w:val="20"/>
              </w:rPr>
            </w:pPr>
            <w:r>
              <w:rPr>
                <w:b/>
                <w:sz w:val="20"/>
              </w:rPr>
              <w:t>MRI, nuclear medicine, and other high-tech services</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sz w:val="20"/>
              </w:rPr>
            </w:pPr>
          </w:p>
          <w:p>
            <w:pPr>
              <w:pStyle w:val="TableParagraph"/>
              <w:ind w:right="198"/>
              <w:rPr>
                <w:sz w:val="20"/>
              </w:rPr>
            </w:pPr>
            <w:r>
              <w:rPr>
                <w:sz w:val="20"/>
              </w:rPr>
              <w:t>You pay 30% after Deductible for laboratory or x-ray services which are not included in the applicable visit Copayment or that were billed on a different date than the office visit.</w:t>
            </w:r>
          </w:p>
          <w:p>
            <w:pPr>
              <w:pStyle w:val="TableParagraph"/>
              <w:spacing w:before="5"/>
              <w:ind w:left="0"/>
              <w:rPr>
                <w:sz w:val="20"/>
              </w:rPr>
            </w:pPr>
          </w:p>
          <w:p>
            <w:pPr>
              <w:pStyle w:val="TableParagraph"/>
              <w:rPr>
                <w:sz w:val="20"/>
              </w:rPr>
            </w:pPr>
            <w:r>
              <w:rPr>
                <w:sz w:val="20"/>
              </w:rPr>
              <w:t>You pay 30% after Deductible</w:t>
            </w:r>
          </w:p>
        </w:tc>
        <w:tc>
          <w:tcPr>
            <w:tcW w:w="3690" w:type="dxa"/>
            <w:tcBorders>
              <w:top w:val="single" w:sz="4" w:space="0" w:color="000000"/>
              <w:left w:val="single" w:sz="4" w:space="0" w:color="000000"/>
              <w:bottom w:val="single" w:sz="4" w:space="0" w:color="000000"/>
            </w:tcBorders>
          </w:tcPr>
          <w:p>
            <w:pPr>
              <w:pStyle w:val="TableParagraph"/>
              <w:spacing w:before="1"/>
              <w:ind w:left="0"/>
              <w:rPr>
                <w:sz w:val="20"/>
              </w:rPr>
            </w:pPr>
          </w:p>
          <w:p>
            <w:pPr>
              <w:pStyle w:val="TableParagraph"/>
              <w:rPr>
                <w:sz w:val="20"/>
              </w:rPr>
            </w:pPr>
            <w:r>
              <w:rPr>
                <w:sz w:val="20"/>
              </w:rPr>
              <w:t>You pay 50% after Deductible</w:t>
            </w: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66"/>
              <w:rPr>
                <w:sz w:val="20"/>
              </w:rPr>
            </w:pPr>
            <w:r>
              <w:rPr>
                <w:sz w:val="20"/>
              </w:rPr>
              <w:t>You pay 50% after Deductible</w:t>
            </w:r>
          </w:p>
        </w:tc>
      </w:tr>
      <w:tr>
        <w:trPr>
          <w:trHeight w:val="231" w:hRule="atLeast"/>
        </w:trPr>
        <w:tc>
          <w:tcPr>
            <w:tcW w:w="3150" w:type="dxa"/>
            <w:tcBorders>
              <w:top w:val="single" w:sz="4" w:space="0" w:color="000000"/>
              <w:bottom w:val="single" w:sz="4" w:space="0" w:color="000000"/>
              <w:right w:val="single" w:sz="4" w:space="0" w:color="000000"/>
            </w:tcBorders>
          </w:tcPr>
          <w:p>
            <w:pPr>
              <w:pStyle w:val="TableParagraph"/>
              <w:spacing w:line="211" w:lineRule="exact"/>
              <w:ind w:left="99"/>
              <w:rPr>
                <w:b/>
                <w:sz w:val="13"/>
              </w:rPr>
            </w:pPr>
            <w:r>
              <w:rPr>
                <w:b/>
                <w:sz w:val="20"/>
              </w:rPr>
              <w:t>15. EMERGENCY CARE</w:t>
            </w:r>
            <w:r>
              <w:rPr>
                <w:b/>
                <w:position w:val="5"/>
                <w:sz w:val="13"/>
              </w:rPr>
              <w:t>7</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1"/>
              <w:rPr>
                <w:sz w:val="20"/>
              </w:rPr>
            </w:pPr>
            <w:r>
              <w:rPr>
                <w:sz w:val="20"/>
              </w:rPr>
              <w:t>You pay 30% after Deductible</w:t>
            </w:r>
          </w:p>
        </w:tc>
        <w:tc>
          <w:tcPr>
            <w:tcW w:w="3690" w:type="dxa"/>
            <w:tcBorders>
              <w:top w:val="single" w:sz="4" w:space="0" w:color="000000"/>
              <w:left w:val="single" w:sz="4" w:space="0" w:color="000000"/>
              <w:bottom w:val="single" w:sz="4" w:space="0" w:color="000000"/>
            </w:tcBorders>
          </w:tcPr>
          <w:p>
            <w:pPr>
              <w:pStyle w:val="TableParagraph"/>
              <w:spacing w:line="210" w:lineRule="exact" w:before="1"/>
              <w:ind w:left="110"/>
              <w:rPr>
                <w:sz w:val="20"/>
              </w:rPr>
            </w:pPr>
            <w:r>
              <w:rPr>
                <w:sz w:val="20"/>
              </w:rPr>
              <w:t>Out-of-Network care is paid as In Network</w:t>
            </w:r>
          </w:p>
        </w:tc>
      </w:tr>
      <w:tr>
        <w:trPr>
          <w:trHeight w:val="922" w:hRule="atLeast"/>
        </w:trPr>
        <w:tc>
          <w:tcPr>
            <w:tcW w:w="3150" w:type="dxa"/>
            <w:tcBorders>
              <w:top w:val="single" w:sz="4" w:space="0" w:color="000000"/>
              <w:bottom w:val="single" w:sz="4" w:space="0" w:color="000000"/>
              <w:right w:val="single" w:sz="4" w:space="0" w:color="000000"/>
            </w:tcBorders>
          </w:tcPr>
          <w:p>
            <w:pPr>
              <w:pStyle w:val="TableParagraph"/>
              <w:numPr>
                <w:ilvl w:val="0"/>
                <w:numId w:val="6"/>
              </w:numPr>
              <w:tabs>
                <w:tab w:pos="460" w:val="left" w:leader="none"/>
              </w:tabs>
              <w:spacing w:line="227" w:lineRule="exact" w:before="0" w:after="0"/>
              <w:ind w:left="459" w:right="0" w:hanging="360"/>
              <w:jc w:val="left"/>
              <w:rPr>
                <w:b/>
                <w:sz w:val="20"/>
              </w:rPr>
            </w:pPr>
            <w:r>
              <w:rPr>
                <w:b/>
                <w:sz w:val="20"/>
              </w:rPr>
              <w:t>AMBULANCE</w:t>
            </w:r>
          </w:p>
          <w:p>
            <w:pPr>
              <w:pStyle w:val="TableParagraph"/>
              <w:numPr>
                <w:ilvl w:val="1"/>
                <w:numId w:val="6"/>
              </w:numPr>
              <w:tabs>
                <w:tab w:pos="818" w:val="left" w:leader="none"/>
                <w:tab w:pos="819" w:val="left" w:leader="none"/>
              </w:tabs>
              <w:spacing w:line="229" w:lineRule="exact" w:before="0" w:after="0"/>
              <w:ind w:left="818" w:right="0" w:hanging="359"/>
              <w:jc w:val="left"/>
              <w:rPr>
                <w:b/>
                <w:sz w:val="20"/>
              </w:rPr>
            </w:pPr>
            <w:r>
              <w:rPr>
                <w:b/>
                <w:sz w:val="20"/>
              </w:rPr>
              <w:t>Ground</w:t>
            </w:r>
          </w:p>
          <w:p>
            <w:pPr>
              <w:pStyle w:val="TableParagraph"/>
              <w:spacing w:before="8"/>
              <w:ind w:left="0"/>
              <w:rPr>
                <w:sz w:val="19"/>
              </w:rPr>
            </w:pPr>
          </w:p>
          <w:p>
            <w:pPr>
              <w:pStyle w:val="TableParagraph"/>
              <w:numPr>
                <w:ilvl w:val="1"/>
                <w:numId w:val="6"/>
              </w:numPr>
              <w:tabs>
                <w:tab w:pos="818" w:val="left" w:leader="none"/>
                <w:tab w:pos="819" w:val="left" w:leader="none"/>
              </w:tabs>
              <w:spacing w:line="220" w:lineRule="exact" w:before="0" w:after="0"/>
              <w:ind w:left="818" w:right="0" w:hanging="359"/>
              <w:jc w:val="left"/>
              <w:rPr>
                <w:b/>
                <w:sz w:val="20"/>
              </w:rPr>
            </w:pPr>
            <w:r>
              <w:rPr>
                <w:b/>
                <w:sz w:val="20"/>
              </w:rPr>
              <w:t>Air</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460" w:lineRule="atLeast"/>
              <w:ind w:right="1382"/>
              <w:rPr>
                <w:sz w:val="20"/>
              </w:rPr>
            </w:pPr>
            <w:r>
              <w:rPr>
                <w:sz w:val="20"/>
              </w:rPr>
              <w:t>You pay 30% after Deductible You pay 30% after Deductible</w:t>
            </w:r>
          </w:p>
        </w:tc>
        <w:tc>
          <w:tcPr>
            <w:tcW w:w="3690" w:type="dxa"/>
            <w:tcBorders>
              <w:top w:val="single" w:sz="4" w:space="0" w:color="000000"/>
              <w:left w:val="single" w:sz="4" w:space="0" w:color="000000"/>
              <w:bottom w:val="single" w:sz="4" w:space="0" w:color="000000"/>
            </w:tcBorders>
          </w:tcPr>
          <w:p>
            <w:pPr>
              <w:pStyle w:val="TableParagraph"/>
              <w:spacing w:line="460" w:lineRule="atLeast"/>
              <w:ind w:right="514"/>
              <w:rPr>
                <w:sz w:val="20"/>
              </w:rPr>
            </w:pPr>
            <w:r>
              <w:rPr>
                <w:sz w:val="20"/>
              </w:rPr>
              <w:t>Out-of-Network care is paid as In Network Out-of-Network care is paid as In Network</w:t>
            </w:r>
          </w:p>
        </w:tc>
      </w:tr>
      <w:tr>
        <w:trPr>
          <w:trHeight w:val="2304" w:hRule="atLeast"/>
        </w:trPr>
        <w:tc>
          <w:tcPr>
            <w:tcW w:w="3150" w:type="dxa"/>
            <w:tcBorders>
              <w:top w:val="single" w:sz="4" w:space="0" w:color="000000"/>
              <w:bottom w:val="single" w:sz="4" w:space="0" w:color="000000"/>
              <w:right w:val="single" w:sz="4" w:space="0" w:color="000000"/>
            </w:tcBorders>
          </w:tcPr>
          <w:p>
            <w:pPr>
              <w:pStyle w:val="TableParagraph"/>
              <w:ind w:left="458" w:right="287" w:hanging="360"/>
              <w:rPr>
                <w:b/>
                <w:sz w:val="20"/>
              </w:rPr>
            </w:pPr>
            <w:r>
              <w:rPr>
                <w:b/>
                <w:sz w:val="20"/>
              </w:rPr>
              <w:t>17. URGENT, NON-ROUTINE, AFTER HOURS CARE</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ind w:right="125"/>
              <w:rPr>
                <w:sz w:val="20"/>
              </w:rPr>
            </w:pPr>
            <w:r>
              <w:rPr>
                <w:sz w:val="20"/>
              </w:rPr>
              <w:t>$40 Copayment per visit; no Coinsurance (100% covered) for all other services which are performed in the Doctor’s office and billed by the Doctor (e.g., laboratory and x-ray services). Services performed or billed by another Provider are not included in the visit Copayment, see line 14 for payment information. Excludes MRI, CT, PET scans, nuclear medicine and other high-tech services, see line 14.</w:t>
            </w:r>
          </w:p>
        </w:tc>
        <w:tc>
          <w:tcPr>
            <w:tcW w:w="3690" w:type="dxa"/>
            <w:tcBorders>
              <w:top w:val="single" w:sz="4" w:space="0" w:color="000000"/>
              <w:left w:val="single" w:sz="4" w:space="0" w:color="000000"/>
              <w:bottom w:val="single" w:sz="4" w:space="0" w:color="000000"/>
            </w:tcBorders>
          </w:tcPr>
          <w:p>
            <w:pPr>
              <w:pStyle w:val="TableParagraph"/>
              <w:rPr>
                <w:sz w:val="20"/>
              </w:rPr>
            </w:pPr>
            <w:r>
              <w:rPr>
                <w:sz w:val="20"/>
              </w:rPr>
              <w:t>You pay 50% after Deductible</w:t>
            </w:r>
          </w:p>
        </w:tc>
      </w:tr>
      <w:tr>
        <w:trPr>
          <w:trHeight w:val="2996" w:hRule="atLeast"/>
        </w:trPr>
        <w:tc>
          <w:tcPr>
            <w:tcW w:w="3150" w:type="dxa"/>
            <w:tcBorders>
              <w:top w:val="single" w:sz="4" w:space="0" w:color="000000"/>
              <w:bottom w:val="single" w:sz="4" w:space="0" w:color="000000"/>
              <w:right w:val="single" w:sz="4" w:space="0" w:color="000000"/>
            </w:tcBorders>
          </w:tcPr>
          <w:p>
            <w:pPr>
              <w:pStyle w:val="TableParagraph"/>
              <w:numPr>
                <w:ilvl w:val="0"/>
                <w:numId w:val="7"/>
              </w:numPr>
              <w:tabs>
                <w:tab w:pos="459" w:val="left" w:leader="none"/>
              </w:tabs>
              <w:spacing w:line="228" w:lineRule="exact" w:before="0" w:after="0"/>
              <w:ind w:left="459" w:right="0" w:hanging="360"/>
              <w:jc w:val="left"/>
              <w:rPr>
                <w:b/>
                <w:sz w:val="20"/>
              </w:rPr>
            </w:pPr>
            <w:r>
              <w:rPr>
                <w:b/>
                <w:sz w:val="20"/>
              </w:rPr>
              <w:t>MENTAL HEALTH CARE</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numPr>
                <w:ilvl w:val="1"/>
                <w:numId w:val="7"/>
              </w:numPr>
              <w:tabs>
                <w:tab w:pos="818" w:val="left" w:leader="none"/>
                <w:tab w:pos="819" w:val="left" w:leader="none"/>
              </w:tabs>
              <w:spacing w:line="240" w:lineRule="auto" w:before="131" w:after="0"/>
              <w:ind w:left="818" w:right="0" w:hanging="359"/>
              <w:jc w:val="left"/>
              <w:rPr>
                <w:b/>
                <w:sz w:val="20"/>
              </w:rPr>
            </w:pPr>
            <w:r>
              <w:rPr>
                <w:b/>
                <w:sz w:val="20"/>
              </w:rPr>
              <w:t>Inpatient care</w:t>
            </w:r>
          </w:p>
          <w:p>
            <w:pPr>
              <w:pStyle w:val="TableParagraph"/>
              <w:ind w:left="0"/>
              <w:rPr>
                <w:sz w:val="22"/>
              </w:rPr>
            </w:pPr>
          </w:p>
          <w:p>
            <w:pPr>
              <w:pStyle w:val="TableParagraph"/>
              <w:ind w:left="0"/>
              <w:rPr>
                <w:sz w:val="22"/>
              </w:rPr>
            </w:pPr>
          </w:p>
          <w:p>
            <w:pPr>
              <w:pStyle w:val="TableParagraph"/>
              <w:numPr>
                <w:ilvl w:val="1"/>
                <w:numId w:val="7"/>
              </w:numPr>
              <w:tabs>
                <w:tab w:pos="818" w:val="left" w:leader="none"/>
                <w:tab w:pos="819" w:val="left" w:leader="none"/>
              </w:tabs>
              <w:spacing w:line="240" w:lineRule="auto" w:before="185" w:after="0"/>
              <w:ind w:left="818" w:right="0" w:hanging="359"/>
              <w:jc w:val="left"/>
              <w:rPr>
                <w:b/>
                <w:sz w:val="20"/>
              </w:rPr>
            </w:pPr>
            <w:r>
              <w:rPr>
                <w:b/>
                <w:sz w:val="20"/>
              </w:rPr>
              <w:t>Outpatient care</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ind w:right="170"/>
              <w:rPr>
                <w:sz w:val="20"/>
              </w:rPr>
            </w:pPr>
            <w:r>
              <w:rPr>
                <w:sz w:val="20"/>
              </w:rPr>
              <w:t>Mental health care includes without limitation, biologically based mental illness, care that has a psychiatric diagnosis or that require specific psychotherapeutic treatment, regardless of the underlying condition.</w:t>
            </w:r>
          </w:p>
          <w:p>
            <w:pPr>
              <w:pStyle w:val="TableParagraph"/>
              <w:spacing w:before="6"/>
              <w:ind w:left="0"/>
              <w:rPr>
                <w:sz w:val="20"/>
              </w:rPr>
            </w:pPr>
          </w:p>
          <w:p>
            <w:pPr>
              <w:pStyle w:val="TableParagraph"/>
              <w:ind w:right="301"/>
              <w:jc w:val="both"/>
              <w:rPr>
                <w:sz w:val="20"/>
              </w:rPr>
            </w:pPr>
            <w:r>
              <w:rPr>
                <w:sz w:val="20"/>
              </w:rPr>
              <w:t>You pay 30% after Deductible, subject to</w:t>
            </w:r>
            <w:r>
              <w:rPr>
                <w:spacing w:val="-32"/>
                <w:sz w:val="20"/>
              </w:rPr>
              <w:t> </w:t>
            </w:r>
            <w:r>
              <w:rPr>
                <w:sz w:val="20"/>
              </w:rPr>
              <w:t>any applicable cost-share maximums imposed</w:t>
            </w:r>
            <w:r>
              <w:rPr>
                <w:spacing w:val="-27"/>
                <w:sz w:val="20"/>
              </w:rPr>
              <w:t> </w:t>
            </w:r>
            <w:r>
              <w:rPr>
                <w:sz w:val="20"/>
              </w:rPr>
              <w:t>by law.</w:t>
            </w:r>
          </w:p>
          <w:p>
            <w:pPr>
              <w:pStyle w:val="TableParagraph"/>
              <w:spacing w:before="3"/>
              <w:ind w:left="0"/>
              <w:rPr>
                <w:sz w:val="20"/>
              </w:rPr>
            </w:pPr>
          </w:p>
          <w:p>
            <w:pPr>
              <w:pStyle w:val="TableParagraph"/>
              <w:spacing w:line="230" w:lineRule="atLeast"/>
              <w:ind w:right="115"/>
              <w:rPr>
                <w:sz w:val="20"/>
              </w:rPr>
            </w:pPr>
            <w:r>
              <w:rPr>
                <w:sz w:val="20"/>
              </w:rPr>
              <w:t>Up to $40 Copayment per office visit, subject to any applicable cost-share maximums imposed by law.</w:t>
            </w:r>
          </w:p>
        </w:tc>
        <w:tc>
          <w:tcPr>
            <w:tcW w:w="3690" w:type="dxa"/>
            <w:tcBorders>
              <w:top w:val="single" w:sz="4" w:space="0" w:color="000000"/>
              <w:left w:val="single" w:sz="4" w:space="0" w:color="000000"/>
              <w:bottom w:val="single" w:sz="4" w:space="0" w:color="000000"/>
            </w:tcBorders>
          </w:tcPr>
          <w:p>
            <w:pPr>
              <w:pStyle w:val="TableParagraph"/>
              <w:ind w:right="160"/>
              <w:rPr>
                <w:sz w:val="20"/>
              </w:rPr>
            </w:pPr>
            <w:r>
              <w:rPr>
                <w:sz w:val="20"/>
              </w:rPr>
              <w:t>Mental health care includes without limitation, biologically based mental illness, care that has a psychiatric diagnosis or that require specific psychotherapeutic treatment, regardless of the underlying condition.</w:t>
            </w:r>
          </w:p>
          <w:p>
            <w:pPr>
              <w:pStyle w:val="TableParagraph"/>
              <w:spacing w:before="6"/>
              <w:ind w:left="0"/>
              <w:rPr>
                <w:sz w:val="20"/>
              </w:rPr>
            </w:pPr>
          </w:p>
          <w:p>
            <w:pPr>
              <w:pStyle w:val="TableParagraph"/>
              <w:ind w:right="291"/>
              <w:jc w:val="both"/>
              <w:rPr>
                <w:sz w:val="20"/>
              </w:rPr>
            </w:pPr>
            <w:r>
              <w:rPr>
                <w:sz w:val="20"/>
              </w:rPr>
              <w:t>You pay 50% after Deductible, subject to</w:t>
            </w:r>
            <w:r>
              <w:rPr>
                <w:spacing w:val="-32"/>
                <w:sz w:val="20"/>
              </w:rPr>
              <w:t> </w:t>
            </w:r>
            <w:r>
              <w:rPr>
                <w:sz w:val="20"/>
              </w:rPr>
              <w:t>any applicable cost-share maximums imposed</w:t>
            </w:r>
            <w:r>
              <w:rPr>
                <w:spacing w:val="-27"/>
                <w:sz w:val="20"/>
              </w:rPr>
              <w:t> </w:t>
            </w:r>
            <w:r>
              <w:rPr>
                <w:sz w:val="20"/>
              </w:rPr>
              <w:t>by law.</w:t>
            </w:r>
          </w:p>
          <w:p>
            <w:pPr>
              <w:pStyle w:val="TableParagraph"/>
              <w:spacing w:before="3"/>
              <w:ind w:left="0"/>
              <w:rPr>
                <w:sz w:val="20"/>
              </w:rPr>
            </w:pPr>
          </w:p>
          <w:p>
            <w:pPr>
              <w:pStyle w:val="TableParagraph"/>
              <w:spacing w:line="230" w:lineRule="atLeast"/>
              <w:ind w:right="291"/>
              <w:jc w:val="both"/>
              <w:rPr>
                <w:sz w:val="20"/>
              </w:rPr>
            </w:pPr>
            <w:r>
              <w:rPr>
                <w:sz w:val="20"/>
              </w:rPr>
              <w:t>You pay 50% after Deductible, subject to</w:t>
            </w:r>
            <w:r>
              <w:rPr>
                <w:spacing w:val="-32"/>
                <w:sz w:val="20"/>
              </w:rPr>
              <w:t> </w:t>
            </w:r>
            <w:r>
              <w:rPr>
                <w:sz w:val="20"/>
              </w:rPr>
              <w:t>any applicable cost-share maximums imposed</w:t>
            </w:r>
            <w:r>
              <w:rPr>
                <w:spacing w:val="-27"/>
                <w:sz w:val="20"/>
              </w:rPr>
              <w:t> </w:t>
            </w:r>
            <w:r>
              <w:rPr>
                <w:sz w:val="20"/>
              </w:rPr>
              <w:t>by law.</w:t>
            </w:r>
          </w:p>
        </w:tc>
      </w:tr>
      <w:tr>
        <w:trPr>
          <w:trHeight w:val="1613" w:hRule="atLeast"/>
        </w:trPr>
        <w:tc>
          <w:tcPr>
            <w:tcW w:w="3150" w:type="dxa"/>
            <w:tcBorders>
              <w:top w:val="single" w:sz="4" w:space="0" w:color="000000"/>
              <w:right w:val="single" w:sz="4" w:space="0" w:color="000000"/>
            </w:tcBorders>
          </w:tcPr>
          <w:p>
            <w:pPr>
              <w:pStyle w:val="TableParagraph"/>
              <w:ind w:left="458" w:right="287" w:hanging="360"/>
              <w:rPr>
                <w:b/>
                <w:sz w:val="20"/>
              </w:rPr>
            </w:pPr>
            <w:r>
              <w:rPr>
                <w:b/>
                <w:sz w:val="20"/>
              </w:rPr>
              <w:t>19. ALCOHOL &amp; SUBSTANCE ABUSE</w:t>
            </w:r>
          </w:p>
        </w:tc>
        <w:tc>
          <w:tcPr>
            <w:tcW w:w="3690" w:type="dxa"/>
            <w:tcBorders>
              <w:top w:val="single" w:sz="4" w:space="0" w:color="000000"/>
              <w:left w:val="single" w:sz="4" w:space="0" w:color="000000"/>
              <w:right w:val="single" w:sz="4" w:space="0" w:color="000000"/>
            </w:tcBorders>
          </w:tcPr>
          <w:p>
            <w:pPr>
              <w:pStyle w:val="TableParagraph"/>
              <w:ind w:right="105"/>
              <w:jc w:val="both"/>
              <w:rPr>
                <w:sz w:val="20"/>
              </w:rPr>
            </w:pPr>
            <w:r>
              <w:rPr>
                <w:b/>
                <w:sz w:val="20"/>
              </w:rPr>
              <w:t>Inpatient care </w:t>
            </w:r>
            <w:r>
              <w:rPr>
                <w:sz w:val="20"/>
              </w:rPr>
              <w:t>– You pay 30% after Deductible, subject to any applicable cost-share maximums imposed by law.</w:t>
            </w:r>
          </w:p>
          <w:p>
            <w:pPr>
              <w:pStyle w:val="TableParagraph"/>
              <w:spacing w:before="3"/>
              <w:ind w:left="0"/>
              <w:rPr>
                <w:sz w:val="20"/>
              </w:rPr>
            </w:pPr>
          </w:p>
          <w:p>
            <w:pPr>
              <w:pStyle w:val="TableParagraph"/>
              <w:spacing w:line="230" w:lineRule="atLeast" w:before="1"/>
              <w:rPr>
                <w:sz w:val="20"/>
              </w:rPr>
            </w:pPr>
            <w:r>
              <w:rPr>
                <w:b/>
                <w:sz w:val="20"/>
              </w:rPr>
              <w:t>Outpatient care </w:t>
            </w:r>
            <w:r>
              <w:rPr>
                <w:sz w:val="20"/>
              </w:rPr>
              <w:t>– Up to $40 Copayment per office visit, subject to any applicable cost-share maximums imposed by law.</w:t>
            </w:r>
          </w:p>
        </w:tc>
        <w:tc>
          <w:tcPr>
            <w:tcW w:w="3690" w:type="dxa"/>
            <w:tcBorders>
              <w:top w:val="single" w:sz="4" w:space="0" w:color="000000"/>
              <w:left w:val="single" w:sz="4" w:space="0" w:color="000000"/>
            </w:tcBorders>
          </w:tcPr>
          <w:p>
            <w:pPr>
              <w:pStyle w:val="TableParagraph"/>
              <w:ind w:right="95"/>
              <w:jc w:val="both"/>
              <w:rPr>
                <w:sz w:val="20"/>
              </w:rPr>
            </w:pPr>
            <w:r>
              <w:rPr>
                <w:b/>
                <w:sz w:val="20"/>
              </w:rPr>
              <w:t>Inpatient care </w:t>
            </w:r>
            <w:r>
              <w:rPr>
                <w:sz w:val="20"/>
              </w:rPr>
              <w:t>– You pay 50% after Deductible, subject to any applicable cost-share maximums imposed by law.</w:t>
            </w:r>
          </w:p>
          <w:p>
            <w:pPr>
              <w:pStyle w:val="TableParagraph"/>
              <w:spacing w:before="3"/>
              <w:ind w:left="0"/>
              <w:rPr>
                <w:sz w:val="20"/>
              </w:rPr>
            </w:pPr>
          </w:p>
          <w:p>
            <w:pPr>
              <w:pStyle w:val="TableParagraph"/>
              <w:spacing w:line="230" w:lineRule="atLeast" w:before="1"/>
              <w:ind w:right="27"/>
              <w:rPr>
                <w:sz w:val="20"/>
              </w:rPr>
            </w:pPr>
            <w:r>
              <w:rPr>
                <w:b/>
                <w:sz w:val="20"/>
              </w:rPr>
              <w:t>Outpatient care </w:t>
            </w:r>
            <w:r>
              <w:rPr>
                <w:sz w:val="20"/>
              </w:rPr>
              <w:t>– You pay 50% after Deductible, subject to any applicable cost-share maximums imposed by law.</w:t>
            </w:r>
          </w:p>
        </w:tc>
      </w:tr>
    </w:tbl>
    <w:p>
      <w:pPr>
        <w:spacing w:after="0" w:line="230" w:lineRule="atLeast"/>
        <w:rPr>
          <w:sz w:val="20"/>
        </w:rPr>
        <w:sectPr>
          <w:pgSz w:w="12240" w:h="15840"/>
          <w:pgMar w:header="0" w:footer="811" w:top="720" w:bottom="1000" w:left="700" w:right="520"/>
        </w:sect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50"/>
        <w:gridCol w:w="3690"/>
        <w:gridCol w:w="3690"/>
      </w:tblGrid>
      <w:tr>
        <w:trPr>
          <w:trHeight w:val="231" w:hRule="atLeast"/>
        </w:trPr>
        <w:tc>
          <w:tcPr>
            <w:tcW w:w="3150" w:type="dxa"/>
            <w:tcBorders>
              <w:bottom w:val="single" w:sz="4" w:space="0" w:color="000000"/>
              <w:right w:val="single" w:sz="4" w:space="0" w:color="000000"/>
            </w:tcBorders>
          </w:tcPr>
          <w:p>
            <w:pPr>
              <w:pStyle w:val="TableParagraph"/>
              <w:ind w:left="0"/>
              <w:rPr>
                <w:rFonts w:ascii="Times New Roman"/>
                <w:sz w:val="16"/>
              </w:rPr>
            </w:pPr>
          </w:p>
        </w:tc>
        <w:tc>
          <w:tcPr>
            <w:tcW w:w="3690" w:type="dxa"/>
            <w:tcBorders>
              <w:left w:val="single" w:sz="4" w:space="0" w:color="000000"/>
              <w:bottom w:val="single" w:sz="4" w:space="0" w:color="000000"/>
              <w:right w:val="single" w:sz="4" w:space="0" w:color="000000"/>
            </w:tcBorders>
          </w:tcPr>
          <w:p>
            <w:pPr>
              <w:pStyle w:val="TableParagraph"/>
              <w:spacing w:line="212" w:lineRule="exact"/>
              <w:ind w:left="1291" w:right="1282"/>
              <w:jc w:val="center"/>
              <w:rPr>
                <w:b/>
                <w:sz w:val="20"/>
              </w:rPr>
            </w:pPr>
            <w:r>
              <w:rPr>
                <w:b/>
                <w:sz w:val="20"/>
              </w:rPr>
              <w:t>IN-NETWORK</w:t>
            </w:r>
          </w:p>
        </w:tc>
        <w:tc>
          <w:tcPr>
            <w:tcW w:w="3690" w:type="dxa"/>
            <w:tcBorders>
              <w:left w:val="single" w:sz="4" w:space="0" w:color="000000"/>
              <w:bottom w:val="single" w:sz="4" w:space="0" w:color="000000"/>
            </w:tcBorders>
          </w:tcPr>
          <w:p>
            <w:pPr>
              <w:pStyle w:val="TableParagraph"/>
              <w:spacing w:line="212" w:lineRule="exact"/>
              <w:ind w:left="1076"/>
              <w:rPr>
                <w:b/>
                <w:sz w:val="20"/>
              </w:rPr>
            </w:pPr>
            <w:r>
              <w:rPr>
                <w:b/>
                <w:sz w:val="20"/>
              </w:rPr>
              <w:t>OUT-OF-NETWORK</w:t>
            </w:r>
          </w:p>
        </w:tc>
      </w:tr>
      <w:tr>
        <w:trPr>
          <w:trHeight w:val="2304" w:hRule="atLeast"/>
        </w:trPr>
        <w:tc>
          <w:tcPr>
            <w:tcW w:w="3150" w:type="dxa"/>
            <w:tcBorders>
              <w:top w:val="single" w:sz="4" w:space="0" w:color="000000"/>
              <w:bottom w:val="single" w:sz="4" w:space="0" w:color="000000"/>
              <w:right w:val="single" w:sz="4" w:space="0" w:color="000000"/>
            </w:tcBorders>
          </w:tcPr>
          <w:p>
            <w:pPr>
              <w:pStyle w:val="TableParagraph"/>
              <w:ind w:left="458" w:right="287" w:hanging="360"/>
              <w:rPr>
                <w:b/>
                <w:sz w:val="20"/>
              </w:rPr>
            </w:pPr>
            <w:r>
              <w:rPr>
                <w:b/>
                <w:sz w:val="20"/>
              </w:rPr>
              <w:t>20. PHYSICAL, OCCUPATIONAL, AND SPEECH THERAPY</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ind w:right="105"/>
              <w:jc w:val="both"/>
              <w:rPr>
                <w:sz w:val="20"/>
              </w:rPr>
            </w:pPr>
            <w:r>
              <w:rPr>
                <w:b/>
                <w:sz w:val="20"/>
              </w:rPr>
              <w:t>Inpatient care </w:t>
            </w:r>
            <w:r>
              <w:rPr>
                <w:sz w:val="20"/>
              </w:rPr>
              <w:t>– You pay 30% after Deductible. Up to 30 inpatient rehab days per calendar year In and Out-of-Network combined.</w:t>
            </w:r>
          </w:p>
          <w:p>
            <w:pPr>
              <w:pStyle w:val="TableParagraph"/>
              <w:spacing w:before="3"/>
              <w:ind w:left="0"/>
              <w:rPr>
                <w:sz w:val="20"/>
              </w:rPr>
            </w:pPr>
          </w:p>
          <w:p>
            <w:pPr>
              <w:pStyle w:val="TableParagraph"/>
              <w:spacing w:line="230" w:lineRule="atLeast" w:before="1"/>
              <w:ind w:right="106"/>
              <w:rPr>
                <w:sz w:val="20"/>
              </w:rPr>
            </w:pPr>
            <w:r>
              <w:rPr>
                <w:b/>
                <w:sz w:val="20"/>
              </w:rPr>
              <w:t>Outpatient care </w:t>
            </w:r>
            <w:r>
              <w:rPr>
                <w:sz w:val="20"/>
              </w:rPr>
              <w:t>– You pay 30% after Deductible. Up to 20 visits each for physical, occupational or speech therapy per calendar year In and Out-of-Network combined. From birth until the Member’s sixth birthday, benefits are provided as required by applicable law.</w:t>
            </w:r>
          </w:p>
        </w:tc>
        <w:tc>
          <w:tcPr>
            <w:tcW w:w="3690" w:type="dxa"/>
            <w:tcBorders>
              <w:top w:val="single" w:sz="4" w:space="0" w:color="000000"/>
              <w:left w:val="single" w:sz="4" w:space="0" w:color="000000"/>
              <w:bottom w:val="single" w:sz="4" w:space="0" w:color="000000"/>
            </w:tcBorders>
          </w:tcPr>
          <w:p>
            <w:pPr>
              <w:pStyle w:val="TableParagraph"/>
              <w:ind w:right="95"/>
              <w:jc w:val="both"/>
              <w:rPr>
                <w:sz w:val="20"/>
              </w:rPr>
            </w:pPr>
            <w:r>
              <w:rPr>
                <w:b/>
                <w:sz w:val="20"/>
              </w:rPr>
              <w:t>Inpatient care </w:t>
            </w:r>
            <w:r>
              <w:rPr>
                <w:sz w:val="20"/>
              </w:rPr>
              <w:t>– You pay 50% after Deductible. Up to 30 inpatient rehab days per calendar year In and Out-of-Network combined.</w:t>
            </w:r>
          </w:p>
          <w:p>
            <w:pPr>
              <w:pStyle w:val="TableParagraph"/>
              <w:spacing w:before="3"/>
              <w:ind w:left="0"/>
              <w:rPr>
                <w:sz w:val="20"/>
              </w:rPr>
            </w:pPr>
          </w:p>
          <w:p>
            <w:pPr>
              <w:pStyle w:val="TableParagraph"/>
              <w:spacing w:line="230" w:lineRule="atLeast" w:before="1"/>
              <w:ind w:right="96"/>
              <w:rPr>
                <w:sz w:val="20"/>
              </w:rPr>
            </w:pPr>
            <w:r>
              <w:rPr>
                <w:b/>
                <w:sz w:val="20"/>
              </w:rPr>
              <w:t>Outpatient care </w:t>
            </w:r>
            <w:r>
              <w:rPr>
                <w:sz w:val="20"/>
              </w:rPr>
              <w:t>– You pay 50% after Deductible. Up to 20 visits each for physical, occupational or speech therapy per calendar year In and Out-of-Network combined. From birth until the Member’s sixth birthday, benefits are provided as required by applicable law.</w:t>
            </w:r>
          </w:p>
        </w:tc>
      </w:tr>
      <w:tr>
        <w:trPr>
          <w:trHeight w:val="687" w:hRule="atLeast"/>
        </w:trPr>
        <w:tc>
          <w:tcPr>
            <w:tcW w:w="3150" w:type="dxa"/>
            <w:tcBorders>
              <w:top w:val="single" w:sz="4" w:space="0" w:color="000000"/>
              <w:bottom w:val="single" w:sz="4" w:space="0" w:color="000000"/>
              <w:right w:val="single" w:sz="4" w:space="0" w:color="000000"/>
            </w:tcBorders>
          </w:tcPr>
          <w:p>
            <w:pPr>
              <w:pStyle w:val="TableParagraph"/>
              <w:ind w:left="458" w:right="287" w:hanging="360"/>
              <w:rPr>
                <w:b/>
                <w:sz w:val="20"/>
              </w:rPr>
            </w:pPr>
            <w:r>
              <w:rPr>
                <w:b/>
                <w:sz w:val="20"/>
              </w:rPr>
              <w:t>21. DURABLE MEDICAL EQUIPMENT</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before="1"/>
              <w:rPr>
                <w:sz w:val="20"/>
              </w:rPr>
            </w:pPr>
            <w:r>
              <w:rPr>
                <w:sz w:val="20"/>
              </w:rPr>
              <w:t>You pay 30% after Deductible</w:t>
            </w:r>
          </w:p>
        </w:tc>
        <w:tc>
          <w:tcPr>
            <w:tcW w:w="3690" w:type="dxa"/>
            <w:tcBorders>
              <w:top w:val="single" w:sz="4" w:space="0" w:color="000000"/>
              <w:left w:val="single" w:sz="4" w:space="0" w:color="000000"/>
              <w:bottom w:val="single" w:sz="4" w:space="0" w:color="000000"/>
            </w:tcBorders>
          </w:tcPr>
          <w:p>
            <w:pPr>
              <w:pStyle w:val="TableParagraph"/>
              <w:spacing w:before="1"/>
              <w:ind w:left="109"/>
              <w:rPr>
                <w:sz w:val="20"/>
              </w:rPr>
            </w:pPr>
            <w:r>
              <w:rPr>
                <w:sz w:val="20"/>
              </w:rPr>
              <w:t>Not covered</w:t>
            </w:r>
          </w:p>
        </w:tc>
      </w:tr>
      <w:tr>
        <w:trPr>
          <w:trHeight w:val="456" w:hRule="atLeast"/>
        </w:trPr>
        <w:tc>
          <w:tcPr>
            <w:tcW w:w="3150" w:type="dxa"/>
            <w:tcBorders>
              <w:top w:val="single" w:sz="4" w:space="0" w:color="000000"/>
              <w:bottom w:val="single" w:sz="4" w:space="0" w:color="000000"/>
              <w:right w:val="single" w:sz="4" w:space="0" w:color="000000"/>
            </w:tcBorders>
          </w:tcPr>
          <w:p>
            <w:pPr>
              <w:pStyle w:val="TableParagraph"/>
              <w:spacing w:line="228" w:lineRule="exact"/>
              <w:ind w:left="99"/>
              <w:rPr>
                <w:b/>
                <w:sz w:val="20"/>
              </w:rPr>
            </w:pPr>
            <w:r>
              <w:rPr>
                <w:b/>
                <w:sz w:val="20"/>
              </w:rPr>
              <w:t>22. OXYGEN</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z w:val="20"/>
              </w:rPr>
              <w:t>You pay 30% after Deductible</w:t>
            </w:r>
          </w:p>
        </w:tc>
        <w:tc>
          <w:tcPr>
            <w:tcW w:w="3690" w:type="dxa"/>
            <w:tcBorders>
              <w:top w:val="single" w:sz="4" w:space="0" w:color="000000"/>
              <w:left w:val="single" w:sz="4" w:space="0" w:color="000000"/>
              <w:bottom w:val="single" w:sz="4" w:space="0" w:color="000000"/>
            </w:tcBorders>
          </w:tcPr>
          <w:p>
            <w:pPr>
              <w:pStyle w:val="TableParagraph"/>
              <w:ind w:left="109"/>
              <w:rPr>
                <w:sz w:val="20"/>
              </w:rPr>
            </w:pPr>
            <w:r>
              <w:rPr>
                <w:sz w:val="20"/>
              </w:rPr>
              <w:t>Not covered</w:t>
            </w:r>
          </w:p>
        </w:tc>
      </w:tr>
      <w:tr>
        <w:trPr>
          <w:trHeight w:val="4148" w:hRule="atLeast"/>
        </w:trPr>
        <w:tc>
          <w:tcPr>
            <w:tcW w:w="3150" w:type="dxa"/>
            <w:tcBorders>
              <w:top w:val="single" w:sz="4" w:space="0" w:color="000000"/>
              <w:bottom w:val="single" w:sz="4" w:space="0" w:color="000000"/>
              <w:right w:val="single" w:sz="4" w:space="0" w:color="000000"/>
            </w:tcBorders>
          </w:tcPr>
          <w:p>
            <w:pPr>
              <w:pStyle w:val="TableParagraph"/>
              <w:spacing w:line="228" w:lineRule="exact"/>
              <w:ind w:left="99"/>
              <w:rPr>
                <w:b/>
                <w:sz w:val="20"/>
              </w:rPr>
            </w:pPr>
            <w:r>
              <w:rPr>
                <w:b/>
                <w:sz w:val="20"/>
              </w:rPr>
              <w:t>23. ORGAN TRANSPLANTS</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before="1"/>
              <w:rPr>
                <w:sz w:val="20"/>
              </w:rPr>
            </w:pPr>
            <w:r>
              <w:rPr>
                <w:b/>
                <w:sz w:val="20"/>
              </w:rPr>
              <w:t>Inpatient care </w:t>
            </w:r>
            <w:r>
              <w:rPr>
                <w:sz w:val="20"/>
              </w:rPr>
              <w:t>– You pay 30% after Deductible</w:t>
            </w:r>
          </w:p>
          <w:p>
            <w:pPr>
              <w:pStyle w:val="TableParagraph"/>
              <w:spacing w:before="1"/>
              <w:ind w:left="0"/>
              <w:rPr>
                <w:sz w:val="20"/>
              </w:rPr>
            </w:pPr>
          </w:p>
          <w:p>
            <w:pPr>
              <w:pStyle w:val="TableParagraph"/>
              <w:ind w:right="125"/>
              <w:rPr>
                <w:sz w:val="20"/>
              </w:rPr>
            </w:pPr>
            <w:r>
              <w:rPr>
                <w:b/>
                <w:sz w:val="20"/>
              </w:rPr>
              <w:t>Outpatient care </w:t>
            </w:r>
            <w:r>
              <w:rPr>
                <w:sz w:val="20"/>
              </w:rPr>
              <w:t>– $40 Copayment per visit; no Coinsurance (100% covered) for all other services which are performed in the Doctor’s office and billed by the Doctor (e.g., laboratory and x-ray services). Services performed or billed by another Provider are not included in the visit Copayment, see line 14 for payment information. Excludes MRI, CT, PET scans, nuclear medicine and other high-tech services, see line 14.</w:t>
            </w:r>
          </w:p>
          <w:p>
            <w:pPr>
              <w:pStyle w:val="TableParagraph"/>
              <w:spacing w:before="10"/>
              <w:ind w:left="0"/>
              <w:rPr>
                <w:sz w:val="20"/>
              </w:rPr>
            </w:pPr>
          </w:p>
          <w:p>
            <w:pPr>
              <w:pStyle w:val="TableParagraph"/>
              <w:ind w:right="152"/>
              <w:rPr>
                <w:sz w:val="20"/>
              </w:rPr>
            </w:pPr>
            <w:r>
              <w:rPr>
                <w:sz w:val="20"/>
              </w:rPr>
              <w:t>Transportation and lodging services are limited to a maximum benefit of $10,000 per Transplant Benefit Period; unrelated donor searches are limited to a maximum benefit of</w:t>
            </w:r>
          </w:p>
          <w:p>
            <w:pPr>
              <w:pStyle w:val="TableParagraph"/>
              <w:spacing w:line="210" w:lineRule="exact" w:before="4"/>
              <w:rPr>
                <w:sz w:val="20"/>
              </w:rPr>
            </w:pPr>
            <w:r>
              <w:rPr>
                <w:sz w:val="20"/>
              </w:rPr>
              <w:t>$30,000 per Transplant Benefit Period.</w:t>
            </w:r>
          </w:p>
        </w:tc>
        <w:tc>
          <w:tcPr>
            <w:tcW w:w="3690" w:type="dxa"/>
            <w:tcBorders>
              <w:top w:val="single" w:sz="4" w:space="0" w:color="000000"/>
              <w:left w:val="single" w:sz="4" w:space="0" w:color="000000"/>
              <w:bottom w:val="single" w:sz="4" w:space="0" w:color="000000"/>
            </w:tcBorders>
          </w:tcPr>
          <w:p>
            <w:pPr>
              <w:pStyle w:val="TableParagraph"/>
              <w:spacing w:before="1"/>
              <w:rPr>
                <w:sz w:val="20"/>
              </w:rPr>
            </w:pPr>
            <w:r>
              <w:rPr>
                <w:b/>
                <w:sz w:val="20"/>
              </w:rPr>
              <w:t>Inpatient care </w:t>
            </w:r>
            <w:r>
              <w:rPr>
                <w:sz w:val="20"/>
              </w:rPr>
              <w:t>– Not covered</w:t>
            </w:r>
          </w:p>
          <w:p>
            <w:pPr>
              <w:pStyle w:val="TableParagraph"/>
              <w:spacing w:before="1"/>
              <w:ind w:left="0"/>
              <w:rPr>
                <w:sz w:val="20"/>
              </w:rPr>
            </w:pPr>
          </w:p>
          <w:p>
            <w:pPr>
              <w:pStyle w:val="TableParagraph"/>
              <w:rPr>
                <w:sz w:val="20"/>
              </w:rPr>
            </w:pPr>
            <w:r>
              <w:rPr>
                <w:b/>
                <w:sz w:val="20"/>
              </w:rPr>
              <w:t>Outpatient care </w:t>
            </w:r>
            <w:r>
              <w:rPr>
                <w:sz w:val="20"/>
              </w:rPr>
              <w:t>– Not covered</w:t>
            </w:r>
          </w:p>
        </w:tc>
      </w:tr>
      <w:tr>
        <w:trPr>
          <w:trHeight w:val="461" w:hRule="atLeast"/>
        </w:trPr>
        <w:tc>
          <w:tcPr>
            <w:tcW w:w="3150" w:type="dxa"/>
            <w:tcBorders>
              <w:top w:val="single" w:sz="4" w:space="0" w:color="000000"/>
              <w:bottom w:val="single" w:sz="4" w:space="0" w:color="000000"/>
              <w:right w:val="single" w:sz="4" w:space="0" w:color="000000"/>
            </w:tcBorders>
          </w:tcPr>
          <w:p>
            <w:pPr>
              <w:pStyle w:val="TableParagraph"/>
              <w:spacing w:line="228" w:lineRule="exact"/>
              <w:ind w:left="99"/>
              <w:rPr>
                <w:b/>
                <w:sz w:val="20"/>
              </w:rPr>
            </w:pPr>
            <w:r>
              <w:rPr>
                <w:b/>
                <w:sz w:val="20"/>
              </w:rPr>
              <w:t>24. HOME HEALTH CARE</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rPr>
                <w:sz w:val="20"/>
              </w:rPr>
            </w:pPr>
            <w:r>
              <w:rPr>
                <w:sz w:val="20"/>
              </w:rPr>
              <w:t>You pay 30% after Deductible. Up to 100 visits per calendar year.</w:t>
            </w:r>
          </w:p>
        </w:tc>
        <w:tc>
          <w:tcPr>
            <w:tcW w:w="3690" w:type="dxa"/>
            <w:tcBorders>
              <w:top w:val="single" w:sz="4" w:space="0" w:color="000000"/>
              <w:left w:val="single" w:sz="4" w:space="0" w:color="000000"/>
              <w:bottom w:val="single" w:sz="4" w:space="0" w:color="000000"/>
            </w:tcBorders>
          </w:tcPr>
          <w:p>
            <w:pPr>
              <w:pStyle w:val="TableParagraph"/>
              <w:spacing w:before="1"/>
              <w:rPr>
                <w:sz w:val="20"/>
              </w:rPr>
            </w:pPr>
            <w:r>
              <w:rPr>
                <w:sz w:val="20"/>
              </w:rPr>
              <w:t>Not covered</w:t>
            </w:r>
          </w:p>
        </w:tc>
      </w:tr>
      <w:tr>
        <w:trPr>
          <w:trHeight w:val="231" w:hRule="atLeast"/>
        </w:trPr>
        <w:tc>
          <w:tcPr>
            <w:tcW w:w="3150" w:type="dxa"/>
            <w:tcBorders>
              <w:top w:val="single" w:sz="4" w:space="0" w:color="000000"/>
              <w:bottom w:val="single" w:sz="4" w:space="0" w:color="000000"/>
              <w:right w:val="single" w:sz="4" w:space="0" w:color="000000"/>
            </w:tcBorders>
          </w:tcPr>
          <w:p>
            <w:pPr>
              <w:pStyle w:val="TableParagraph"/>
              <w:spacing w:line="211" w:lineRule="exact"/>
              <w:ind w:left="99"/>
              <w:rPr>
                <w:b/>
                <w:sz w:val="20"/>
              </w:rPr>
            </w:pPr>
            <w:r>
              <w:rPr>
                <w:b/>
                <w:sz w:val="20"/>
              </w:rPr>
              <w:t>25. HOSPICE CARE</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1"/>
              <w:rPr>
                <w:sz w:val="20"/>
              </w:rPr>
            </w:pPr>
            <w:r>
              <w:rPr>
                <w:sz w:val="20"/>
              </w:rPr>
              <w:t>You pay 30% after Deductible</w:t>
            </w:r>
          </w:p>
        </w:tc>
        <w:tc>
          <w:tcPr>
            <w:tcW w:w="3690" w:type="dxa"/>
            <w:tcBorders>
              <w:top w:val="single" w:sz="4" w:space="0" w:color="000000"/>
              <w:left w:val="single" w:sz="4" w:space="0" w:color="000000"/>
              <w:bottom w:val="single" w:sz="4" w:space="0" w:color="000000"/>
            </w:tcBorders>
          </w:tcPr>
          <w:p>
            <w:pPr>
              <w:pStyle w:val="TableParagraph"/>
              <w:spacing w:line="210" w:lineRule="exact" w:before="1"/>
              <w:rPr>
                <w:sz w:val="20"/>
              </w:rPr>
            </w:pPr>
            <w:r>
              <w:rPr>
                <w:sz w:val="20"/>
              </w:rPr>
              <w:t>You pay 50% after Deductible</w:t>
            </w:r>
          </w:p>
        </w:tc>
      </w:tr>
      <w:tr>
        <w:trPr>
          <w:trHeight w:val="691" w:hRule="atLeast"/>
        </w:trPr>
        <w:tc>
          <w:tcPr>
            <w:tcW w:w="3150" w:type="dxa"/>
            <w:tcBorders>
              <w:top w:val="single" w:sz="4" w:space="0" w:color="000000"/>
              <w:bottom w:val="single" w:sz="4" w:space="0" w:color="000000"/>
              <w:right w:val="single" w:sz="4" w:space="0" w:color="000000"/>
            </w:tcBorders>
          </w:tcPr>
          <w:p>
            <w:pPr>
              <w:pStyle w:val="TableParagraph"/>
              <w:ind w:left="458" w:right="287" w:hanging="360"/>
              <w:rPr>
                <w:b/>
                <w:sz w:val="20"/>
              </w:rPr>
            </w:pPr>
            <w:r>
              <w:rPr>
                <w:b/>
                <w:sz w:val="20"/>
              </w:rPr>
              <w:t>26. SKILLED NURSING FACILITY CARE</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rPr>
                <w:sz w:val="20"/>
              </w:rPr>
            </w:pPr>
            <w:r>
              <w:rPr>
                <w:sz w:val="20"/>
              </w:rPr>
              <w:t>You pay 30% after Deductible. Up to 100 days per calendar year In and Out-of-Network combined.</w:t>
            </w:r>
          </w:p>
        </w:tc>
        <w:tc>
          <w:tcPr>
            <w:tcW w:w="3690" w:type="dxa"/>
            <w:tcBorders>
              <w:top w:val="single" w:sz="4" w:space="0" w:color="000000"/>
              <w:left w:val="single" w:sz="4" w:space="0" w:color="000000"/>
              <w:bottom w:val="single" w:sz="4" w:space="0" w:color="000000"/>
            </w:tcBorders>
          </w:tcPr>
          <w:p>
            <w:pPr>
              <w:pStyle w:val="TableParagraph"/>
              <w:spacing w:line="230" w:lineRule="atLeast"/>
              <w:rPr>
                <w:sz w:val="20"/>
              </w:rPr>
            </w:pPr>
            <w:r>
              <w:rPr>
                <w:sz w:val="20"/>
              </w:rPr>
              <w:t>You pay 50% after Deductible. Up to 100 days per calendar year In and Out-of-Network combined.</w:t>
            </w:r>
          </w:p>
        </w:tc>
      </w:tr>
      <w:tr>
        <w:trPr>
          <w:trHeight w:val="231" w:hRule="atLeast"/>
        </w:trPr>
        <w:tc>
          <w:tcPr>
            <w:tcW w:w="3150" w:type="dxa"/>
            <w:tcBorders>
              <w:top w:val="single" w:sz="4" w:space="0" w:color="000000"/>
              <w:bottom w:val="single" w:sz="4" w:space="0" w:color="000000"/>
              <w:right w:val="single" w:sz="4" w:space="0" w:color="000000"/>
            </w:tcBorders>
          </w:tcPr>
          <w:p>
            <w:pPr>
              <w:pStyle w:val="TableParagraph"/>
              <w:spacing w:line="211" w:lineRule="exact"/>
              <w:ind w:left="99"/>
              <w:rPr>
                <w:b/>
                <w:sz w:val="20"/>
              </w:rPr>
            </w:pPr>
            <w:r>
              <w:rPr>
                <w:b/>
                <w:sz w:val="20"/>
              </w:rPr>
              <w:t>27. DENTAL CARE</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1"/>
              <w:rPr>
                <w:sz w:val="20"/>
              </w:rPr>
            </w:pPr>
            <w:r>
              <w:rPr>
                <w:sz w:val="20"/>
              </w:rPr>
              <w:t>Not covered</w:t>
            </w:r>
          </w:p>
        </w:tc>
        <w:tc>
          <w:tcPr>
            <w:tcW w:w="3690" w:type="dxa"/>
            <w:tcBorders>
              <w:top w:val="single" w:sz="4" w:space="0" w:color="000000"/>
              <w:left w:val="single" w:sz="4" w:space="0" w:color="000000"/>
              <w:bottom w:val="single" w:sz="4" w:space="0" w:color="000000"/>
            </w:tcBorders>
          </w:tcPr>
          <w:p>
            <w:pPr>
              <w:pStyle w:val="TableParagraph"/>
              <w:spacing w:line="210" w:lineRule="exact" w:before="1"/>
              <w:rPr>
                <w:sz w:val="20"/>
              </w:rPr>
            </w:pPr>
            <w:r>
              <w:rPr>
                <w:sz w:val="20"/>
              </w:rPr>
              <w:t>Not covered</w:t>
            </w:r>
          </w:p>
        </w:tc>
      </w:tr>
      <w:tr>
        <w:trPr>
          <w:trHeight w:val="231" w:hRule="atLeast"/>
        </w:trPr>
        <w:tc>
          <w:tcPr>
            <w:tcW w:w="3150" w:type="dxa"/>
            <w:tcBorders>
              <w:top w:val="single" w:sz="4" w:space="0" w:color="000000"/>
              <w:bottom w:val="single" w:sz="4" w:space="0" w:color="000000"/>
              <w:right w:val="single" w:sz="4" w:space="0" w:color="000000"/>
            </w:tcBorders>
          </w:tcPr>
          <w:p>
            <w:pPr>
              <w:pStyle w:val="TableParagraph"/>
              <w:spacing w:line="211" w:lineRule="exact"/>
              <w:ind w:left="99"/>
              <w:rPr>
                <w:b/>
                <w:sz w:val="20"/>
              </w:rPr>
            </w:pPr>
            <w:r>
              <w:rPr>
                <w:b/>
                <w:sz w:val="20"/>
              </w:rPr>
              <w:t>28. VISION CARE</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1"/>
              <w:rPr>
                <w:sz w:val="20"/>
              </w:rPr>
            </w:pPr>
            <w:r>
              <w:rPr>
                <w:sz w:val="20"/>
              </w:rPr>
              <w:t>Not covered</w:t>
            </w:r>
          </w:p>
        </w:tc>
        <w:tc>
          <w:tcPr>
            <w:tcW w:w="3690" w:type="dxa"/>
            <w:tcBorders>
              <w:top w:val="single" w:sz="4" w:space="0" w:color="000000"/>
              <w:left w:val="single" w:sz="4" w:space="0" w:color="000000"/>
              <w:bottom w:val="single" w:sz="4" w:space="0" w:color="000000"/>
            </w:tcBorders>
          </w:tcPr>
          <w:p>
            <w:pPr>
              <w:pStyle w:val="TableParagraph"/>
              <w:spacing w:line="210" w:lineRule="exact" w:before="1"/>
              <w:rPr>
                <w:sz w:val="20"/>
              </w:rPr>
            </w:pPr>
            <w:r>
              <w:rPr>
                <w:sz w:val="20"/>
              </w:rPr>
              <w:t>Not covered</w:t>
            </w:r>
          </w:p>
        </w:tc>
      </w:tr>
      <w:tr>
        <w:trPr>
          <w:trHeight w:val="2304" w:hRule="atLeast"/>
        </w:trPr>
        <w:tc>
          <w:tcPr>
            <w:tcW w:w="3150" w:type="dxa"/>
            <w:tcBorders>
              <w:top w:val="single" w:sz="4" w:space="0" w:color="000000"/>
              <w:right w:val="single" w:sz="4" w:space="0" w:color="000000"/>
            </w:tcBorders>
          </w:tcPr>
          <w:p>
            <w:pPr>
              <w:pStyle w:val="TableParagraph"/>
              <w:spacing w:line="228" w:lineRule="exact"/>
              <w:ind w:left="99"/>
              <w:rPr>
                <w:b/>
                <w:sz w:val="20"/>
              </w:rPr>
            </w:pPr>
            <w:r>
              <w:rPr>
                <w:b/>
                <w:sz w:val="20"/>
              </w:rPr>
              <w:t>29. CHIROPRACTIC THERAPY</w:t>
            </w:r>
          </w:p>
        </w:tc>
        <w:tc>
          <w:tcPr>
            <w:tcW w:w="3690" w:type="dxa"/>
            <w:tcBorders>
              <w:top w:val="single" w:sz="4" w:space="0" w:color="000000"/>
              <w:left w:val="single" w:sz="4" w:space="0" w:color="000000"/>
              <w:right w:val="single" w:sz="4" w:space="0" w:color="000000"/>
            </w:tcBorders>
          </w:tcPr>
          <w:p>
            <w:pPr>
              <w:pStyle w:val="TableParagraph"/>
              <w:spacing w:line="230" w:lineRule="atLeast"/>
              <w:ind w:right="81"/>
              <w:rPr>
                <w:sz w:val="20"/>
              </w:rPr>
            </w:pPr>
            <w:r>
              <w:rPr>
                <w:sz w:val="20"/>
              </w:rPr>
              <w:t>$20 Copayment per visit, for all other services which are performed in the Provider’s office and billed by the Provider (e.g., laboratory and x-ray services). Services performed or billed by another Provider are not included in the visit Copayment, see line 14 for payment information. Up to 20 visits per calendar year combined with massage therapy and acupuncture/nerve pathway therapy, regardless of which type Provider renders the therapy.</w:t>
            </w:r>
          </w:p>
        </w:tc>
        <w:tc>
          <w:tcPr>
            <w:tcW w:w="3690" w:type="dxa"/>
            <w:tcBorders>
              <w:top w:val="single" w:sz="4" w:space="0" w:color="000000"/>
              <w:left w:val="single" w:sz="4" w:space="0" w:color="000000"/>
            </w:tcBorders>
          </w:tcPr>
          <w:p>
            <w:pPr>
              <w:pStyle w:val="TableParagraph"/>
              <w:spacing w:before="1"/>
              <w:rPr>
                <w:sz w:val="20"/>
              </w:rPr>
            </w:pPr>
            <w:r>
              <w:rPr>
                <w:sz w:val="20"/>
              </w:rPr>
              <w:t>Not covered</w:t>
            </w:r>
          </w:p>
        </w:tc>
      </w:tr>
    </w:tbl>
    <w:p>
      <w:pPr>
        <w:spacing w:after="0"/>
        <w:rPr>
          <w:sz w:val="20"/>
        </w:rPr>
        <w:sectPr>
          <w:pgSz w:w="12240" w:h="15840"/>
          <w:pgMar w:header="0" w:footer="811" w:top="720" w:bottom="1000" w:left="700" w:right="520"/>
        </w:sect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50"/>
        <w:gridCol w:w="3690"/>
        <w:gridCol w:w="3690"/>
      </w:tblGrid>
      <w:tr>
        <w:trPr>
          <w:trHeight w:val="231" w:hRule="atLeast"/>
        </w:trPr>
        <w:tc>
          <w:tcPr>
            <w:tcW w:w="3150" w:type="dxa"/>
            <w:tcBorders>
              <w:bottom w:val="single" w:sz="4" w:space="0" w:color="000000"/>
              <w:right w:val="single" w:sz="4" w:space="0" w:color="000000"/>
            </w:tcBorders>
          </w:tcPr>
          <w:p>
            <w:pPr>
              <w:pStyle w:val="TableParagraph"/>
              <w:ind w:left="0"/>
              <w:rPr>
                <w:rFonts w:ascii="Times New Roman"/>
                <w:sz w:val="16"/>
              </w:rPr>
            </w:pPr>
          </w:p>
        </w:tc>
        <w:tc>
          <w:tcPr>
            <w:tcW w:w="3690" w:type="dxa"/>
            <w:tcBorders>
              <w:left w:val="single" w:sz="4" w:space="0" w:color="000000"/>
              <w:bottom w:val="single" w:sz="4" w:space="0" w:color="000000"/>
              <w:right w:val="single" w:sz="4" w:space="0" w:color="000000"/>
            </w:tcBorders>
          </w:tcPr>
          <w:p>
            <w:pPr>
              <w:pStyle w:val="TableParagraph"/>
              <w:spacing w:line="212" w:lineRule="exact"/>
              <w:ind w:left="1291" w:right="1282"/>
              <w:jc w:val="center"/>
              <w:rPr>
                <w:b/>
                <w:sz w:val="20"/>
              </w:rPr>
            </w:pPr>
            <w:r>
              <w:rPr>
                <w:b/>
                <w:sz w:val="20"/>
              </w:rPr>
              <w:t>IN-NETWORK</w:t>
            </w:r>
          </w:p>
        </w:tc>
        <w:tc>
          <w:tcPr>
            <w:tcW w:w="3690" w:type="dxa"/>
            <w:tcBorders>
              <w:left w:val="single" w:sz="4" w:space="0" w:color="000000"/>
              <w:bottom w:val="single" w:sz="4" w:space="0" w:color="000000"/>
            </w:tcBorders>
          </w:tcPr>
          <w:p>
            <w:pPr>
              <w:pStyle w:val="TableParagraph"/>
              <w:spacing w:line="212" w:lineRule="exact"/>
              <w:ind w:left="1076"/>
              <w:rPr>
                <w:b/>
                <w:sz w:val="20"/>
              </w:rPr>
            </w:pPr>
            <w:r>
              <w:rPr>
                <w:b/>
                <w:sz w:val="20"/>
              </w:rPr>
              <w:t>OUT-OF-NETWORK</w:t>
            </w:r>
          </w:p>
        </w:tc>
      </w:tr>
      <w:tr>
        <w:trPr>
          <w:trHeight w:val="8969" w:hRule="atLeast"/>
        </w:trPr>
        <w:tc>
          <w:tcPr>
            <w:tcW w:w="3150" w:type="dxa"/>
            <w:tcBorders>
              <w:top w:val="single" w:sz="4" w:space="0" w:color="000000"/>
              <w:right w:val="single" w:sz="4" w:space="0" w:color="000000"/>
            </w:tcBorders>
          </w:tcPr>
          <w:p>
            <w:pPr>
              <w:pStyle w:val="TableParagraph"/>
              <w:ind w:left="458" w:hanging="360"/>
              <w:rPr>
                <w:b/>
                <w:sz w:val="20"/>
              </w:rPr>
            </w:pPr>
            <w:r>
              <w:rPr>
                <w:b/>
                <w:sz w:val="20"/>
              </w:rPr>
              <w:t>30. SIGNIFICANT ADDITIONAL COVERED SERVICES</w:t>
            </w:r>
          </w:p>
        </w:tc>
        <w:tc>
          <w:tcPr>
            <w:tcW w:w="3690" w:type="dxa"/>
            <w:tcBorders>
              <w:top w:val="single" w:sz="4" w:space="0" w:color="000000"/>
              <w:left w:val="single" w:sz="4" w:space="0" w:color="000000"/>
              <w:right w:val="single" w:sz="4" w:space="0" w:color="000000"/>
            </w:tcBorders>
          </w:tcPr>
          <w:p>
            <w:pPr>
              <w:pStyle w:val="TableParagraph"/>
              <w:spacing w:line="227" w:lineRule="exact"/>
              <w:rPr>
                <w:b/>
                <w:sz w:val="20"/>
              </w:rPr>
            </w:pPr>
            <w:r>
              <w:rPr>
                <w:b/>
                <w:sz w:val="20"/>
              </w:rPr>
              <w:t>Other Covered Services</w:t>
            </w:r>
          </w:p>
          <w:p>
            <w:pPr>
              <w:pStyle w:val="TableParagraph"/>
              <w:ind w:right="572"/>
              <w:rPr>
                <w:b/>
                <w:sz w:val="20"/>
              </w:rPr>
            </w:pPr>
            <w:r>
              <w:rPr>
                <w:b/>
                <w:sz w:val="20"/>
              </w:rPr>
              <w:t>Massage Therapy, Acupuncture/Nerve Pathway Therapy</w:t>
            </w:r>
          </w:p>
          <w:p>
            <w:pPr>
              <w:pStyle w:val="TableParagraph"/>
              <w:ind w:right="115"/>
              <w:rPr>
                <w:sz w:val="20"/>
              </w:rPr>
            </w:pPr>
            <w:r>
              <w:rPr>
                <w:sz w:val="20"/>
              </w:rPr>
              <w:t>$20 Copayment per visit, no Coinsurance (100% covered) for all other services which are performed in the Provider’s office and billed by the Provider (e.g., laboratory and x-ray services). Services performed or billed by another Provider are not included in the visit Copayment, see line 14 for payment information. Up to 20 visits per calendar year combined with chiropractic therapy, regardless of which type Provider renders the therapy.</w:t>
            </w:r>
          </w:p>
          <w:p>
            <w:pPr>
              <w:pStyle w:val="TableParagraph"/>
              <w:spacing w:before="6"/>
              <w:ind w:left="0"/>
              <w:rPr>
                <w:sz w:val="20"/>
              </w:rPr>
            </w:pPr>
          </w:p>
          <w:p>
            <w:pPr>
              <w:pStyle w:val="TableParagraph"/>
              <w:rPr>
                <w:b/>
                <w:sz w:val="20"/>
              </w:rPr>
            </w:pPr>
            <w:r>
              <w:rPr>
                <w:b/>
                <w:sz w:val="20"/>
              </w:rPr>
              <w:t>Nutritional Therapy</w:t>
            </w:r>
          </w:p>
          <w:p>
            <w:pPr>
              <w:pStyle w:val="TableParagraph"/>
              <w:spacing w:before="1"/>
              <w:ind w:right="179"/>
              <w:rPr>
                <w:sz w:val="20"/>
              </w:rPr>
            </w:pPr>
            <w:r>
              <w:rPr>
                <w:sz w:val="20"/>
              </w:rPr>
              <w:t>$20 Copayment per visit for Specialist. Up to 4 visits per calendar year.</w:t>
            </w:r>
          </w:p>
          <w:p>
            <w:pPr>
              <w:pStyle w:val="TableParagraph"/>
              <w:spacing w:before="9"/>
              <w:ind w:left="0"/>
              <w:rPr>
                <w:sz w:val="19"/>
              </w:rPr>
            </w:pPr>
          </w:p>
          <w:p>
            <w:pPr>
              <w:pStyle w:val="TableParagraph"/>
              <w:rPr>
                <w:b/>
                <w:sz w:val="20"/>
              </w:rPr>
            </w:pPr>
            <w:r>
              <w:rPr>
                <w:b/>
                <w:sz w:val="20"/>
              </w:rPr>
              <w:t>Hearing Aids</w:t>
            </w:r>
          </w:p>
          <w:p>
            <w:pPr>
              <w:pStyle w:val="TableParagraph"/>
              <w:spacing w:before="1"/>
              <w:ind w:right="106"/>
              <w:rPr>
                <w:sz w:val="20"/>
              </w:rPr>
            </w:pPr>
            <w:r>
              <w:rPr>
                <w:sz w:val="20"/>
              </w:rPr>
              <w:t>Benefit level determined by place of service. Hearing aids are covered up to age 18. Initial and replacement hearing aids will be supplied every 5 years.</w:t>
            </w:r>
          </w:p>
          <w:p>
            <w:pPr>
              <w:pStyle w:val="TableParagraph"/>
              <w:spacing w:before="4"/>
              <w:ind w:left="0"/>
              <w:rPr>
                <w:sz w:val="20"/>
              </w:rPr>
            </w:pPr>
          </w:p>
          <w:p>
            <w:pPr>
              <w:pStyle w:val="TableParagraph"/>
              <w:spacing w:before="1"/>
              <w:ind w:right="98"/>
              <w:rPr>
                <w:sz w:val="20"/>
              </w:rPr>
            </w:pPr>
            <w:r>
              <w:rPr>
                <w:sz w:val="20"/>
              </w:rPr>
              <w:t>New hearing aid will be a covered service when alterations to your existing hearing aid cannot adequately meet your needs or be repaired.</w:t>
            </w:r>
          </w:p>
          <w:p>
            <w:pPr>
              <w:pStyle w:val="TableParagraph"/>
              <w:spacing w:before="1"/>
              <w:ind w:left="0"/>
              <w:rPr>
                <w:sz w:val="20"/>
              </w:rPr>
            </w:pPr>
          </w:p>
          <w:p>
            <w:pPr>
              <w:pStyle w:val="TableParagraph"/>
              <w:ind w:right="516"/>
              <w:rPr>
                <w:sz w:val="20"/>
              </w:rPr>
            </w:pPr>
            <w:r>
              <w:rPr>
                <w:b/>
                <w:sz w:val="20"/>
              </w:rPr>
              <w:t>Applied Behavioral Analysis Services </w:t>
            </w:r>
            <w:r>
              <w:rPr>
                <w:sz w:val="20"/>
              </w:rPr>
              <w:t>Benefits are based on the setting in which Covered Services are received.</w:t>
            </w:r>
          </w:p>
          <w:p>
            <w:pPr>
              <w:pStyle w:val="TableParagraph"/>
              <w:spacing w:before="1"/>
              <w:ind w:left="0"/>
              <w:rPr>
                <w:sz w:val="20"/>
              </w:rPr>
            </w:pPr>
          </w:p>
          <w:p>
            <w:pPr>
              <w:pStyle w:val="TableParagraph"/>
              <w:rPr>
                <w:b/>
                <w:sz w:val="20"/>
              </w:rPr>
            </w:pPr>
            <w:r>
              <w:rPr>
                <w:b/>
                <w:sz w:val="20"/>
              </w:rPr>
              <w:t>General Information</w:t>
            </w:r>
          </w:p>
          <w:p>
            <w:pPr>
              <w:pStyle w:val="TableParagraph"/>
              <w:spacing w:before="1"/>
              <w:ind w:right="371"/>
              <w:rPr>
                <w:sz w:val="20"/>
              </w:rPr>
            </w:pPr>
            <w:r>
              <w:rPr>
                <w:sz w:val="20"/>
              </w:rPr>
              <w:t>For any outpatient Covered Service not elsewhere listed, you pay Coinsurance after Deductible. For example, this includes chemotherapy and outpatient non-surgical Facility services.</w:t>
            </w:r>
          </w:p>
        </w:tc>
        <w:tc>
          <w:tcPr>
            <w:tcW w:w="3690" w:type="dxa"/>
            <w:tcBorders>
              <w:top w:val="single" w:sz="4" w:space="0" w:color="000000"/>
              <w:left w:val="single" w:sz="4" w:space="0" w:color="000000"/>
            </w:tcBorders>
          </w:tcPr>
          <w:p>
            <w:pPr>
              <w:pStyle w:val="TableParagraph"/>
              <w:spacing w:line="227" w:lineRule="exact"/>
              <w:rPr>
                <w:b/>
                <w:sz w:val="20"/>
              </w:rPr>
            </w:pPr>
            <w:r>
              <w:rPr>
                <w:b/>
                <w:sz w:val="20"/>
              </w:rPr>
              <w:t>Other Covered Services</w:t>
            </w:r>
          </w:p>
          <w:p>
            <w:pPr>
              <w:pStyle w:val="TableParagraph"/>
              <w:ind w:right="562"/>
              <w:rPr>
                <w:b/>
                <w:sz w:val="20"/>
              </w:rPr>
            </w:pPr>
            <w:r>
              <w:rPr>
                <w:b/>
                <w:sz w:val="20"/>
              </w:rPr>
              <w:t>Massage Therapy, Acupuncture/Nerve Pathway Therapy</w:t>
            </w:r>
          </w:p>
          <w:p>
            <w:pPr>
              <w:pStyle w:val="TableParagraph"/>
              <w:spacing w:line="229" w:lineRule="exact"/>
              <w:rPr>
                <w:sz w:val="20"/>
              </w:rPr>
            </w:pPr>
            <w:r>
              <w:rPr>
                <w:sz w:val="20"/>
              </w:rPr>
              <w:t>Not covered</w:t>
            </w: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6"/>
              <w:ind w:left="0"/>
              <w:rPr>
                <w:sz w:val="24"/>
              </w:rPr>
            </w:pPr>
          </w:p>
          <w:p>
            <w:pPr>
              <w:pStyle w:val="TableParagraph"/>
              <w:spacing w:before="1"/>
              <w:rPr>
                <w:b/>
                <w:sz w:val="20"/>
              </w:rPr>
            </w:pPr>
            <w:r>
              <w:rPr>
                <w:b/>
                <w:sz w:val="20"/>
              </w:rPr>
              <w:t>Nutritional Therapy</w:t>
            </w:r>
          </w:p>
          <w:p>
            <w:pPr>
              <w:pStyle w:val="TableParagraph"/>
              <w:rPr>
                <w:sz w:val="20"/>
              </w:rPr>
            </w:pPr>
            <w:r>
              <w:rPr>
                <w:sz w:val="20"/>
              </w:rPr>
              <w:t>Not covered</w:t>
            </w:r>
          </w:p>
          <w:p>
            <w:pPr>
              <w:pStyle w:val="TableParagraph"/>
              <w:ind w:left="0"/>
              <w:rPr>
                <w:sz w:val="22"/>
              </w:rPr>
            </w:pPr>
          </w:p>
          <w:p>
            <w:pPr>
              <w:pStyle w:val="TableParagraph"/>
              <w:spacing w:before="1"/>
              <w:ind w:left="0"/>
              <w:rPr>
                <w:sz w:val="18"/>
              </w:rPr>
            </w:pPr>
          </w:p>
          <w:p>
            <w:pPr>
              <w:pStyle w:val="TableParagraph"/>
              <w:rPr>
                <w:b/>
                <w:sz w:val="20"/>
              </w:rPr>
            </w:pPr>
            <w:r>
              <w:rPr>
                <w:b/>
                <w:sz w:val="20"/>
              </w:rPr>
              <w:t>Hearing Aids</w:t>
            </w:r>
          </w:p>
          <w:p>
            <w:pPr>
              <w:pStyle w:val="TableParagraph"/>
              <w:spacing w:before="1"/>
              <w:ind w:right="96"/>
              <w:rPr>
                <w:sz w:val="20"/>
              </w:rPr>
            </w:pPr>
            <w:r>
              <w:rPr>
                <w:sz w:val="20"/>
              </w:rPr>
              <w:t>Benefit level determined by place of service. Hearing aids are covered up to age 18. Initial and replacement hearing aids will be supplied every 5 years.</w:t>
            </w:r>
          </w:p>
          <w:p>
            <w:pPr>
              <w:pStyle w:val="TableParagraph"/>
              <w:spacing w:before="4"/>
              <w:ind w:left="0"/>
              <w:rPr>
                <w:sz w:val="20"/>
              </w:rPr>
            </w:pPr>
          </w:p>
          <w:p>
            <w:pPr>
              <w:pStyle w:val="TableParagraph"/>
              <w:ind w:right="88"/>
              <w:rPr>
                <w:sz w:val="20"/>
              </w:rPr>
            </w:pPr>
            <w:r>
              <w:rPr>
                <w:sz w:val="20"/>
              </w:rPr>
              <w:t>New hearing aid will be a covered service when alterations to your existing hearing aid cannot adequately meet your needs or be repaired.</w:t>
            </w:r>
          </w:p>
          <w:p>
            <w:pPr>
              <w:pStyle w:val="TableParagraph"/>
              <w:spacing w:before="1"/>
              <w:ind w:left="0"/>
              <w:rPr>
                <w:sz w:val="20"/>
              </w:rPr>
            </w:pPr>
          </w:p>
          <w:p>
            <w:pPr>
              <w:pStyle w:val="TableParagraph"/>
              <w:ind w:right="506"/>
              <w:rPr>
                <w:sz w:val="20"/>
              </w:rPr>
            </w:pPr>
            <w:r>
              <w:rPr>
                <w:b/>
                <w:sz w:val="20"/>
              </w:rPr>
              <w:t>Applied Behavioral Analysis Services </w:t>
            </w:r>
            <w:r>
              <w:rPr>
                <w:sz w:val="20"/>
              </w:rPr>
              <w:t>Benefits are based on the setting in which Covered Services are received.</w:t>
            </w:r>
          </w:p>
          <w:p>
            <w:pPr>
              <w:pStyle w:val="TableParagraph"/>
              <w:spacing w:before="1"/>
              <w:ind w:left="0"/>
              <w:rPr>
                <w:sz w:val="20"/>
              </w:rPr>
            </w:pPr>
          </w:p>
          <w:p>
            <w:pPr>
              <w:pStyle w:val="TableParagraph"/>
              <w:spacing w:before="1"/>
              <w:rPr>
                <w:b/>
                <w:sz w:val="20"/>
              </w:rPr>
            </w:pPr>
            <w:r>
              <w:rPr>
                <w:b/>
                <w:sz w:val="20"/>
              </w:rPr>
              <w:t>General Information</w:t>
            </w:r>
          </w:p>
          <w:p>
            <w:pPr>
              <w:pStyle w:val="TableParagraph"/>
              <w:spacing w:before="1"/>
              <w:ind w:right="361"/>
              <w:rPr>
                <w:sz w:val="20"/>
              </w:rPr>
            </w:pPr>
            <w:r>
              <w:rPr>
                <w:sz w:val="20"/>
              </w:rPr>
              <w:t>For any outpatient Covered Service not elsewhere listed, you pay Coinsurance after Deductible. For example, this includes chemotherapy and outpatient non-surgical Facility services.</w:t>
            </w:r>
          </w:p>
        </w:tc>
      </w:tr>
    </w:tbl>
    <w:p>
      <w:pPr>
        <w:spacing w:line="240" w:lineRule="auto" w:before="10"/>
        <w:rPr>
          <w:sz w:val="12"/>
        </w:rPr>
      </w:pPr>
    </w:p>
    <w:p>
      <w:pPr>
        <w:pStyle w:val="Heading2"/>
        <w:spacing w:before="100" w:after="10"/>
        <w:rPr>
          <w:rFonts w:ascii="Arial Narrow"/>
        </w:rPr>
      </w:pPr>
      <w:r>
        <w:rPr>
          <w:rFonts w:ascii="Arial Narrow"/>
        </w:rPr>
        <w:t>PART C: LIMITATIONS AND EXCLUSIONS</w:t>
      </w: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050"/>
        <w:gridCol w:w="6480"/>
      </w:tblGrid>
      <w:tr>
        <w:trPr>
          <w:trHeight w:val="457" w:hRule="atLeast"/>
        </w:trPr>
        <w:tc>
          <w:tcPr>
            <w:tcW w:w="4050" w:type="dxa"/>
            <w:tcBorders>
              <w:bottom w:val="single" w:sz="4" w:space="0" w:color="000000"/>
              <w:right w:val="single" w:sz="4" w:space="0" w:color="000000"/>
            </w:tcBorders>
          </w:tcPr>
          <w:p>
            <w:pPr>
              <w:pStyle w:val="TableParagraph"/>
              <w:spacing w:line="228" w:lineRule="exact" w:before="4"/>
              <w:ind w:left="458" w:right="188" w:hanging="360"/>
              <w:rPr>
                <w:b/>
                <w:sz w:val="20"/>
              </w:rPr>
            </w:pPr>
            <w:r>
              <w:rPr>
                <w:b/>
                <w:sz w:val="20"/>
              </w:rPr>
              <w:t>31. PERIOD DURING WHICH PRE-EXISTING CONDITIONS ARE NOT COVERED.</w:t>
            </w:r>
          </w:p>
        </w:tc>
        <w:tc>
          <w:tcPr>
            <w:tcW w:w="6480" w:type="dxa"/>
            <w:tcBorders>
              <w:left w:val="single" w:sz="4" w:space="0" w:color="000000"/>
              <w:bottom w:val="single" w:sz="4" w:space="0" w:color="000000"/>
            </w:tcBorders>
          </w:tcPr>
          <w:p>
            <w:pPr>
              <w:pStyle w:val="TableParagraph"/>
              <w:spacing w:before="1"/>
              <w:rPr>
                <w:sz w:val="20"/>
              </w:rPr>
            </w:pPr>
            <w:r>
              <w:rPr>
                <w:sz w:val="20"/>
              </w:rPr>
              <w:t>Not applicable; plan does not impose limitation periods for pre-existing conditions.</w:t>
            </w:r>
          </w:p>
        </w:tc>
      </w:tr>
      <w:tr>
        <w:trPr>
          <w:trHeight w:val="682" w:hRule="atLeast"/>
        </w:trPr>
        <w:tc>
          <w:tcPr>
            <w:tcW w:w="4050" w:type="dxa"/>
            <w:tcBorders>
              <w:top w:val="single" w:sz="4" w:space="0" w:color="000000"/>
              <w:bottom w:val="single" w:sz="4" w:space="0" w:color="000000"/>
              <w:right w:val="single" w:sz="4" w:space="0" w:color="000000"/>
            </w:tcBorders>
          </w:tcPr>
          <w:p>
            <w:pPr>
              <w:pStyle w:val="TableParagraph"/>
              <w:spacing w:line="228" w:lineRule="exact" w:before="1"/>
              <w:ind w:left="458" w:right="188" w:hanging="360"/>
              <w:rPr>
                <w:b/>
                <w:sz w:val="20"/>
              </w:rPr>
            </w:pPr>
            <w:r>
              <w:rPr>
                <w:b/>
                <w:sz w:val="20"/>
              </w:rPr>
              <w:t>32. EXCLUSIONARY RIDERS. Can an individual’s specific, pre-existing condition be entirely excluded from the policy?</w:t>
            </w:r>
          </w:p>
        </w:tc>
        <w:tc>
          <w:tcPr>
            <w:tcW w:w="6480" w:type="dxa"/>
            <w:tcBorders>
              <w:top w:val="single" w:sz="4" w:space="0" w:color="000000"/>
              <w:left w:val="single" w:sz="4" w:space="0" w:color="000000"/>
              <w:bottom w:val="single" w:sz="4" w:space="0" w:color="000000"/>
            </w:tcBorders>
          </w:tcPr>
          <w:p>
            <w:pPr>
              <w:pStyle w:val="TableParagraph"/>
              <w:spacing w:line="228" w:lineRule="exact"/>
              <w:rPr>
                <w:sz w:val="20"/>
              </w:rPr>
            </w:pPr>
            <w:r>
              <w:rPr>
                <w:sz w:val="20"/>
              </w:rPr>
              <w:t>No</w:t>
            </w:r>
          </w:p>
        </w:tc>
      </w:tr>
      <w:tr>
        <w:trPr>
          <w:trHeight w:val="453" w:hRule="atLeast"/>
        </w:trPr>
        <w:tc>
          <w:tcPr>
            <w:tcW w:w="4050" w:type="dxa"/>
            <w:tcBorders>
              <w:top w:val="single" w:sz="4" w:space="0" w:color="000000"/>
              <w:bottom w:val="single" w:sz="4" w:space="0" w:color="000000"/>
              <w:right w:val="single" w:sz="4" w:space="0" w:color="000000"/>
            </w:tcBorders>
          </w:tcPr>
          <w:p>
            <w:pPr>
              <w:pStyle w:val="TableParagraph"/>
              <w:spacing w:line="228" w:lineRule="exact"/>
              <w:ind w:left="458" w:right="188" w:hanging="360"/>
              <w:rPr>
                <w:b/>
                <w:sz w:val="20"/>
              </w:rPr>
            </w:pPr>
            <w:r>
              <w:rPr>
                <w:b/>
                <w:sz w:val="20"/>
              </w:rPr>
              <w:t>33. HOW DOES THE POLICY DEFINE A “PRE- EXISTING CONDITION”?</w:t>
            </w:r>
          </w:p>
        </w:tc>
        <w:tc>
          <w:tcPr>
            <w:tcW w:w="6480" w:type="dxa"/>
            <w:tcBorders>
              <w:top w:val="single" w:sz="4" w:space="0" w:color="000000"/>
              <w:left w:val="single" w:sz="4" w:space="0" w:color="000000"/>
              <w:bottom w:val="single" w:sz="4" w:space="0" w:color="000000"/>
            </w:tcBorders>
          </w:tcPr>
          <w:p>
            <w:pPr>
              <w:pStyle w:val="TableParagraph"/>
              <w:spacing w:line="228" w:lineRule="exact"/>
              <w:rPr>
                <w:sz w:val="20"/>
              </w:rPr>
            </w:pPr>
            <w:r>
              <w:rPr>
                <w:sz w:val="20"/>
              </w:rPr>
              <w:t>Not applicable; plan does not exclude coverage for pre-existing conditions.</w:t>
            </w:r>
          </w:p>
        </w:tc>
      </w:tr>
      <w:tr>
        <w:trPr>
          <w:trHeight w:val="689" w:hRule="atLeast"/>
        </w:trPr>
        <w:tc>
          <w:tcPr>
            <w:tcW w:w="4050" w:type="dxa"/>
            <w:tcBorders>
              <w:top w:val="single" w:sz="4" w:space="0" w:color="000000"/>
              <w:right w:val="single" w:sz="4" w:space="0" w:color="000000"/>
            </w:tcBorders>
          </w:tcPr>
          <w:p>
            <w:pPr>
              <w:pStyle w:val="TableParagraph"/>
              <w:spacing w:line="237" w:lineRule="auto"/>
              <w:ind w:left="458" w:right="215" w:hanging="360"/>
              <w:rPr>
                <w:b/>
                <w:sz w:val="20"/>
              </w:rPr>
            </w:pPr>
            <w:r>
              <w:rPr>
                <w:b/>
                <w:sz w:val="20"/>
              </w:rPr>
              <w:t>34. WHAT TREATMENTS AND CONDITIONS ARE EXCLUDED UNDER THIS POLICY?</w:t>
            </w:r>
          </w:p>
        </w:tc>
        <w:tc>
          <w:tcPr>
            <w:tcW w:w="6480" w:type="dxa"/>
            <w:tcBorders>
              <w:top w:val="single" w:sz="4" w:space="0" w:color="000000"/>
              <w:left w:val="single" w:sz="4" w:space="0" w:color="000000"/>
            </w:tcBorders>
          </w:tcPr>
          <w:p>
            <w:pPr>
              <w:pStyle w:val="TableParagraph"/>
              <w:spacing w:line="230" w:lineRule="exact" w:before="2"/>
              <w:ind w:right="319"/>
              <w:jc w:val="both"/>
              <w:rPr>
                <w:sz w:val="20"/>
              </w:rPr>
            </w:pPr>
            <w:r>
              <w:rPr>
                <w:sz w:val="20"/>
              </w:rPr>
              <w:t>Exclusions</w:t>
            </w:r>
            <w:r>
              <w:rPr>
                <w:spacing w:val="-5"/>
                <w:sz w:val="20"/>
              </w:rPr>
              <w:t> </w:t>
            </w:r>
            <w:r>
              <w:rPr>
                <w:sz w:val="20"/>
              </w:rPr>
              <w:t>vary</w:t>
            </w:r>
            <w:r>
              <w:rPr>
                <w:spacing w:val="-5"/>
                <w:sz w:val="20"/>
              </w:rPr>
              <w:t> </w:t>
            </w:r>
            <w:r>
              <w:rPr>
                <w:sz w:val="20"/>
              </w:rPr>
              <w:t>by</w:t>
            </w:r>
            <w:r>
              <w:rPr>
                <w:spacing w:val="-5"/>
                <w:sz w:val="20"/>
              </w:rPr>
              <w:t> </w:t>
            </w:r>
            <w:r>
              <w:rPr>
                <w:sz w:val="20"/>
              </w:rPr>
              <w:t>policy.</w:t>
            </w:r>
            <w:r>
              <w:rPr>
                <w:spacing w:val="-5"/>
                <w:sz w:val="20"/>
              </w:rPr>
              <w:t> </w:t>
            </w:r>
            <w:r>
              <w:rPr>
                <w:sz w:val="20"/>
              </w:rPr>
              <w:t>A</w:t>
            </w:r>
            <w:r>
              <w:rPr>
                <w:spacing w:val="-5"/>
                <w:sz w:val="20"/>
              </w:rPr>
              <w:t> </w:t>
            </w:r>
            <w:r>
              <w:rPr>
                <w:sz w:val="20"/>
              </w:rPr>
              <w:t>list</w:t>
            </w:r>
            <w:r>
              <w:rPr>
                <w:spacing w:val="-5"/>
                <w:sz w:val="20"/>
              </w:rPr>
              <w:t> </w:t>
            </w:r>
            <w:r>
              <w:rPr>
                <w:sz w:val="20"/>
              </w:rPr>
              <w:t>of</w:t>
            </w:r>
            <w:r>
              <w:rPr>
                <w:spacing w:val="-5"/>
                <w:sz w:val="20"/>
              </w:rPr>
              <w:t> </w:t>
            </w:r>
            <w:r>
              <w:rPr>
                <w:sz w:val="20"/>
              </w:rPr>
              <w:t>exclusions</w:t>
            </w:r>
            <w:r>
              <w:rPr>
                <w:spacing w:val="-5"/>
                <w:sz w:val="20"/>
              </w:rPr>
              <w:t> </w:t>
            </w:r>
            <w:r>
              <w:rPr>
                <w:sz w:val="20"/>
              </w:rPr>
              <w:t>is</w:t>
            </w:r>
            <w:r>
              <w:rPr>
                <w:spacing w:val="-5"/>
                <w:sz w:val="20"/>
              </w:rPr>
              <w:t> </w:t>
            </w:r>
            <w:r>
              <w:rPr>
                <w:sz w:val="20"/>
              </w:rPr>
              <w:t>available</w:t>
            </w:r>
            <w:r>
              <w:rPr>
                <w:spacing w:val="-5"/>
                <w:sz w:val="20"/>
              </w:rPr>
              <w:t> </w:t>
            </w:r>
            <w:r>
              <w:rPr>
                <w:sz w:val="20"/>
              </w:rPr>
              <w:t>immediately</w:t>
            </w:r>
            <w:r>
              <w:rPr>
                <w:spacing w:val="-5"/>
                <w:sz w:val="20"/>
              </w:rPr>
              <w:t> </w:t>
            </w:r>
            <w:r>
              <w:rPr>
                <w:sz w:val="20"/>
              </w:rPr>
              <w:t>upon</w:t>
            </w:r>
            <w:r>
              <w:rPr>
                <w:spacing w:val="-5"/>
                <w:sz w:val="20"/>
              </w:rPr>
              <w:t> </w:t>
            </w:r>
            <w:r>
              <w:rPr>
                <w:sz w:val="20"/>
              </w:rPr>
              <w:t>request from your carrier, agent, or plan sponsor (e.g., employer). Review the list to see if a service or treatment you may need is excluded from the</w:t>
            </w:r>
            <w:r>
              <w:rPr>
                <w:spacing w:val="-18"/>
                <w:sz w:val="20"/>
              </w:rPr>
              <w:t> </w:t>
            </w:r>
            <w:r>
              <w:rPr>
                <w:sz w:val="20"/>
              </w:rPr>
              <w:t>policy.</w:t>
            </w:r>
          </w:p>
        </w:tc>
      </w:tr>
    </w:tbl>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9"/>
        <w:rPr>
          <w:b/>
          <w:sz w:val="29"/>
        </w:rPr>
      </w:pPr>
    </w:p>
    <w:p>
      <w:pPr>
        <w:spacing w:before="0"/>
        <w:ind w:left="380" w:right="0" w:firstLine="0"/>
        <w:jc w:val="left"/>
        <w:rPr>
          <w:b/>
          <w:sz w:val="20"/>
        </w:rPr>
      </w:pPr>
      <w:r>
        <w:rPr>
          <w:b/>
          <w:sz w:val="20"/>
        </w:rPr>
        <w:t>PART D: USING THE PLAN</w:t>
      </w:r>
    </w:p>
    <w:p>
      <w:pPr>
        <w:spacing w:after="0"/>
        <w:jc w:val="left"/>
        <w:rPr>
          <w:sz w:val="20"/>
        </w:rPr>
        <w:sectPr>
          <w:pgSz w:w="12240" w:h="15840"/>
          <w:pgMar w:header="0" w:footer="811" w:top="720" w:bottom="1000" w:left="700" w:right="520"/>
        </w:sectPr>
      </w:pPr>
    </w:p>
    <w:tbl>
      <w:tblPr>
        <w:tblW w:w="0" w:type="auto"/>
        <w:jc w:val="left"/>
        <w:tblInd w:w="3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050"/>
        <w:gridCol w:w="3150"/>
        <w:gridCol w:w="3330"/>
      </w:tblGrid>
      <w:tr>
        <w:trPr>
          <w:trHeight w:val="277" w:hRule="atLeast"/>
        </w:trPr>
        <w:tc>
          <w:tcPr>
            <w:tcW w:w="4050" w:type="dxa"/>
            <w:tcBorders>
              <w:bottom w:val="single" w:sz="4" w:space="0" w:color="000000"/>
              <w:right w:val="single" w:sz="4" w:space="0" w:color="000000"/>
            </w:tcBorders>
          </w:tcPr>
          <w:p>
            <w:pPr>
              <w:pStyle w:val="TableParagraph"/>
              <w:ind w:left="0"/>
              <w:rPr>
                <w:rFonts w:ascii="Times New Roman"/>
                <w:sz w:val="18"/>
              </w:rPr>
            </w:pPr>
          </w:p>
        </w:tc>
        <w:tc>
          <w:tcPr>
            <w:tcW w:w="3150" w:type="dxa"/>
            <w:tcBorders>
              <w:left w:val="single" w:sz="4" w:space="0" w:color="000000"/>
              <w:bottom w:val="single" w:sz="4" w:space="0" w:color="000000"/>
              <w:right w:val="single" w:sz="4" w:space="0" w:color="000000"/>
            </w:tcBorders>
          </w:tcPr>
          <w:p>
            <w:pPr>
              <w:pStyle w:val="TableParagraph"/>
              <w:spacing w:line="225" w:lineRule="exact"/>
              <w:ind w:left="1040"/>
              <w:rPr>
                <w:b/>
                <w:sz w:val="20"/>
              </w:rPr>
            </w:pPr>
            <w:r>
              <w:rPr>
                <w:b/>
                <w:sz w:val="20"/>
              </w:rPr>
              <w:t>IN-NETWORK</w:t>
            </w:r>
          </w:p>
        </w:tc>
        <w:tc>
          <w:tcPr>
            <w:tcW w:w="3330" w:type="dxa"/>
            <w:tcBorders>
              <w:left w:val="single" w:sz="4" w:space="0" w:color="000000"/>
              <w:bottom w:val="single" w:sz="4" w:space="0" w:color="000000"/>
            </w:tcBorders>
          </w:tcPr>
          <w:p>
            <w:pPr>
              <w:pStyle w:val="TableParagraph"/>
              <w:spacing w:line="225" w:lineRule="exact"/>
              <w:ind w:left="896"/>
              <w:rPr>
                <w:b/>
                <w:sz w:val="20"/>
              </w:rPr>
            </w:pPr>
            <w:r>
              <w:rPr>
                <w:b/>
                <w:sz w:val="20"/>
              </w:rPr>
              <w:t>OUT-OF-NETWORK</w:t>
            </w:r>
          </w:p>
        </w:tc>
      </w:tr>
      <w:tr>
        <w:trPr>
          <w:trHeight w:val="747" w:hRule="atLeast"/>
        </w:trPr>
        <w:tc>
          <w:tcPr>
            <w:tcW w:w="4050" w:type="dxa"/>
            <w:tcBorders>
              <w:top w:val="single" w:sz="4" w:space="0" w:color="000000"/>
              <w:bottom w:val="single" w:sz="4" w:space="0" w:color="000000"/>
              <w:right w:val="single" w:sz="4" w:space="0" w:color="000000"/>
            </w:tcBorders>
          </w:tcPr>
          <w:p>
            <w:pPr>
              <w:pStyle w:val="TableParagraph"/>
              <w:ind w:left="458" w:right="161" w:hanging="360"/>
              <w:rPr>
                <w:b/>
                <w:sz w:val="20"/>
              </w:rPr>
            </w:pPr>
            <w:r>
              <w:rPr>
                <w:b/>
                <w:sz w:val="20"/>
              </w:rPr>
              <w:t>35. Does the enrollee have to obtain a referral and/or prior authorization for specialty care in most or all cases?</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rPr>
                <w:sz w:val="20"/>
              </w:rPr>
            </w:pPr>
            <w:r>
              <w:rPr>
                <w:sz w:val="20"/>
              </w:rPr>
              <w:t>No</w:t>
            </w:r>
          </w:p>
        </w:tc>
        <w:tc>
          <w:tcPr>
            <w:tcW w:w="3330" w:type="dxa"/>
            <w:tcBorders>
              <w:top w:val="single" w:sz="4" w:space="0" w:color="000000"/>
              <w:left w:val="single" w:sz="4" w:space="0" w:color="000000"/>
              <w:bottom w:val="single" w:sz="4" w:space="0" w:color="000000"/>
            </w:tcBorders>
          </w:tcPr>
          <w:p>
            <w:pPr>
              <w:pStyle w:val="TableParagraph"/>
              <w:spacing w:line="224" w:lineRule="exact"/>
              <w:rPr>
                <w:sz w:val="20"/>
              </w:rPr>
            </w:pPr>
            <w:r>
              <w:rPr>
                <w:sz w:val="20"/>
              </w:rPr>
              <w:t>No</w:t>
            </w:r>
          </w:p>
        </w:tc>
      </w:tr>
      <w:tr>
        <w:trPr>
          <w:trHeight w:val="879" w:hRule="atLeast"/>
        </w:trPr>
        <w:tc>
          <w:tcPr>
            <w:tcW w:w="4050" w:type="dxa"/>
            <w:tcBorders>
              <w:top w:val="single" w:sz="4" w:space="0" w:color="000000"/>
              <w:bottom w:val="single" w:sz="4" w:space="0" w:color="000000"/>
              <w:right w:val="single" w:sz="4" w:space="0" w:color="000000"/>
            </w:tcBorders>
          </w:tcPr>
          <w:p>
            <w:pPr>
              <w:pStyle w:val="TableParagraph"/>
              <w:spacing w:line="230" w:lineRule="auto"/>
              <w:ind w:left="458" w:right="215" w:hanging="360"/>
              <w:rPr>
                <w:b/>
                <w:sz w:val="20"/>
              </w:rPr>
            </w:pPr>
            <w:r>
              <w:rPr>
                <w:b/>
                <w:sz w:val="20"/>
              </w:rPr>
              <w:t>36. Is Precertification required for surgical procedures and hospital care (except in an emergency)?</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478"/>
              <w:rPr>
                <w:sz w:val="20"/>
              </w:rPr>
            </w:pPr>
            <w:r>
              <w:rPr>
                <w:sz w:val="20"/>
              </w:rPr>
              <w:t>Yes, the Doctor who schedules the procedure or Hospital care is responsible for obtaining the Precertification.</w:t>
            </w:r>
          </w:p>
        </w:tc>
        <w:tc>
          <w:tcPr>
            <w:tcW w:w="3330" w:type="dxa"/>
            <w:tcBorders>
              <w:top w:val="single" w:sz="4" w:space="0" w:color="000000"/>
              <w:left w:val="single" w:sz="4" w:space="0" w:color="000000"/>
              <w:bottom w:val="single" w:sz="4" w:space="0" w:color="000000"/>
            </w:tcBorders>
          </w:tcPr>
          <w:p>
            <w:pPr>
              <w:pStyle w:val="TableParagraph"/>
              <w:spacing w:line="230" w:lineRule="auto"/>
              <w:ind w:right="648"/>
              <w:rPr>
                <w:sz w:val="20"/>
              </w:rPr>
            </w:pPr>
            <w:r>
              <w:rPr>
                <w:sz w:val="20"/>
              </w:rPr>
              <w:t>Yes, the Member is responsible for obtaining Precertification.</w:t>
            </w:r>
          </w:p>
        </w:tc>
      </w:tr>
      <w:tr>
        <w:trPr>
          <w:trHeight w:val="1976" w:hRule="atLeast"/>
        </w:trPr>
        <w:tc>
          <w:tcPr>
            <w:tcW w:w="4050" w:type="dxa"/>
            <w:tcBorders>
              <w:top w:val="single" w:sz="4" w:space="0" w:color="000000"/>
              <w:bottom w:val="single" w:sz="4" w:space="0" w:color="000000"/>
              <w:right w:val="single" w:sz="4" w:space="0" w:color="000000"/>
            </w:tcBorders>
          </w:tcPr>
          <w:p>
            <w:pPr>
              <w:pStyle w:val="TableParagraph"/>
              <w:spacing w:line="230" w:lineRule="auto"/>
              <w:ind w:left="459" w:right="272" w:hanging="361"/>
              <w:jc w:val="both"/>
              <w:rPr>
                <w:b/>
                <w:sz w:val="20"/>
              </w:rPr>
            </w:pPr>
            <w:r>
              <w:rPr>
                <w:b/>
                <w:sz w:val="20"/>
              </w:rPr>
              <w:t>37. If the provider charges more for a covered service than the plan normally pays, does the enrollee have to pay the difference?</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rPr>
                <w:sz w:val="20"/>
              </w:rPr>
            </w:pPr>
            <w:r>
              <w:rPr>
                <w:sz w:val="20"/>
              </w:rPr>
              <w:t>No</w:t>
            </w:r>
          </w:p>
        </w:tc>
        <w:tc>
          <w:tcPr>
            <w:tcW w:w="3330" w:type="dxa"/>
            <w:tcBorders>
              <w:top w:val="single" w:sz="4" w:space="0" w:color="000000"/>
              <w:left w:val="single" w:sz="4" w:space="0" w:color="000000"/>
              <w:bottom w:val="single" w:sz="4" w:space="0" w:color="000000"/>
            </w:tcBorders>
          </w:tcPr>
          <w:p>
            <w:pPr>
              <w:pStyle w:val="TableParagraph"/>
              <w:spacing w:line="230" w:lineRule="auto"/>
              <w:ind w:right="77"/>
              <w:rPr>
                <w:sz w:val="20"/>
              </w:rPr>
            </w:pPr>
            <w:r>
              <w:rPr>
                <w:sz w:val="20"/>
              </w:rPr>
              <w:t>Yes, you will be responsible for paying the difference between the Maximum Allowed Amount and the non-participating Provider’s Billed Charges (sometimes called “balance billing”).</w:t>
            </w:r>
          </w:p>
          <w:p>
            <w:pPr>
              <w:pStyle w:val="TableParagraph"/>
              <w:spacing w:before="8"/>
              <w:ind w:left="0"/>
              <w:rPr>
                <w:b/>
                <w:sz w:val="18"/>
              </w:rPr>
            </w:pPr>
          </w:p>
          <w:p>
            <w:pPr>
              <w:pStyle w:val="TableParagraph"/>
              <w:spacing w:line="220" w:lineRule="exact" w:before="1"/>
              <w:ind w:right="284"/>
              <w:jc w:val="both"/>
              <w:rPr>
                <w:sz w:val="20"/>
              </w:rPr>
            </w:pPr>
            <w:r>
              <w:rPr>
                <w:sz w:val="20"/>
              </w:rPr>
              <w:t>The amount you pay for Out-of-Network Covered Services are in addition to your balance billing costs.</w:t>
            </w:r>
          </w:p>
        </w:tc>
      </w:tr>
      <w:tr>
        <w:trPr>
          <w:trHeight w:val="219" w:hRule="atLeast"/>
        </w:trPr>
        <w:tc>
          <w:tcPr>
            <w:tcW w:w="4050" w:type="dxa"/>
            <w:tcBorders>
              <w:top w:val="single" w:sz="4" w:space="0" w:color="000000"/>
              <w:bottom w:val="single" w:sz="4" w:space="0" w:color="000000"/>
              <w:right w:val="single" w:sz="4" w:space="0" w:color="000000"/>
            </w:tcBorders>
          </w:tcPr>
          <w:p>
            <w:pPr>
              <w:pStyle w:val="TableParagraph"/>
              <w:spacing w:line="200" w:lineRule="exact"/>
              <w:ind w:left="99"/>
              <w:rPr>
                <w:b/>
                <w:sz w:val="20"/>
              </w:rPr>
            </w:pPr>
            <w:r>
              <w:rPr>
                <w:b/>
                <w:sz w:val="20"/>
              </w:rPr>
              <w:t>38. What is the main member service number?</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rPr>
                <w:sz w:val="20"/>
              </w:rPr>
            </w:pPr>
            <w:r>
              <w:rPr>
                <w:sz w:val="20"/>
              </w:rPr>
              <w:t>877-833-5734</w:t>
            </w:r>
          </w:p>
        </w:tc>
        <w:tc>
          <w:tcPr>
            <w:tcW w:w="3330" w:type="dxa"/>
            <w:tcBorders>
              <w:top w:val="single" w:sz="4" w:space="0" w:color="000000"/>
              <w:left w:val="single" w:sz="4" w:space="0" w:color="000000"/>
              <w:bottom w:val="single" w:sz="4" w:space="0" w:color="000000"/>
            </w:tcBorders>
          </w:tcPr>
          <w:p>
            <w:pPr>
              <w:pStyle w:val="TableParagraph"/>
              <w:spacing w:line="200" w:lineRule="exact"/>
              <w:rPr>
                <w:sz w:val="20"/>
              </w:rPr>
            </w:pPr>
            <w:r>
              <w:rPr>
                <w:sz w:val="20"/>
              </w:rPr>
              <w:t>877-833-5734</w:t>
            </w:r>
          </w:p>
        </w:tc>
      </w:tr>
      <w:tr>
        <w:trPr>
          <w:trHeight w:val="1098" w:hRule="atLeast"/>
        </w:trPr>
        <w:tc>
          <w:tcPr>
            <w:tcW w:w="4050" w:type="dxa"/>
            <w:tcBorders>
              <w:top w:val="single" w:sz="4" w:space="0" w:color="000000"/>
              <w:bottom w:val="single" w:sz="4" w:space="0" w:color="000000"/>
              <w:right w:val="single" w:sz="4" w:space="0" w:color="000000"/>
            </w:tcBorders>
          </w:tcPr>
          <w:p>
            <w:pPr>
              <w:pStyle w:val="TableParagraph"/>
              <w:spacing w:line="230" w:lineRule="auto"/>
              <w:ind w:left="458" w:right="188" w:hanging="360"/>
              <w:rPr>
                <w:b/>
                <w:sz w:val="20"/>
              </w:rPr>
            </w:pPr>
            <w:r>
              <w:rPr>
                <w:b/>
                <w:sz w:val="20"/>
              </w:rPr>
              <w:t>39. Whom do I write/call if I have a complaint or want to file a grievance?</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right="405"/>
              <w:rPr>
                <w:sz w:val="20"/>
              </w:rPr>
            </w:pPr>
            <w:r>
              <w:rPr>
                <w:sz w:val="20"/>
              </w:rPr>
              <w:t>Anthem Blue Cross and Blue Shield Complaints and Appeals</w:t>
            </w:r>
          </w:p>
          <w:p>
            <w:pPr>
              <w:pStyle w:val="TableParagraph"/>
              <w:spacing w:line="216" w:lineRule="exact"/>
              <w:rPr>
                <w:sz w:val="20"/>
              </w:rPr>
            </w:pPr>
            <w:r>
              <w:rPr>
                <w:sz w:val="20"/>
              </w:rPr>
              <w:t>700 Broadway</w:t>
            </w:r>
          </w:p>
          <w:p>
            <w:pPr>
              <w:pStyle w:val="TableParagraph"/>
              <w:spacing w:line="220" w:lineRule="exact"/>
              <w:rPr>
                <w:sz w:val="20"/>
              </w:rPr>
            </w:pPr>
            <w:r>
              <w:rPr>
                <w:sz w:val="20"/>
              </w:rPr>
              <w:t>Denver, CO 80273</w:t>
            </w:r>
          </w:p>
          <w:p>
            <w:pPr>
              <w:pStyle w:val="TableParagraph"/>
              <w:spacing w:line="207" w:lineRule="exact"/>
              <w:rPr>
                <w:sz w:val="20"/>
              </w:rPr>
            </w:pPr>
            <w:r>
              <w:rPr>
                <w:sz w:val="20"/>
              </w:rPr>
              <w:t>877-833-5734</w:t>
            </w:r>
          </w:p>
        </w:tc>
        <w:tc>
          <w:tcPr>
            <w:tcW w:w="3330" w:type="dxa"/>
            <w:tcBorders>
              <w:top w:val="single" w:sz="4" w:space="0" w:color="000000"/>
              <w:left w:val="single" w:sz="4" w:space="0" w:color="000000"/>
              <w:bottom w:val="single" w:sz="4" w:space="0" w:color="000000"/>
            </w:tcBorders>
          </w:tcPr>
          <w:p>
            <w:pPr>
              <w:pStyle w:val="TableParagraph"/>
              <w:spacing w:line="230" w:lineRule="auto"/>
              <w:ind w:right="575"/>
              <w:rPr>
                <w:sz w:val="20"/>
              </w:rPr>
            </w:pPr>
            <w:r>
              <w:rPr>
                <w:sz w:val="20"/>
              </w:rPr>
              <w:t>Anthem Blue Cross and Blue Shield Complaints and Appeals</w:t>
            </w:r>
          </w:p>
          <w:p>
            <w:pPr>
              <w:pStyle w:val="TableParagraph"/>
              <w:spacing w:line="216" w:lineRule="exact"/>
              <w:rPr>
                <w:sz w:val="20"/>
              </w:rPr>
            </w:pPr>
            <w:r>
              <w:rPr>
                <w:sz w:val="20"/>
              </w:rPr>
              <w:t>700 Broadway</w:t>
            </w:r>
          </w:p>
          <w:p>
            <w:pPr>
              <w:pStyle w:val="TableParagraph"/>
              <w:spacing w:line="220" w:lineRule="exact"/>
              <w:rPr>
                <w:sz w:val="20"/>
              </w:rPr>
            </w:pPr>
            <w:r>
              <w:rPr>
                <w:sz w:val="20"/>
              </w:rPr>
              <w:t>Denver, CO 80273</w:t>
            </w:r>
          </w:p>
          <w:p>
            <w:pPr>
              <w:pStyle w:val="TableParagraph"/>
              <w:spacing w:line="207" w:lineRule="exact"/>
              <w:rPr>
                <w:sz w:val="20"/>
              </w:rPr>
            </w:pPr>
            <w:r>
              <w:rPr>
                <w:sz w:val="20"/>
              </w:rPr>
              <w:t>877-833-5734</w:t>
            </w:r>
          </w:p>
        </w:tc>
      </w:tr>
      <w:tr>
        <w:trPr>
          <w:trHeight w:val="879" w:hRule="atLeast"/>
        </w:trPr>
        <w:tc>
          <w:tcPr>
            <w:tcW w:w="4050" w:type="dxa"/>
            <w:tcBorders>
              <w:top w:val="single" w:sz="4" w:space="0" w:color="000000"/>
              <w:bottom w:val="single" w:sz="4" w:space="0" w:color="000000"/>
              <w:right w:val="single" w:sz="4" w:space="0" w:color="000000"/>
            </w:tcBorders>
          </w:tcPr>
          <w:p>
            <w:pPr>
              <w:pStyle w:val="TableParagraph"/>
              <w:spacing w:line="230" w:lineRule="auto"/>
              <w:ind w:left="458" w:right="188" w:hanging="360"/>
              <w:rPr>
                <w:b/>
                <w:sz w:val="20"/>
              </w:rPr>
            </w:pPr>
            <w:r>
              <w:rPr>
                <w:b/>
                <w:sz w:val="20"/>
              </w:rPr>
              <w:t>40. Whom do I contact if I am not satisfied with the resolution of my complaint or grievance?</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right="124" w:hanging="1"/>
              <w:rPr>
                <w:sz w:val="20"/>
              </w:rPr>
            </w:pPr>
            <w:r>
              <w:rPr>
                <w:sz w:val="20"/>
              </w:rPr>
              <w:t>Write to: Colorado Division of Insurance ICARE Section</w:t>
            </w:r>
          </w:p>
          <w:p>
            <w:pPr>
              <w:pStyle w:val="TableParagraph"/>
              <w:spacing w:line="216" w:lineRule="exact"/>
              <w:rPr>
                <w:sz w:val="20"/>
              </w:rPr>
            </w:pPr>
            <w:r>
              <w:rPr>
                <w:sz w:val="20"/>
              </w:rPr>
              <w:t>1560 Broadway, Suite 850</w:t>
            </w:r>
          </w:p>
          <w:p>
            <w:pPr>
              <w:pStyle w:val="TableParagraph"/>
              <w:spacing w:line="207" w:lineRule="exact"/>
              <w:rPr>
                <w:sz w:val="20"/>
              </w:rPr>
            </w:pPr>
            <w:r>
              <w:rPr>
                <w:sz w:val="20"/>
              </w:rPr>
              <w:t>Denver, CO 80202</w:t>
            </w:r>
          </w:p>
        </w:tc>
        <w:tc>
          <w:tcPr>
            <w:tcW w:w="3330" w:type="dxa"/>
            <w:tcBorders>
              <w:top w:val="single" w:sz="4" w:space="0" w:color="000000"/>
              <w:left w:val="single" w:sz="4" w:space="0" w:color="000000"/>
              <w:bottom w:val="single" w:sz="4" w:space="0" w:color="000000"/>
            </w:tcBorders>
          </w:tcPr>
          <w:p>
            <w:pPr>
              <w:pStyle w:val="TableParagraph"/>
              <w:spacing w:line="230" w:lineRule="auto"/>
              <w:ind w:right="293"/>
              <w:rPr>
                <w:sz w:val="20"/>
              </w:rPr>
            </w:pPr>
            <w:r>
              <w:rPr>
                <w:sz w:val="20"/>
              </w:rPr>
              <w:t>Write to: Colorado Division of Insurance ICARE Section</w:t>
            </w:r>
          </w:p>
          <w:p>
            <w:pPr>
              <w:pStyle w:val="TableParagraph"/>
              <w:spacing w:line="216" w:lineRule="exact"/>
              <w:rPr>
                <w:sz w:val="20"/>
              </w:rPr>
            </w:pPr>
            <w:r>
              <w:rPr>
                <w:sz w:val="20"/>
              </w:rPr>
              <w:t>1560 Broadway, Suite 850</w:t>
            </w:r>
          </w:p>
          <w:p>
            <w:pPr>
              <w:pStyle w:val="TableParagraph"/>
              <w:spacing w:line="207" w:lineRule="exact"/>
              <w:rPr>
                <w:sz w:val="20"/>
              </w:rPr>
            </w:pPr>
            <w:r>
              <w:rPr>
                <w:sz w:val="20"/>
              </w:rPr>
              <w:t>Denver, CO 80202</w:t>
            </w:r>
          </w:p>
        </w:tc>
      </w:tr>
      <w:tr>
        <w:trPr>
          <w:trHeight w:val="879" w:hRule="atLeast"/>
        </w:trPr>
        <w:tc>
          <w:tcPr>
            <w:tcW w:w="4050" w:type="dxa"/>
            <w:tcBorders>
              <w:top w:val="single" w:sz="4" w:space="0" w:color="000000"/>
              <w:bottom w:val="single" w:sz="4" w:space="0" w:color="000000"/>
              <w:right w:val="single" w:sz="4" w:space="0" w:color="000000"/>
            </w:tcBorders>
          </w:tcPr>
          <w:p>
            <w:pPr>
              <w:pStyle w:val="TableParagraph"/>
              <w:spacing w:line="220" w:lineRule="exact"/>
              <w:ind w:left="458" w:right="170" w:hanging="360"/>
              <w:rPr>
                <w:b/>
                <w:sz w:val="20"/>
              </w:rPr>
            </w:pPr>
            <w:r>
              <w:rPr>
                <w:b/>
                <w:sz w:val="20"/>
              </w:rPr>
              <w:t>41. To assist in filing a grievance, indicate the form number of this policy; whether it is individual, small group, or large group; and if it is a short-term policy.</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right="844" w:hanging="1"/>
              <w:rPr>
                <w:sz w:val="20"/>
              </w:rPr>
            </w:pPr>
            <w:r>
              <w:rPr>
                <w:sz w:val="20"/>
              </w:rPr>
              <w:t>Policy form #’s COSGPPOGF Group – Small Group</w:t>
            </w:r>
          </w:p>
        </w:tc>
        <w:tc>
          <w:tcPr>
            <w:tcW w:w="3330" w:type="dxa"/>
            <w:tcBorders>
              <w:top w:val="single" w:sz="4" w:space="0" w:color="000000"/>
              <w:left w:val="single" w:sz="4" w:space="0" w:color="000000"/>
              <w:bottom w:val="single" w:sz="4" w:space="0" w:color="000000"/>
            </w:tcBorders>
          </w:tcPr>
          <w:p>
            <w:pPr>
              <w:pStyle w:val="TableParagraph"/>
              <w:spacing w:line="230" w:lineRule="auto"/>
              <w:ind w:right="1013"/>
              <w:rPr>
                <w:sz w:val="20"/>
              </w:rPr>
            </w:pPr>
            <w:r>
              <w:rPr>
                <w:sz w:val="20"/>
              </w:rPr>
              <w:t>Policy form #’s COSGPPOGF Group – Small Group</w:t>
            </w:r>
          </w:p>
        </w:tc>
      </w:tr>
      <w:tr>
        <w:trPr>
          <w:trHeight w:val="438" w:hRule="atLeast"/>
        </w:trPr>
        <w:tc>
          <w:tcPr>
            <w:tcW w:w="4050" w:type="dxa"/>
            <w:tcBorders>
              <w:top w:val="single" w:sz="4" w:space="0" w:color="000000"/>
              <w:right w:val="single" w:sz="4" w:space="0" w:color="000000"/>
            </w:tcBorders>
          </w:tcPr>
          <w:p>
            <w:pPr>
              <w:pStyle w:val="TableParagraph"/>
              <w:spacing w:line="213" w:lineRule="exact"/>
              <w:ind w:left="99"/>
              <w:rPr>
                <w:b/>
                <w:sz w:val="20"/>
              </w:rPr>
            </w:pPr>
            <w:r>
              <w:rPr>
                <w:b/>
                <w:sz w:val="20"/>
              </w:rPr>
              <w:t>42. Does the plan have a binding arbitration</w:t>
            </w:r>
          </w:p>
          <w:p>
            <w:pPr>
              <w:pStyle w:val="TableParagraph"/>
              <w:spacing w:line="206" w:lineRule="exact"/>
              <w:ind w:left="459"/>
              <w:rPr>
                <w:b/>
                <w:sz w:val="20"/>
              </w:rPr>
            </w:pPr>
            <w:r>
              <w:rPr>
                <w:b/>
                <w:sz w:val="20"/>
              </w:rPr>
              <w:t>clause?</w:t>
            </w:r>
          </w:p>
        </w:tc>
        <w:tc>
          <w:tcPr>
            <w:tcW w:w="3150" w:type="dxa"/>
            <w:tcBorders>
              <w:top w:val="single" w:sz="4" w:space="0" w:color="000000"/>
              <w:left w:val="single" w:sz="4" w:space="0" w:color="000000"/>
              <w:right w:val="single" w:sz="4" w:space="0" w:color="000000"/>
            </w:tcBorders>
          </w:tcPr>
          <w:p>
            <w:pPr>
              <w:pStyle w:val="TableParagraph"/>
              <w:spacing w:line="217" w:lineRule="exact"/>
              <w:rPr>
                <w:sz w:val="20"/>
              </w:rPr>
            </w:pPr>
            <w:r>
              <w:rPr>
                <w:sz w:val="20"/>
              </w:rPr>
              <w:t>Yes</w:t>
            </w:r>
          </w:p>
        </w:tc>
        <w:tc>
          <w:tcPr>
            <w:tcW w:w="3330" w:type="dxa"/>
            <w:tcBorders>
              <w:top w:val="single" w:sz="4" w:space="0" w:color="000000"/>
              <w:left w:val="single" w:sz="4" w:space="0" w:color="000000"/>
            </w:tcBorders>
          </w:tcPr>
          <w:p>
            <w:pPr>
              <w:pStyle w:val="TableParagraph"/>
              <w:spacing w:line="217" w:lineRule="exact"/>
              <w:rPr>
                <w:sz w:val="20"/>
              </w:rPr>
            </w:pPr>
            <w:r>
              <w:rPr>
                <w:sz w:val="20"/>
              </w:rPr>
              <w:t>Yes</w:t>
            </w:r>
          </w:p>
        </w:tc>
      </w:tr>
    </w:tbl>
    <w:p>
      <w:pPr>
        <w:spacing w:line="240" w:lineRule="auto" w:before="0"/>
        <w:rPr>
          <w:b/>
          <w:sz w:val="20"/>
        </w:rPr>
      </w:pPr>
    </w:p>
    <w:p>
      <w:pPr>
        <w:spacing w:line="240" w:lineRule="auto" w:before="10"/>
        <w:rPr>
          <w:b/>
          <w:sz w:val="20"/>
        </w:rPr>
      </w:pPr>
    </w:p>
    <w:p>
      <w:pPr>
        <w:spacing w:before="1"/>
        <w:ind w:left="379" w:right="605" w:firstLine="0"/>
        <w:jc w:val="left"/>
        <w:rPr>
          <w:sz w:val="19"/>
        </w:rPr>
      </w:pPr>
      <w:r>
        <w:rPr>
          <w:position w:val="5"/>
          <w:sz w:val="12"/>
        </w:rPr>
        <w:t>1 </w:t>
      </w:r>
      <w:r>
        <w:rPr>
          <w:sz w:val="19"/>
        </w:rPr>
        <w:t>“Network” refers to a specified group of physicians, hospitals, medical clinics and other health care providers that your plan may require you to use in order for you to get any coverage at all under the plan, or that the plan may encourage you to use because it may pay more of your bill if you use their network providers (i.e., go in-network) than if you don’t (i.e., go out-of-network).</w:t>
      </w:r>
    </w:p>
    <w:p>
      <w:pPr>
        <w:spacing w:line="240" w:lineRule="auto" w:before="1"/>
        <w:rPr>
          <w:sz w:val="19"/>
        </w:rPr>
      </w:pPr>
    </w:p>
    <w:p>
      <w:pPr>
        <w:pStyle w:val="BodyText"/>
        <w:ind w:left="380" w:right="605" w:hanging="1"/>
        <w:rPr>
          <w:rFonts w:ascii="Arial Narrow" w:hAnsi="Arial Narrow"/>
        </w:rPr>
      </w:pPr>
      <w:r>
        <w:rPr>
          <w:rFonts w:ascii="Arial Narrow" w:hAnsi="Arial Narrow"/>
          <w:position w:val="5"/>
          <w:sz w:val="13"/>
        </w:rPr>
        <w:t>2 </w:t>
      </w:r>
      <w:r>
        <w:rPr>
          <w:rFonts w:ascii="Arial Narrow" w:hAnsi="Arial Narrow"/>
        </w:rPr>
        <w:t>“Deductible Type” indicates whether the deductible period is “Calendar Year” (January 1 through December 31) or “Benefit Year” (i.e., based on a benefit year beginning on the policy’s anniversary date) or if the deductible is based on other requirements such as a “Per Accident or Injury” or “Per Confinement.”</w:t>
      </w:r>
    </w:p>
    <w:p>
      <w:pPr>
        <w:spacing w:line="240" w:lineRule="auto" w:before="4"/>
        <w:rPr>
          <w:sz w:val="20"/>
        </w:rPr>
      </w:pPr>
    </w:p>
    <w:p>
      <w:pPr>
        <w:pStyle w:val="BodyText"/>
        <w:ind w:left="379" w:right="605"/>
        <w:rPr>
          <w:rFonts w:ascii="Arial Narrow" w:hAnsi="Arial Narrow"/>
        </w:rPr>
      </w:pPr>
      <w:r>
        <w:rPr>
          <w:rFonts w:ascii="Arial Narrow" w:hAnsi="Arial Narrow"/>
          <w:position w:val="5"/>
          <w:sz w:val="13"/>
        </w:rPr>
        <w:t>2a </w:t>
      </w:r>
      <w:r>
        <w:rPr>
          <w:rFonts w:ascii="Arial Narrow" w:hAnsi="Arial Narrow"/>
        </w:rPr>
        <w:t>“Deductible” means the amount you will have to pay for allowable covered expenses under a health plan during a specified time period (e.g., a calendar year or benefit year) before the carrier will cover those expenses. The specific expenses that are subject to deductible may vary by policy. Expenses that are subject to deductible should be noted in boxes 8 through 30.</w:t>
      </w:r>
    </w:p>
    <w:p>
      <w:pPr>
        <w:spacing w:line="240" w:lineRule="auto" w:before="4"/>
        <w:rPr>
          <w:sz w:val="20"/>
        </w:rPr>
      </w:pPr>
    </w:p>
    <w:p>
      <w:pPr>
        <w:pStyle w:val="BodyText"/>
        <w:ind w:left="379" w:right="775"/>
        <w:jc w:val="both"/>
        <w:rPr>
          <w:rFonts w:ascii="Arial Narrow" w:hAnsi="Arial Narrow"/>
        </w:rPr>
      </w:pPr>
      <w:r>
        <w:rPr>
          <w:rFonts w:ascii="Arial Narrow" w:hAnsi="Arial Narrow"/>
          <w:position w:val="5"/>
          <w:sz w:val="13"/>
        </w:rPr>
        <w:t>2b </w:t>
      </w:r>
      <w:r>
        <w:rPr>
          <w:rFonts w:ascii="Arial Narrow" w:hAnsi="Arial Narrow"/>
        </w:rPr>
        <w:t>“Individual” means the deductible amount you and each individual covered by a non-HSA qualified policy will have to pay for allowable covered expenses before the carrier will cover those expenses. “Single” means the deductible amount you will have to pay for allowable covered expenses under an HSA-qualified health plan when you are the only individual covered by the plan.</w:t>
      </w:r>
    </w:p>
    <w:p>
      <w:pPr>
        <w:spacing w:line="240" w:lineRule="auto" w:before="3"/>
        <w:rPr>
          <w:sz w:val="20"/>
        </w:rPr>
      </w:pPr>
    </w:p>
    <w:p>
      <w:pPr>
        <w:pStyle w:val="BodyText"/>
        <w:ind w:left="379" w:right="660"/>
        <w:rPr>
          <w:rFonts w:ascii="Arial Narrow" w:hAnsi="Arial Narrow"/>
        </w:rPr>
      </w:pPr>
      <w:r>
        <w:rPr>
          <w:rFonts w:ascii="Arial Narrow" w:hAnsi="Arial Narrow"/>
          <w:position w:val="5"/>
          <w:sz w:val="13"/>
        </w:rPr>
        <w:t>2c </w:t>
      </w:r>
      <w:r>
        <w:rPr>
          <w:rFonts w:ascii="Arial Narrow" w:hAnsi="Arial Narrow"/>
        </w:rPr>
        <w:t>“Family” is the maximum deductible amount that is required to be met for all family members covered by a non-HSA qualified policy and it may be an aggregated amount (e.g., “$3000 per family”) or specified as the number of individual deductibles that must be met (e.g., “3 deductibles per family”). “Non-single” is the deductible amount that must be met by one or more family members covered by an HSA- qualified plan before any covered expenses are paid.</w:t>
      </w:r>
    </w:p>
    <w:p>
      <w:pPr>
        <w:spacing w:line="240" w:lineRule="auto" w:before="5"/>
        <w:rPr>
          <w:sz w:val="20"/>
        </w:rPr>
      </w:pPr>
    </w:p>
    <w:p>
      <w:pPr>
        <w:pStyle w:val="BodyText"/>
        <w:ind w:left="380"/>
        <w:rPr>
          <w:rFonts w:ascii="Arial Narrow" w:hAnsi="Arial Narrow"/>
        </w:rPr>
      </w:pPr>
      <w:r>
        <w:rPr/>
        <w:pict>
          <v:rect style="position:absolute;margin-left:152.279999pt;margin-top:10.450114pt;width:2.280pt;height:.72pt;mso-position-horizontal-relative:page;mso-position-vertical-relative:paragraph;z-index:0" filled="true" fillcolor="#000000" stroked="false">
            <v:fill type="solid"/>
            <w10:wrap type="none"/>
          </v:rect>
        </w:pict>
      </w:r>
      <w:r>
        <w:rPr>
          <w:rFonts w:ascii="Arial Narrow" w:hAnsi="Arial Narrow"/>
          <w:position w:val="5"/>
          <w:sz w:val="13"/>
        </w:rPr>
        <w:t>3 </w:t>
      </w:r>
      <w:r>
        <w:rPr>
          <w:rFonts w:ascii="Arial Narrow" w:hAnsi="Arial Narrow"/>
        </w:rPr>
        <w:t>“Out-of-pocket maximum” means the maximum amount you will have to pay for allowable covered expenses under a health plan.</w:t>
      </w:r>
    </w:p>
    <w:p>
      <w:pPr>
        <w:spacing w:line="240" w:lineRule="auto" w:before="5"/>
        <w:rPr>
          <w:sz w:val="11"/>
        </w:rPr>
      </w:pPr>
    </w:p>
    <w:p>
      <w:pPr>
        <w:pStyle w:val="BodyText"/>
        <w:spacing w:before="100"/>
        <w:ind w:left="380"/>
        <w:rPr>
          <w:rFonts w:ascii="Arial Narrow"/>
        </w:rPr>
      </w:pPr>
      <w:r>
        <w:rPr>
          <w:rFonts w:ascii="Arial Narrow"/>
          <w:position w:val="5"/>
          <w:sz w:val="13"/>
        </w:rPr>
        <w:t>4 </w:t>
      </w:r>
      <w:r>
        <w:rPr>
          <w:rFonts w:ascii="Arial Narrow"/>
        </w:rPr>
        <w:t>Medical office visits include physician, mid-level practitioner, and specialist visits.</w:t>
      </w:r>
    </w:p>
    <w:p>
      <w:pPr>
        <w:spacing w:line="240" w:lineRule="auto" w:before="2"/>
        <w:rPr>
          <w:sz w:val="20"/>
        </w:rPr>
      </w:pPr>
    </w:p>
    <w:p>
      <w:pPr>
        <w:pStyle w:val="BodyText"/>
        <w:ind w:left="380"/>
        <w:rPr>
          <w:rFonts w:ascii="Arial Narrow"/>
        </w:rPr>
      </w:pPr>
      <w:r>
        <w:rPr>
          <w:rFonts w:ascii="Arial Narrow"/>
          <w:position w:val="5"/>
          <w:sz w:val="13"/>
        </w:rPr>
        <w:t>5 </w:t>
      </w:r>
      <w:r>
        <w:rPr>
          <w:rFonts w:ascii="Arial Narrow"/>
        </w:rPr>
        <w:t>Well baby care includes an in-hospital newborn pediatric visit and newborn hearing screening. The hospital copayment applies to mother</w:t>
      </w:r>
    </w:p>
    <w:p>
      <w:pPr>
        <w:spacing w:after="0"/>
        <w:rPr>
          <w:rFonts w:ascii="Arial Narrow"/>
        </w:rPr>
        <w:sectPr>
          <w:pgSz w:w="12240" w:h="15840"/>
          <w:pgMar w:header="0" w:footer="811" w:top="720" w:bottom="1080" w:left="700" w:right="520"/>
        </w:sectPr>
      </w:pPr>
    </w:p>
    <w:p>
      <w:pPr>
        <w:pStyle w:val="BodyText"/>
        <w:spacing w:before="81"/>
        <w:ind w:left="379"/>
        <w:rPr>
          <w:rFonts w:ascii="Arial Narrow"/>
        </w:rPr>
      </w:pPr>
      <w:r>
        <w:rPr>
          <w:rFonts w:ascii="Arial Narrow"/>
        </w:rPr>
        <w:t>and well-baby together: there are not separate copayments.</w:t>
      </w:r>
    </w:p>
    <w:p>
      <w:pPr>
        <w:spacing w:line="240" w:lineRule="auto" w:before="1"/>
        <w:rPr>
          <w:sz w:val="20"/>
        </w:rPr>
      </w:pPr>
    </w:p>
    <w:p>
      <w:pPr>
        <w:pStyle w:val="BodyText"/>
        <w:spacing w:before="1"/>
        <w:ind w:left="380"/>
        <w:rPr>
          <w:rFonts w:ascii="Arial Narrow"/>
        </w:rPr>
      </w:pPr>
      <w:r>
        <w:rPr>
          <w:rFonts w:ascii="Arial Narrow"/>
          <w:position w:val="5"/>
          <w:sz w:val="13"/>
        </w:rPr>
        <w:t>6 </w:t>
      </w:r>
      <w:r>
        <w:rPr>
          <w:rFonts w:ascii="Arial Narrow"/>
        </w:rPr>
        <w:t>Prescription drugs otherwise excluded are not covered, regardless of whether preferred generic, preferred brand name, or non-preferred.</w:t>
      </w:r>
    </w:p>
    <w:p>
      <w:pPr>
        <w:spacing w:line="240" w:lineRule="auto" w:before="1"/>
        <w:rPr>
          <w:sz w:val="20"/>
        </w:rPr>
      </w:pPr>
    </w:p>
    <w:p>
      <w:pPr>
        <w:pStyle w:val="BodyText"/>
        <w:ind w:left="380" w:right="567" w:hanging="1"/>
        <w:rPr>
          <w:rFonts w:ascii="Arial Narrow" w:hAnsi="Arial Narrow"/>
        </w:rPr>
      </w:pPr>
      <w:r>
        <w:rPr>
          <w:rFonts w:ascii="Arial Narrow" w:hAnsi="Arial Narrow"/>
          <w:position w:val="5"/>
          <w:sz w:val="13"/>
        </w:rPr>
        <w:t>7 </w:t>
      </w:r>
      <w:r>
        <w:rPr>
          <w:rFonts w:ascii="Arial Narrow" w:hAnsi="Arial Narrow"/>
        </w:rPr>
        <w:t>“Emergency care” means all services delivered in an emergency care facility that are necessary to screen and stabilize a covered person. The plan must cover this care if a prudent lay person having average knowledge of health services and medicine and acting reasonably would have believed that an emergency medical condition or life- or limb threatening emergency existed.</w:t>
      </w:r>
    </w:p>
    <w:p>
      <w:pPr>
        <w:spacing w:after="0"/>
        <w:rPr>
          <w:rFonts w:ascii="Arial Narrow" w:hAnsi="Arial Narrow"/>
        </w:rPr>
        <w:sectPr>
          <w:pgSz w:w="12240" w:h="15840"/>
          <w:pgMar w:header="0" w:footer="811" w:top="640" w:bottom="1080" w:left="700" w:right="520"/>
        </w:sectPr>
      </w:pPr>
    </w:p>
    <w:p>
      <w:pPr>
        <w:spacing w:before="65"/>
        <w:ind w:left="3905" w:right="0" w:firstLine="0"/>
        <w:jc w:val="left"/>
        <w:rPr>
          <w:rFonts w:ascii="Arial"/>
          <w:b/>
          <w:sz w:val="24"/>
        </w:rPr>
      </w:pPr>
      <w:r>
        <w:rPr>
          <w:rFonts w:ascii="Arial"/>
          <w:b/>
          <w:sz w:val="24"/>
        </w:rPr>
        <w:t>Grandfathered Health Plan</w:t>
      </w:r>
    </w:p>
    <w:p>
      <w:pPr>
        <w:pStyle w:val="BodyText"/>
        <w:spacing w:before="159"/>
        <w:ind w:left="380" w:right="557"/>
        <w:jc w:val="both"/>
      </w:pPr>
      <w:r>
        <w:rPr/>
        <w:t>Anthem Blue Cross and Blue Shield and HMO Colorado believes this is a “grandfathered health plan” under the Patient Protection and Affordable Care Act (the Affordable Care Act). As permitted by the Affordable Care Act, a grandfathered health plan can preserve certain basic health coverage that was already in effect when that law was enacted. Being a grandfathered plan means that your Booklet may not include certain consumer protections of the Affordable Care Act that apply to other plans, for example, the requirement for the provision of preventive health services without any cost sharing. However, grandfathered health plans must comply with certain other consumer protections in the Affordable Care Act, for example, the elimination of lifetime limits on</w:t>
      </w:r>
      <w:r>
        <w:rPr>
          <w:spacing w:val="-36"/>
        </w:rPr>
        <w:t> </w:t>
      </w:r>
      <w:r>
        <w:rPr/>
        <w:t>benefits.</w:t>
      </w:r>
    </w:p>
    <w:p>
      <w:pPr>
        <w:pStyle w:val="BodyText"/>
        <w:spacing w:before="3"/>
      </w:pPr>
    </w:p>
    <w:p>
      <w:pPr>
        <w:pStyle w:val="BodyText"/>
        <w:ind w:left="379" w:right="558"/>
        <w:jc w:val="both"/>
      </w:pPr>
      <w:r>
        <w:rPr/>
        <w:t>Questions regarding which protections apply and which protections do not apply to a grandfathered health plan and what might cause a plan to change from grandfathered health plan status can be directed to the plan administrator.</w:t>
      </w:r>
    </w:p>
    <w:p>
      <w:pPr>
        <w:spacing w:after="0"/>
        <w:jc w:val="both"/>
        <w:sectPr>
          <w:footerReference w:type="default" r:id="rId7"/>
          <w:pgSz w:w="12240" w:h="15840"/>
          <w:pgMar w:footer="749" w:header="0" w:top="720" w:bottom="940" w:left="700" w:right="520"/>
          <w:pgNumType w:start="10"/>
        </w:sectPr>
      </w:pPr>
    </w:p>
    <w:p>
      <w:pPr>
        <w:pStyle w:val="Heading1"/>
        <w:spacing w:line="240" w:lineRule="auto" w:before="85"/>
        <w:ind w:left="4382" w:right="0"/>
        <w:jc w:val="left"/>
      </w:pPr>
      <w:r>
        <w:rPr/>
        <w:t>Cancer Screenings</w:t>
      </w:r>
    </w:p>
    <w:p>
      <w:pPr>
        <w:pStyle w:val="BodyText"/>
        <w:spacing w:before="234"/>
        <w:ind w:left="379" w:right="557"/>
        <w:jc w:val="both"/>
      </w:pPr>
      <w:r>
        <w:rPr/>
        <w:t>At Anthem Blue Cross and Blue Shield and Our subsidiary company, HMO Colorado, Inc., We believe cancer screenings provide important preventive care that supports Our mission: to improve the lives of the people We serve and the health of Our communities. We cover cancer screenings as described below.</w:t>
      </w:r>
    </w:p>
    <w:p>
      <w:pPr>
        <w:pStyle w:val="BodyText"/>
        <w:spacing w:before="6"/>
      </w:pPr>
    </w:p>
    <w:p>
      <w:pPr>
        <w:pStyle w:val="Heading2"/>
        <w:spacing w:line="230" w:lineRule="exact"/>
        <w:ind w:left="379"/>
      </w:pPr>
      <w:r>
        <w:rPr/>
        <w:t>Pap Tests</w:t>
      </w:r>
    </w:p>
    <w:p>
      <w:pPr>
        <w:pStyle w:val="BodyText"/>
        <w:ind w:left="379" w:right="557"/>
        <w:jc w:val="both"/>
      </w:pPr>
      <w:r>
        <w:rPr/>
        <w:t>All plans provide coverage under the preventive care benefits for a routine annual Pap test and the related office visit. Payment for the routine Pap test is based on the plan’s provisions for preventive care. Payment for the related office visit is based on the plan’s preventive care provisions.</w:t>
      </w:r>
    </w:p>
    <w:p>
      <w:pPr>
        <w:pStyle w:val="BodyText"/>
        <w:spacing w:before="6"/>
      </w:pPr>
    </w:p>
    <w:p>
      <w:pPr>
        <w:pStyle w:val="Heading2"/>
        <w:spacing w:line="230" w:lineRule="exact"/>
      </w:pPr>
      <w:r>
        <w:rPr/>
        <w:t>Mammogram Screenings</w:t>
      </w:r>
    </w:p>
    <w:p>
      <w:pPr>
        <w:pStyle w:val="BodyText"/>
        <w:ind w:left="380" w:right="558"/>
        <w:jc w:val="both"/>
      </w:pPr>
      <w:r>
        <w:rPr/>
        <w:t>All plans provide coverage under the preventive care benefits for routine screening or diagnostic mammogram regardless of age. Payment for the mammogram screening benefit is based on the plan’s provisions for preventive</w:t>
      </w:r>
      <w:r>
        <w:rPr>
          <w:spacing w:val="-2"/>
        </w:rPr>
        <w:t> </w:t>
      </w:r>
      <w:r>
        <w:rPr/>
        <w:t>care.</w:t>
      </w:r>
    </w:p>
    <w:p>
      <w:pPr>
        <w:pStyle w:val="BodyText"/>
        <w:spacing w:before="6"/>
      </w:pPr>
    </w:p>
    <w:p>
      <w:pPr>
        <w:pStyle w:val="Heading2"/>
        <w:spacing w:line="230" w:lineRule="exact"/>
      </w:pPr>
      <w:r>
        <w:rPr/>
        <w:t>Prostate Cancer Screenings</w:t>
      </w:r>
    </w:p>
    <w:p>
      <w:pPr>
        <w:pStyle w:val="BodyText"/>
        <w:ind w:left="380" w:right="558"/>
        <w:jc w:val="both"/>
      </w:pPr>
      <w:r>
        <w:rPr/>
        <w:t>All plans provide coverage under the preventive care benefits for routine prostate cancer screening for men. Payment for the prostate cancer screening is based on the plan’s provisions for preventive care.</w:t>
      </w:r>
    </w:p>
    <w:p>
      <w:pPr>
        <w:pStyle w:val="BodyText"/>
        <w:spacing w:before="10"/>
      </w:pPr>
    </w:p>
    <w:p>
      <w:pPr>
        <w:pStyle w:val="Heading2"/>
        <w:spacing w:line="230" w:lineRule="exact"/>
      </w:pPr>
      <w:r>
        <w:rPr/>
        <w:t>Colorectal Cancer Screenings</w:t>
      </w:r>
    </w:p>
    <w:p>
      <w:pPr>
        <w:pStyle w:val="BodyText"/>
        <w:ind w:left="380" w:right="557"/>
        <w:jc w:val="both"/>
      </w:pPr>
      <w:r>
        <w:rPr/>
        <w:t>Several types of colorectal cancer screening methods exist. All plans provide coverage for routine colorectal cancer screenings, such as fecal occult blood tests, barium enema, sigmoidoscopies and colonoscopies. Depending on the type of colorectal cancer screening received, payment for the benefit is based on where the services are rendered and if rendered as a screening or medical procedure. Colorectal cancer screenings are covered under preventive care as long as the services provided are for a preventive screening. Payment for preventive colorectal cancer screenings is based on the plan’s provisions for preventive care.</w:t>
      </w:r>
    </w:p>
    <w:p>
      <w:pPr>
        <w:spacing w:after="0"/>
        <w:jc w:val="both"/>
        <w:sectPr>
          <w:pgSz w:w="12240" w:h="15840"/>
          <w:pgMar w:header="0" w:footer="749" w:top="1380" w:bottom="940" w:left="700" w:right="520"/>
        </w:sectPr>
      </w:pPr>
    </w:p>
    <w:p>
      <w:pPr>
        <w:spacing w:line="244" w:lineRule="auto" w:before="65"/>
        <w:ind w:left="3945" w:right="4035" w:firstLine="871"/>
        <w:jc w:val="left"/>
        <w:rPr>
          <w:rFonts w:ascii="Arial"/>
          <w:b/>
          <w:sz w:val="22"/>
        </w:rPr>
      </w:pPr>
      <w:r>
        <w:rPr>
          <w:rFonts w:ascii="Arial"/>
          <w:b/>
          <w:sz w:val="22"/>
        </w:rPr>
        <w:t>NOTICE OF PROTECTION PROVIDED BY</w:t>
      </w:r>
    </w:p>
    <w:p>
      <w:pPr>
        <w:spacing w:before="0"/>
        <w:ind w:left="2247" w:right="0" w:firstLine="0"/>
        <w:jc w:val="left"/>
        <w:rPr>
          <w:rFonts w:ascii="Arial"/>
          <w:b/>
          <w:sz w:val="22"/>
        </w:rPr>
      </w:pPr>
      <w:r>
        <w:rPr>
          <w:rFonts w:ascii="Arial"/>
          <w:b/>
          <w:sz w:val="22"/>
        </w:rPr>
        <w:t>LIFE AND HEALTH INSURANCE PROTECTION ASSOCIATION</w:t>
      </w:r>
    </w:p>
    <w:p>
      <w:pPr>
        <w:pStyle w:val="BodyText"/>
        <w:rPr>
          <w:b/>
          <w:sz w:val="24"/>
        </w:rPr>
      </w:pPr>
    </w:p>
    <w:p>
      <w:pPr>
        <w:pStyle w:val="BodyText"/>
        <w:spacing w:before="162"/>
        <w:ind w:left="595" w:right="774"/>
        <w:jc w:val="both"/>
      </w:pPr>
      <w:r>
        <w:rPr>
          <w:spacing w:val="-3"/>
        </w:rPr>
        <w:t>This </w:t>
      </w:r>
      <w:r>
        <w:rPr>
          <w:spacing w:val="-4"/>
        </w:rPr>
        <w:t>notice provides </w:t>
      </w:r>
      <w:r>
        <w:rPr/>
        <w:t>a </w:t>
      </w:r>
      <w:r>
        <w:rPr>
          <w:b/>
          <w:spacing w:val="-4"/>
        </w:rPr>
        <w:t>brief </w:t>
      </w:r>
      <w:r>
        <w:rPr>
          <w:b/>
          <w:spacing w:val="-3"/>
        </w:rPr>
        <w:t>summary </w:t>
      </w:r>
      <w:r>
        <w:rPr/>
        <w:t>of </w:t>
      </w:r>
      <w:r>
        <w:rPr>
          <w:spacing w:val="-3"/>
        </w:rPr>
        <w:t>the Life and </w:t>
      </w:r>
      <w:r>
        <w:rPr>
          <w:spacing w:val="-4"/>
        </w:rPr>
        <w:t>Health </w:t>
      </w:r>
      <w:r>
        <w:rPr>
          <w:spacing w:val="-3"/>
        </w:rPr>
        <w:t>Insurance </w:t>
      </w:r>
      <w:r>
        <w:rPr>
          <w:spacing w:val="-4"/>
        </w:rPr>
        <w:t>Protection  Association  </w:t>
      </w:r>
      <w:r>
        <w:rPr>
          <w:spacing w:val="-3"/>
        </w:rPr>
        <w:t>(“the </w:t>
      </w:r>
      <w:r>
        <w:rPr>
          <w:spacing w:val="-4"/>
        </w:rPr>
        <w:t>Association”) </w:t>
      </w:r>
      <w:r>
        <w:rPr>
          <w:spacing w:val="-3"/>
        </w:rPr>
        <w:t>and the </w:t>
      </w:r>
      <w:r>
        <w:rPr>
          <w:spacing w:val="-4"/>
        </w:rPr>
        <w:t>protection </w:t>
      </w:r>
      <w:r>
        <w:rPr>
          <w:spacing w:val="-3"/>
        </w:rPr>
        <w:t>it </w:t>
      </w:r>
      <w:r>
        <w:rPr>
          <w:spacing w:val="-4"/>
        </w:rPr>
        <w:t>provides </w:t>
      </w:r>
      <w:r>
        <w:rPr>
          <w:spacing w:val="-3"/>
        </w:rPr>
        <w:t>for </w:t>
      </w:r>
      <w:r>
        <w:rPr>
          <w:spacing w:val="-4"/>
        </w:rPr>
        <w:t>policyholders. </w:t>
      </w:r>
      <w:r>
        <w:rPr>
          <w:spacing w:val="-3"/>
        </w:rPr>
        <w:t>This safety net was </w:t>
      </w:r>
      <w:r>
        <w:rPr>
          <w:spacing w:val="-4"/>
        </w:rPr>
        <w:t>created under </w:t>
      </w:r>
      <w:r>
        <w:rPr>
          <w:spacing w:val="-3"/>
        </w:rPr>
        <w:t>Colorado </w:t>
      </w:r>
      <w:r>
        <w:rPr>
          <w:spacing w:val="-4"/>
        </w:rPr>
        <w:t>law, </w:t>
      </w:r>
      <w:r>
        <w:rPr>
          <w:spacing w:val="-3"/>
        </w:rPr>
        <w:t>which determines </w:t>
      </w:r>
      <w:r>
        <w:rPr/>
        <w:t>who </w:t>
      </w:r>
      <w:r>
        <w:rPr>
          <w:spacing w:val="-3"/>
        </w:rPr>
        <w:t>and what </w:t>
      </w:r>
      <w:r>
        <w:rPr/>
        <w:t>is </w:t>
      </w:r>
      <w:r>
        <w:rPr>
          <w:spacing w:val="-3"/>
        </w:rPr>
        <w:t>covered and </w:t>
      </w:r>
      <w:r>
        <w:rPr/>
        <w:t>the </w:t>
      </w:r>
      <w:r>
        <w:rPr>
          <w:spacing w:val="-3"/>
        </w:rPr>
        <w:t>amounts </w:t>
      </w:r>
      <w:r>
        <w:rPr/>
        <w:t>of</w:t>
      </w:r>
      <w:r>
        <w:rPr>
          <w:spacing w:val="-15"/>
        </w:rPr>
        <w:t> </w:t>
      </w:r>
      <w:r>
        <w:rPr>
          <w:spacing w:val="-4"/>
        </w:rPr>
        <w:t>coverage.</w:t>
      </w:r>
    </w:p>
    <w:p>
      <w:pPr>
        <w:pStyle w:val="BodyText"/>
        <w:spacing w:before="161"/>
        <w:ind w:left="595" w:right="773" w:hanging="1"/>
        <w:jc w:val="both"/>
      </w:pPr>
      <w:r>
        <w:rPr/>
        <w:t>The Association was established to provide protection in the unlikely event that your life, annuity or </w:t>
      </w:r>
      <w:r>
        <w:rPr>
          <w:spacing w:val="-4"/>
        </w:rPr>
        <w:t>health </w:t>
      </w:r>
      <w:r>
        <w:rPr>
          <w:spacing w:val="-3"/>
        </w:rPr>
        <w:t>insurance </w:t>
      </w:r>
      <w:r>
        <w:rPr/>
        <w:t>company </w:t>
      </w:r>
      <w:r>
        <w:rPr>
          <w:spacing w:val="-3"/>
        </w:rPr>
        <w:t>becomes financially </w:t>
      </w:r>
      <w:r>
        <w:rPr>
          <w:spacing w:val="-4"/>
        </w:rPr>
        <w:t>unable </w:t>
      </w:r>
      <w:r>
        <w:rPr/>
        <w:t>to meet </w:t>
      </w:r>
      <w:r>
        <w:rPr>
          <w:spacing w:val="-3"/>
        </w:rPr>
        <w:t>its </w:t>
      </w:r>
      <w:r>
        <w:rPr>
          <w:spacing w:val="-4"/>
        </w:rPr>
        <w:t>obligations </w:t>
      </w:r>
      <w:r>
        <w:rPr>
          <w:spacing w:val="-3"/>
        </w:rPr>
        <w:t>and </w:t>
      </w:r>
      <w:r>
        <w:rPr/>
        <w:t>is </w:t>
      </w:r>
      <w:r>
        <w:rPr>
          <w:spacing w:val="-3"/>
        </w:rPr>
        <w:t>taken </w:t>
      </w:r>
      <w:r>
        <w:rPr/>
        <w:t>over by </w:t>
      </w:r>
      <w:r>
        <w:rPr>
          <w:spacing w:val="-3"/>
        </w:rPr>
        <w:t>its Insurance Department. </w:t>
      </w:r>
      <w:r>
        <w:rPr/>
        <w:t>If this </w:t>
      </w:r>
      <w:r>
        <w:rPr>
          <w:spacing w:val="-3"/>
        </w:rPr>
        <w:t>should happen, the Association  will typically  arrange </w:t>
      </w:r>
      <w:r>
        <w:rPr/>
        <w:t>to </w:t>
      </w:r>
      <w:r>
        <w:rPr>
          <w:spacing w:val="-3"/>
        </w:rPr>
        <w:t>continue  coverage </w:t>
      </w:r>
      <w:r>
        <w:rPr>
          <w:spacing w:val="-6"/>
        </w:rPr>
        <w:t>and pay </w:t>
      </w:r>
      <w:r>
        <w:rPr>
          <w:spacing w:val="-7"/>
        </w:rPr>
        <w:t>claims, </w:t>
      </w:r>
      <w:r>
        <w:rPr>
          <w:spacing w:val="-5"/>
        </w:rPr>
        <w:t>in </w:t>
      </w:r>
      <w:r>
        <w:rPr>
          <w:spacing w:val="-7"/>
        </w:rPr>
        <w:t>accordance with Colorado law, with funding </w:t>
      </w:r>
      <w:r>
        <w:rPr>
          <w:spacing w:val="-6"/>
        </w:rPr>
        <w:t>from </w:t>
      </w:r>
      <w:r>
        <w:rPr>
          <w:spacing w:val="-8"/>
        </w:rPr>
        <w:t>assessments </w:t>
      </w:r>
      <w:r>
        <w:rPr>
          <w:spacing w:val="-7"/>
        </w:rPr>
        <w:t>paid </w:t>
      </w:r>
      <w:r>
        <w:rPr>
          <w:spacing w:val="-5"/>
        </w:rPr>
        <w:t>by </w:t>
      </w:r>
      <w:r>
        <w:rPr>
          <w:spacing w:val="-7"/>
        </w:rPr>
        <w:t>other </w:t>
      </w:r>
      <w:r>
        <w:rPr>
          <w:spacing w:val="-8"/>
        </w:rPr>
        <w:t>insurance</w:t>
      </w:r>
      <w:r>
        <w:rPr>
          <w:spacing w:val="-32"/>
        </w:rPr>
        <w:t> </w:t>
      </w:r>
      <w:r>
        <w:rPr/>
        <w:t>companies.</w:t>
      </w:r>
    </w:p>
    <w:p>
      <w:pPr>
        <w:pStyle w:val="BodyText"/>
        <w:spacing w:before="162"/>
        <w:ind w:left="595"/>
        <w:jc w:val="both"/>
      </w:pPr>
      <w:r>
        <w:rPr/>
        <w:t>The basic protections provided by the Association are:</w:t>
      </w:r>
    </w:p>
    <w:p>
      <w:pPr>
        <w:pStyle w:val="ListParagraph"/>
        <w:numPr>
          <w:ilvl w:val="0"/>
          <w:numId w:val="8"/>
        </w:numPr>
        <w:tabs>
          <w:tab w:pos="1116" w:val="left" w:leader="none"/>
        </w:tabs>
        <w:spacing w:line="240" w:lineRule="auto" w:before="162" w:after="0"/>
        <w:ind w:left="1115" w:right="0" w:hanging="520"/>
        <w:jc w:val="both"/>
        <w:rPr>
          <w:sz w:val="20"/>
        </w:rPr>
      </w:pPr>
      <w:r>
        <w:rPr>
          <w:w w:val="105"/>
          <w:sz w:val="20"/>
        </w:rPr>
        <w:t>Life</w:t>
      </w:r>
      <w:r>
        <w:rPr>
          <w:spacing w:val="-1"/>
          <w:w w:val="105"/>
          <w:sz w:val="20"/>
        </w:rPr>
        <w:t> </w:t>
      </w:r>
      <w:r>
        <w:rPr>
          <w:w w:val="105"/>
          <w:sz w:val="20"/>
        </w:rPr>
        <w:t>Insurance</w:t>
      </w:r>
    </w:p>
    <w:p>
      <w:pPr>
        <w:pStyle w:val="ListParagraph"/>
        <w:numPr>
          <w:ilvl w:val="1"/>
          <w:numId w:val="8"/>
        </w:numPr>
        <w:tabs>
          <w:tab w:pos="1288" w:val="left" w:leader="none"/>
          <w:tab w:pos="1289" w:val="left" w:leader="none"/>
        </w:tabs>
        <w:spacing w:line="240" w:lineRule="auto" w:before="158" w:after="0"/>
        <w:ind w:left="1288" w:right="0" w:hanging="332"/>
        <w:jc w:val="left"/>
        <w:rPr>
          <w:sz w:val="20"/>
        </w:rPr>
      </w:pPr>
      <w:r>
        <w:rPr>
          <w:position w:val="1"/>
          <w:sz w:val="20"/>
        </w:rPr>
        <w:t>$300,000 in death</w:t>
      </w:r>
      <w:r>
        <w:rPr>
          <w:spacing w:val="0"/>
          <w:position w:val="1"/>
          <w:sz w:val="20"/>
        </w:rPr>
        <w:t> </w:t>
      </w:r>
      <w:r>
        <w:rPr>
          <w:position w:val="1"/>
          <w:sz w:val="20"/>
        </w:rPr>
        <w:t>benefits</w:t>
      </w:r>
    </w:p>
    <w:p>
      <w:pPr>
        <w:pStyle w:val="ListParagraph"/>
        <w:numPr>
          <w:ilvl w:val="1"/>
          <w:numId w:val="8"/>
        </w:numPr>
        <w:tabs>
          <w:tab w:pos="1315" w:val="left" w:leader="none"/>
          <w:tab w:pos="1317" w:val="left" w:leader="none"/>
        </w:tabs>
        <w:spacing w:line="240" w:lineRule="auto" w:before="133" w:after="0"/>
        <w:ind w:left="1316" w:right="0" w:hanging="360"/>
        <w:jc w:val="left"/>
        <w:rPr>
          <w:sz w:val="20"/>
        </w:rPr>
      </w:pPr>
      <w:r>
        <w:rPr>
          <w:sz w:val="20"/>
        </w:rPr>
        <w:t>$100,000 in cash surrender or withdrawal</w:t>
      </w:r>
      <w:r>
        <w:rPr>
          <w:spacing w:val="10"/>
          <w:sz w:val="20"/>
        </w:rPr>
        <w:t> </w:t>
      </w:r>
      <w:r>
        <w:rPr>
          <w:sz w:val="20"/>
        </w:rPr>
        <w:t>values</w:t>
      </w:r>
    </w:p>
    <w:p>
      <w:pPr>
        <w:pStyle w:val="ListParagraph"/>
        <w:numPr>
          <w:ilvl w:val="0"/>
          <w:numId w:val="8"/>
        </w:numPr>
        <w:tabs>
          <w:tab w:pos="1116" w:val="left" w:leader="none"/>
        </w:tabs>
        <w:spacing w:line="240" w:lineRule="auto" w:before="144" w:after="0"/>
        <w:ind w:left="1115" w:right="0" w:hanging="520"/>
        <w:jc w:val="both"/>
        <w:rPr>
          <w:sz w:val="20"/>
        </w:rPr>
      </w:pPr>
      <w:r>
        <w:rPr>
          <w:w w:val="105"/>
          <w:sz w:val="20"/>
        </w:rPr>
        <w:t>Health</w:t>
      </w:r>
      <w:r>
        <w:rPr>
          <w:spacing w:val="-1"/>
          <w:w w:val="105"/>
          <w:sz w:val="20"/>
        </w:rPr>
        <w:t> </w:t>
      </w:r>
      <w:r>
        <w:rPr>
          <w:w w:val="105"/>
          <w:sz w:val="20"/>
        </w:rPr>
        <w:t>Insurance</w:t>
      </w:r>
    </w:p>
    <w:p>
      <w:pPr>
        <w:pStyle w:val="ListParagraph"/>
        <w:numPr>
          <w:ilvl w:val="1"/>
          <w:numId w:val="8"/>
        </w:numPr>
        <w:tabs>
          <w:tab w:pos="1315" w:val="left" w:leader="none"/>
          <w:tab w:pos="1316" w:val="left" w:leader="none"/>
        </w:tabs>
        <w:spacing w:line="240" w:lineRule="auto" w:before="158" w:after="0"/>
        <w:ind w:left="1316" w:right="0" w:hanging="360"/>
        <w:jc w:val="left"/>
        <w:rPr>
          <w:sz w:val="20"/>
        </w:rPr>
      </w:pPr>
      <w:r>
        <w:rPr>
          <w:position w:val="1"/>
          <w:sz w:val="20"/>
        </w:rPr>
        <w:t>$500,000 in hospital, medical and surgical insurance</w:t>
      </w:r>
      <w:r>
        <w:rPr>
          <w:spacing w:val="16"/>
          <w:position w:val="1"/>
          <w:sz w:val="20"/>
        </w:rPr>
        <w:t> </w:t>
      </w:r>
      <w:r>
        <w:rPr>
          <w:position w:val="1"/>
          <w:sz w:val="20"/>
        </w:rPr>
        <w:t>benefits</w:t>
      </w:r>
    </w:p>
    <w:p>
      <w:pPr>
        <w:pStyle w:val="ListParagraph"/>
        <w:numPr>
          <w:ilvl w:val="1"/>
          <w:numId w:val="8"/>
        </w:numPr>
        <w:tabs>
          <w:tab w:pos="1315" w:val="left" w:leader="none"/>
          <w:tab w:pos="1316" w:val="left" w:leader="none"/>
        </w:tabs>
        <w:spacing w:line="240" w:lineRule="auto" w:before="132" w:after="0"/>
        <w:ind w:left="1316" w:right="0" w:hanging="360"/>
        <w:jc w:val="left"/>
        <w:rPr>
          <w:sz w:val="20"/>
        </w:rPr>
      </w:pPr>
      <w:r>
        <w:rPr>
          <w:position w:val="1"/>
          <w:sz w:val="20"/>
        </w:rPr>
        <w:t>$300,000 in disability insurance</w:t>
      </w:r>
      <w:r>
        <w:rPr>
          <w:spacing w:val="-25"/>
          <w:position w:val="1"/>
          <w:sz w:val="20"/>
        </w:rPr>
        <w:t> </w:t>
      </w:r>
      <w:r>
        <w:rPr>
          <w:position w:val="1"/>
          <w:sz w:val="20"/>
        </w:rPr>
        <w:t>benefits</w:t>
      </w:r>
    </w:p>
    <w:p>
      <w:pPr>
        <w:pStyle w:val="ListParagraph"/>
        <w:numPr>
          <w:ilvl w:val="1"/>
          <w:numId w:val="8"/>
        </w:numPr>
        <w:tabs>
          <w:tab w:pos="1315" w:val="left" w:leader="none"/>
          <w:tab w:pos="1316" w:val="left" w:leader="none"/>
        </w:tabs>
        <w:spacing w:line="240" w:lineRule="auto" w:before="133" w:after="0"/>
        <w:ind w:left="1316" w:right="0" w:hanging="360"/>
        <w:jc w:val="left"/>
        <w:rPr>
          <w:sz w:val="20"/>
        </w:rPr>
      </w:pPr>
      <w:r>
        <w:rPr>
          <w:position w:val="1"/>
          <w:sz w:val="20"/>
        </w:rPr>
        <w:t>$300,000 in long-term care insurance</w:t>
      </w:r>
      <w:r>
        <w:rPr>
          <w:spacing w:val="-5"/>
          <w:position w:val="1"/>
          <w:sz w:val="20"/>
        </w:rPr>
        <w:t> </w:t>
      </w:r>
      <w:r>
        <w:rPr>
          <w:position w:val="1"/>
          <w:sz w:val="20"/>
        </w:rPr>
        <w:t>benefits</w:t>
      </w:r>
    </w:p>
    <w:p>
      <w:pPr>
        <w:pStyle w:val="ListParagraph"/>
        <w:numPr>
          <w:ilvl w:val="1"/>
          <w:numId w:val="8"/>
        </w:numPr>
        <w:tabs>
          <w:tab w:pos="1315" w:val="left" w:leader="none"/>
          <w:tab w:pos="1316" w:val="left" w:leader="none"/>
        </w:tabs>
        <w:spacing w:line="240" w:lineRule="auto" w:before="132" w:after="0"/>
        <w:ind w:left="1316" w:right="0" w:hanging="360"/>
        <w:jc w:val="left"/>
        <w:rPr>
          <w:sz w:val="20"/>
        </w:rPr>
      </w:pPr>
      <w:r>
        <w:rPr>
          <w:position w:val="1"/>
          <w:sz w:val="20"/>
        </w:rPr>
        <w:t>$100,000 in other types of health insurance</w:t>
      </w:r>
      <w:r>
        <w:rPr>
          <w:spacing w:val="10"/>
          <w:position w:val="1"/>
          <w:sz w:val="20"/>
        </w:rPr>
        <w:t> </w:t>
      </w:r>
      <w:r>
        <w:rPr>
          <w:position w:val="1"/>
          <w:sz w:val="20"/>
        </w:rPr>
        <w:t>benefits</w:t>
      </w:r>
    </w:p>
    <w:p>
      <w:pPr>
        <w:pStyle w:val="ListParagraph"/>
        <w:numPr>
          <w:ilvl w:val="0"/>
          <w:numId w:val="8"/>
        </w:numPr>
        <w:tabs>
          <w:tab w:pos="1116" w:val="left" w:leader="none"/>
        </w:tabs>
        <w:spacing w:line="240" w:lineRule="auto" w:before="135" w:after="0"/>
        <w:ind w:left="1115" w:right="0" w:hanging="520"/>
        <w:jc w:val="both"/>
        <w:rPr>
          <w:sz w:val="20"/>
        </w:rPr>
      </w:pPr>
      <w:r>
        <w:rPr>
          <w:spacing w:val="8"/>
          <w:w w:val="105"/>
          <w:sz w:val="20"/>
        </w:rPr>
        <w:t>Annuities</w:t>
      </w:r>
    </w:p>
    <w:p>
      <w:pPr>
        <w:pStyle w:val="ListParagraph"/>
        <w:numPr>
          <w:ilvl w:val="1"/>
          <w:numId w:val="8"/>
        </w:numPr>
        <w:tabs>
          <w:tab w:pos="1315" w:val="left" w:leader="none"/>
          <w:tab w:pos="1317" w:val="left" w:leader="none"/>
        </w:tabs>
        <w:spacing w:line="240" w:lineRule="auto" w:before="158" w:after="0"/>
        <w:ind w:left="1316" w:right="0" w:hanging="360"/>
        <w:jc w:val="left"/>
        <w:rPr>
          <w:sz w:val="20"/>
        </w:rPr>
      </w:pPr>
      <w:r>
        <w:rPr>
          <w:sz w:val="20"/>
        </w:rPr>
        <w:t>$250,000 in withdrawal and cash</w:t>
      </w:r>
      <w:r>
        <w:rPr>
          <w:spacing w:val="-20"/>
          <w:sz w:val="20"/>
        </w:rPr>
        <w:t> </w:t>
      </w:r>
      <w:r>
        <w:rPr>
          <w:sz w:val="20"/>
        </w:rPr>
        <w:t>values</w:t>
      </w:r>
    </w:p>
    <w:p>
      <w:pPr>
        <w:pStyle w:val="BodyText"/>
        <w:spacing w:before="143"/>
        <w:ind w:left="595"/>
        <w:jc w:val="both"/>
      </w:pPr>
      <w:r>
        <w:rPr/>
        <w:t>The maximum amount of protection for each individual, regardless of the number of policies or contracts, is</w:t>
      </w:r>
    </w:p>
    <w:p>
      <w:pPr>
        <w:pStyle w:val="BodyText"/>
        <w:ind w:left="595"/>
        <w:jc w:val="both"/>
      </w:pPr>
      <w:r>
        <w:rPr/>
        <w:t>$300,000. Special rules may apply with regard to hospital, medical and surgical insurance benefits.</w:t>
      </w:r>
    </w:p>
    <w:p>
      <w:pPr>
        <w:pStyle w:val="BodyText"/>
        <w:spacing w:before="6"/>
      </w:pPr>
    </w:p>
    <w:p>
      <w:pPr>
        <w:pStyle w:val="BodyText"/>
        <w:ind w:left="595" w:right="773"/>
        <w:jc w:val="both"/>
      </w:pPr>
      <w:r>
        <w:rPr>
          <w:b/>
        </w:rPr>
        <w:t>Note: Certain policies and contracts may not be covered or fully covered. </w:t>
      </w:r>
      <w:r>
        <w:rPr/>
        <w:t>For </w:t>
      </w:r>
      <w:r>
        <w:rPr>
          <w:spacing w:val="-3"/>
        </w:rPr>
        <w:t>example, </w:t>
      </w:r>
      <w:r>
        <w:rPr/>
        <w:t>coverage does not extend to any portion(s) of a policy or contract that the insurer does not guarantee, such as </w:t>
      </w:r>
      <w:r>
        <w:rPr>
          <w:spacing w:val="-6"/>
        </w:rPr>
        <w:t>certain </w:t>
      </w:r>
      <w:r>
        <w:rPr>
          <w:spacing w:val="-5"/>
        </w:rPr>
        <w:t>investment additions </w:t>
      </w:r>
      <w:r>
        <w:rPr>
          <w:spacing w:val="-3"/>
        </w:rPr>
        <w:t>to </w:t>
      </w:r>
      <w:r>
        <w:rPr>
          <w:spacing w:val="-4"/>
        </w:rPr>
        <w:t>the </w:t>
      </w:r>
      <w:r>
        <w:rPr>
          <w:spacing w:val="-5"/>
        </w:rPr>
        <w:t>account </w:t>
      </w:r>
      <w:r>
        <w:rPr>
          <w:spacing w:val="-4"/>
        </w:rPr>
        <w:t>value </w:t>
      </w:r>
      <w:r>
        <w:rPr>
          <w:spacing w:val="-3"/>
        </w:rPr>
        <w:t>of </w:t>
      </w:r>
      <w:r>
        <w:rPr/>
        <w:t>a </w:t>
      </w:r>
      <w:r>
        <w:rPr>
          <w:spacing w:val="-5"/>
        </w:rPr>
        <w:t>variable </w:t>
      </w:r>
      <w:r>
        <w:rPr>
          <w:spacing w:val="-4"/>
        </w:rPr>
        <w:t>life </w:t>
      </w:r>
      <w:r>
        <w:rPr>
          <w:spacing w:val="-5"/>
        </w:rPr>
        <w:t>insurance  policy  </w:t>
      </w:r>
      <w:r>
        <w:rPr>
          <w:spacing w:val="-3"/>
        </w:rPr>
        <w:t>or  </w:t>
      </w:r>
      <w:r>
        <w:rPr/>
        <w:t>a </w:t>
      </w:r>
      <w:r>
        <w:rPr>
          <w:spacing w:val="-5"/>
        </w:rPr>
        <w:t>variable  annuity  </w:t>
      </w:r>
      <w:r>
        <w:rPr/>
        <w:t>contract. There are also </w:t>
      </w:r>
      <w:r>
        <w:rPr>
          <w:spacing w:val="-3"/>
        </w:rPr>
        <w:t>various </w:t>
      </w:r>
      <w:r>
        <w:rPr/>
        <w:t>residency requirements and other </w:t>
      </w:r>
      <w:r>
        <w:rPr>
          <w:spacing w:val="-3"/>
        </w:rPr>
        <w:t>limitations </w:t>
      </w:r>
      <w:r>
        <w:rPr/>
        <w:t>under Colorado</w:t>
      </w:r>
      <w:r>
        <w:rPr>
          <w:spacing w:val="16"/>
        </w:rPr>
        <w:t> </w:t>
      </w:r>
      <w:r>
        <w:rPr>
          <w:spacing w:val="-3"/>
        </w:rPr>
        <w:t>law.</w:t>
      </w:r>
    </w:p>
    <w:p>
      <w:pPr>
        <w:pStyle w:val="BodyText"/>
        <w:spacing w:before="161"/>
        <w:ind w:left="595" w:right="774"/>
        <w:jc w:val="both"/>
      </w:pPr>
      <w:r>
        <w:rPr/>
        <w:t>To learn more about the above protections, as well as protections relating to group contracts or retirement plans, please visit the Association’s website </w:t>
      </w:r>
      <w:hyperlink r:id="rId9">
        <w:r>
          <w:rPr>
            <w:color w:val="0000FF"/>
          </w:rPr>
          <w:t>www.colifega.org, </w:t>
        </w:r>
      </w:hyperlink>
      <w:r>
        <w:rPr/>
        <w:t>email </w:t>
      </w:r>
      <w:hyperlink r:id="rId10">
        <w:r>
          <w:rPr>
            <w:color w:val="0000FF"/>
            <w:u w:val="single" w:color="0000FF"/>
          </w:rPr>
          <w:t>jwrhodes@colifega.org</w:t>
        </w:r>
      </w:hyperlink>
      <w:r>
        <w:rPr>
          <w:color w:val="0000FF"/>
        </w:rPr>
        <w:t> </w:t>
      </w:r>
      <w:r>
        <w:rPr/>
        <w:t>or contact:</w:t>
      </w:r>
    </w:p>
    <w:p>
      <w:pPr>
        <w:pStyle w:val="BodyText"/>
        <w:spacing w:before="3"/>
      </w:pPr>
    </w:p>
    <w:tbl>
      <w:tblPr>
        <w:tblW w:w="0" w:type="auto"/>
        <w:jc w:val="left"/>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0"/>
        <w:gridCol w:w="5220"/>
      </w:tblGrid>
      <w:tr>
        <w:trPr>
          <w:trHeight w:val="230" w:hRule="atLeast"/>
        </w:trPr>
        <w:tc>
          <w:tcPr>
            <w:tcW w:w="4590" w:type="dxa"/>
            <w:tcBorders>
              <w:bottom w:val="nil"/>
            </w:tcBorders>
          </w:tcPr>
          <w:p>
            <w:pPr>
              <w:pStyle w:val="TableParagraph"/>
              <w:spacing w:line="211" w:lineRule="exact"/>
              <w:rPr>
                <w:rFonts w:ascii="Arial"/>
                <w:i/>
                <w:sz w:val="20"/>
              </w:rPr>
            </w:pPr>
            <w:r>
              <w:rPr>
                <w:rFonts w:ascii="Arial"/>
                <w:i/>
                <w:sz w:val="20"/>
              </w:rPr>
              <w:t>Colorado Life and Health Insurance Protection</w:t>
            </w:r>
          </w:p>
        </w:tc>
        <w:tc>
          <w:tcPr>
            <w:tcW w:w="5220" w:type="dxa"/>
            <w:tcBorders>
              <w:bottom w:val="nil"/>
            </w:tcBorders>
          </w:tcPr>
          <w:p>
            <w:pPr>
              <w:pStyle w:val="TableParagraph"/>
              <w:spacing w:line="211" w:lineRule="exact"/>
              <w:rPr>
                <w:rFonts w:ascii="Arial"/>
                <w:i/>
                <w:sz w:val="20"/>
              </w:rPr>
            </w:pPr>
            <w:r>
              <w:rPr>
                <w:rFonts w:ascii="Arial"/>
                <w:i/>
                <w:sz w:val="20"/>
              </w:rPr>
              <w:t>Colorado Division of Insurance</w:t>
            </w:r>
          </w:p>
        </w:tc>
      </w:tr>
      <w:tr>
        <w:trPr>
          <w:trHeight w:val="229" w:hRule="atLeast"/>
        </w:trPr>
        <w:tc>
          <w:tcPr>
            <w:tcW w:w="4590" w:type="dxa"/>
            <w:tcBorders>
              <w:top w:val="nil"/>
              <w:bottom w:val="nil"/>
            </w:tcBorders>
          </w:tcPr>
          <w:p>
            <w:pPr>
              <w:pStyle w:val="TableParagraph"/>
              <w:spacing w:line="209" w:lineRule="exact"/>
              <w:rPr>
                <w:rFonts w:ascii="Arial"/>
                <w:i/>
                <w:sz w:val="20"/>
              </w:rPr>
            </w:pPr>
            <w:r>
              <w:rPr>
                <w:rFonts w:ascii="Arial"/>
                <w:i/>
                <w:sz w:val="20"/>
              </w:rPr>
              <w:t>Association</w:t>
            </w:r>
          </w:p>
        </w:tc>
        <w:tc>
          <w:tcPr>
            <w:tcW w:w="5220" w:type="dxa"/>
            <w:tcBorders>
              <w:top w:val="nil"/>
              <w:bottom w:val="nil"/>
            </w:tcBorders>
          </w:tcPr>
          <w:p>
            <w:pPr>
              <w:pStyle w:val="TableParagraph"/>
              <w:spacing w:line="209" w:lineRule="exact"/>
              <w:rPr>
                <w:rFonts w:ascii="Arial"/>
                <w:sz w:val="20"/>
              </w:rPr>
            </w:pPr>
            <w:r>
              <w:rPr>
                <w:rFonts w:ascii="Arial"/>
                <w:sz w:val="20"/>
              </w:rPr>
              <w:t>1560 Broadway, Suite 850</w:t>
            </w:r>
          </w:p>
        </w:tc>
      </w:tr>
      <w:tr>
        <w:trPr>
          <w:trHeight w:val="230" w:hRule="atLeast"/>
        </w:trPr>
        <w:tc>
          <w:tcPr>
            <w:tcW w:w="4590" w:type="dxa"/>
            <w:tcBorders>
              <w:top w:val="nil"/>
              <w:bottom w:val="nil"/>
            </w:tcBorders>
          </w:tcPr>
          <w:p>
            <w:pPr>
              <w:pStyle w:val="TableParagraph"/>
              <w:spacing w:line="210" w:lineRule="exact"/>
              <w:rPr>
                <w:rFonts w:ascii="Arial"/>
                <w:sz w:val="20"/>
              </w:rPr>
            </w:pPr>
            <w:r>
              <w:rPr>
                <w:rFonts w:ascii="Arial"/>
                <w:sz w:val="20"/>
              </w:rPr>
              <w:t>201 Robert S. Kerr Ave. Suite 600</w:t>
            </w:r>
          </w:p>
        </w:tc>
        <w:tc>
          <w:tcPr>
            <w:tcW w:w="5220" w:type="dxa"/>
            <w:tcBorders>
              <w:top w:val="nil"/>
              <w:bottom w:val="nil"/>
            </w:tcBorders>
          </w:tcPr>
          <w:p>
            <w:pPr>
              <w:pStyle w:val="TableParagraph"/>
              <w:spacing w:line="210" w:lineRule="exact"/>
              <w:rPr>
                <w:rFonts w:ascii="Arial"/>
                <w:sz w:val="20"/>
              </w:rPr>
            </w:pPr>
            <w:r>
              <w:rPr>
                <w:rFonts w:ascii="Arial"/>
                <w:sz w:val="20"/>
              </w:rPr>
              <w:t>Denver, CO 80202</w:t>
            </w:r>
          </w:p>
        </w:tc>
      </w:tr>
      <w:tr>
        <w:trPr>
          <w:trHeight w:val="230" w:hRule="atLeast"/>
        </w:trPr>
        <w:tc>
          <w:tcPr>
            <w:tcW w:w="4590" w:type="dxa"/>
            <w:tcBorders>
              <w:top w:val="nil"/>
              <w:bottom w:val="nil"/>
            </w:tcBorders>
          </w:tcPr>
          <w:p>
            <w:pPr>
              <w:pStyle w:val="TableParagraph"/>
              <w:spacing w:line="210" w:lineRule="exact"/>
              <w:rPr>
                <w:rFonts w:ascii="Arial"/>
                <w:sz w:val="20"/>
              </w:rPr>
            </w:pPr>
            <w:r>
              <w:rPr>
                <w:rFonts w:ascii="Arial"/>
                <w:sz w:val="20"/>
              </w:rPr>
              <w:t>Oklahoma City, OK</w:t>
            </w:r>
            <w:r>
              <w:rPr>
                <w:rFonts w:ascii="Arial"/>
                <w:spacing w:val="51"/>
                <w:sz w:val="20"/>
              </w:rPr>
              <w:t> </w:t>
            </w:r>
            <w:r>
              <w:rPr>
                <w:rFonts w:ascii="Arial"/>
                <w:sz w:val="20"/>
              </w:rPr>
              <w:t>73102</w:t>
            </w:r>
          </w:p>
        </w:tc>
        <w:tc>
          <w:tcPr>
            <w:tcW w:w="5220" w:type="dxa"/>
            <w:tcBorders>
              <w:top w:val="nil"/>
              <w:bottom w:val="nil"/>
            </w:tcBorders>
          </w:tcPr>
          <w:p>
            <w:pPr>
              <w:pStyle w:val="TableParagraph"/>
              <w:spacing w:line="210" w:lineRule="exact"/>
              <w:rPr>
                <w:rFonts w:ascii="Arial"/>
                <w:sz w:val="20"/>
              </w:rPr>
            </w:pPr>
            <w:r>
              <w:rPr>
                <w:rFonts w:ascii="Arial"/>
                <w:sz w:val="20"/>
              </w:rPr>
              <w:t>(303) 894-7499</w:t>
            </w:r>
          </w:p>
        </w:tc>
      </w:tr>
      <w:tr>
        <w:trPr>
          <w:trHeight w:val="228" w:hRule="atLeast"/>
        </w:trPr>
        <w:tc>
          <w:tcPr>
            <w:tcW w:w="4590" w:type="dxa"/>
            <w:tcBorders>
              <w:top w:val="nil"/>
            </w:tcBorders>
          </w:tcPr>
          <w:p>
            <w:pPr>
              <w:pStyle w:val="TableParagraph"/>
              <w:spacing w:line="208" w:lineRule="exact"/>
              <w:rPr>
                <w:rFonts w:ascii="Arial"/>
                <w:sz w:val="20"/>
              </w:rPr>
            </w:pPr>
            <w:r>
              <w:rPr>
                <w:rFonts w:ascii="Arial"/>
                <w:sz w:val="20"/>
              </w:rPr>
              <w:t>1-800-337-7796</w:t>
            </w:r>
          </w:p>
        </w:tc>
        <w:tc>
          <w:tcPr>
            <w:tcW w:w="5220" w:type="dxa"/>
            <w:tcBorders>
              <w:top w:val="nil"/>
            </w:tcBorders>
          </w:tcPr>
          <w:p>
            <w:pPr>
              <w:pStyle w:val="TableParagraph"/>
              <w:ind w:left="0"/>
              <w:rPr>
                <w:rFonts w:ascii="Times New Roman"/>
                <w:sz w:val="16"/>
              </w:rPr>
            </w:pPr>
          </w:p>
        </w:tc>
      </w:tr>
    </w:tbl>
    <w:p>
      <w:pPr>
        <w:pStyle w:val="BodyText"/>
        <w:rPr>
          <w:sz w:val="22"/>
        </w:rPr>
      </w:pPr>
    </w:p>
    <w:p>
      <w:pPr>
        <w:pStyle w:val="BodyText"/>
        <w:spacing w:before="4"/>
        <w:rPr>
          <w:sz w:val="17"/>
        </w:rPr>
      </w:pPr>
    </w:p>
    <w:p>
      <w:pPr>
        <w:pStyle w:val="Heading2"/>
        <w:spacing w:line="244" w:lineRule="auto"/>
        <w:ind w:left="595" w:right="773"/>
        <w:jc w:val="both"/>
      </w:pPr>
      <w:r>
        <w:rPr/>
        <w:t>Insurance companies and agents are not allowed by Colorado law to use the existence of the Association or its coverage to encourage you to purchase any form of insurance. When selecting an insurance company, you should not rely on Association coverage. If there is any inconsistency between this notice and Colorado law, then Colorado law will control.</w:t>
      </w:r>
    </w:p>
    <w:sectPr>
      <w:footerReference w:type="default" r:id="rId8"/>
      <w:pgSz w:w="12240" w:h="15840"/>
      <w:pgMar w:footer="749" w:header="0" w:top="1020" w:bottom="940" w:left="7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pt;margin-top:736.434326pt;width:84.2pt;height:20.5pt;mso-position-horizontal-relative:page;mso-position-vertical-relative:page;z-index:-23920" type="#_x0000_t202" filled="false" stroked="false">
          <v:textbox inset="0,0,0,0">
            <w:txbxContent>
              <w:p>
                <w:pPr>
                  <w:spacing w:line="242" w:lineRule="auto" w:before="19"/>
                  <w:ind w:left="20" w:right="2" w:firstLine="0"/>
                  <w:jc w:val="left"/>
                  <w:rPr>
                    <w:sz w:val="16"/>
                  </w:rPr>
                </w:pPr>
                <w:r>
                  <w:rPr>
                    <w:sz w:val="16"/>
                  </w:rPr>
                  <w:t>PPO $40 Copay BA72 Z101 COSGPPOGF (Rev. 01-18)</w:t>
                </w:r>
              </w:p>
            </w:txbxContent>
          </v:textbox>
          <w10:wrap type="none"/>
        </v:shape>
      </w:pict>
    </w:r>
    <w:r>
      <w:rPr/>
      <w:pict>
        <v:shape style="position:absolute;margin-left:301.720001pt;margin-top:736.505737pt;width:8.6pt;height:13.5pt;mso-position-horizontal-relative:page;mso-position-vertical-relative:page;z-index:-23896" type="#_x0000_t202" filled="false" stroked="false">
          <v:textbox inset="0,0,0,0">
            <w:txbxContent>
              <w:p>
                <w:pPr>
                  <w:pStyle w:val="BodyText"/>
                  <w:spacing w:before="20"/>
                  <w:ind w:left="40"/>
                  <w:rPr>
                    <w:rFonts w:ascii="Arial Narrow"/>
                  </w:rPr>
                </w:pPr>
                <w:r>
                  <w:rPr/>
                  <w:fldChar w:fldCharType="begin"/>
                </w:r>
                <w:r>
                  <w:rPr>
                    <w:rFonts w:ascii="Arial Narrow"/>
                    <w:w w:val="10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440002pt;margin-top:743.525818pt;width:13.15pt;height:13.5pt;mso-position-horizontal-relative:page;mso-position-vertical-relative:page;z-index:-23872" type="#_x0000_t202" filled="false" stroked="false">
          <v:textbox inset="0,0,0,0">
            <w:txbxContent>
              <w:p>
                <w:pPr>
                  <w:pStyle w:val="BodyText"/>
                  <w:spacing w:before="20"/>
                  <w:ind w:left="40"/>
                  <w:rPr>
                    <w:rFonts w:ascii="Arial Narrow"/>
                  </w:rPr>
                </w:pPr>
                <w:r>
                  <w:rPr/>
                  <w:fldChar w:fldCharType="begin"/>
                </w:r>
                <w:r>
                  <w:rPr>
                    <w:rFonts w:ascii="Arial Narrow"/>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11.239990pt;margin-top:743.525818pt;width:11.15pt;height:13.5pt;mso-position-horizontal-relative:page;mso-position-vertical-relative:page;z-index:-23848" type="#_x0000_t202" filled="false" stroked="false">
          <v:textbox inset="0,0,0,0">
            <w:txbxContent>
              <w:p>
                <w:pPr>
                  <w:pStyle w:val="BodyText"/>
                  <w:spacing w:before="20"/>
                  <w:ind w:left="20"/>
                  <w:rPr>
                    <w:rFonts w:ascii="Arial Narrow"/>
                  </w:rPr>
                </w:pPr>
                <w:r>
                  <w:rPr>
                    <w:rFonts w:ascii="Arial Narrow"/>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115" w:hanging="520"/>
      </w:pPr>
      <w:rPr>
        <w:rFonts w:hint="default" w:ascii="Symbol" w:hAnsi="Symbol" w:eastAsia="Symbol" w:cs="Symbol"/>
        <w:b/>
        <w:bCs/>
        <w:w w:val="100"/>
        <w:sz w:val="20"/>
        <w:szCs w:val="20"/>
      </w:rPr>
    </w:lvl>
    <w:lvl w:ilvl="1">
      <w:start w:val="0"/>
      <w:numFmt w:val="bullet"/>
      <w:lvlText w:val="-"/>
      <w:lvlJc w:val="left"/>
      <w:pPr>
        <w:ind w:left="1288" w:hanging="333"/>
      </w:pPr>
      <w:rPr>
        <w:rFonts w:hint="default" w:ascii="Courier New" w:hAnsi="Courier New" w:eastAsia="Courier New" w:cs="Courier New"/>
        <w:w w:val="100"/>
        <w:sz w:val="20"/>
        <w:szCs w:val="20"/>
      </w:rPr>
    </w:lvl>
    <w:lvl w:ilvl="2">
      <w:start w:val="0"/>
      <w:numFmt w:val="bullet"/>
      <w:lvlText w:val="•"/>
      <w:lvlJc w:val="left"/>
      <w:pPr>
        <w:ind w:left="1320" w:hanging="333"/>
      </w:pPr>
      <w:rPr>
        <w:rFonts w:hint="default"/>
      </w:rPr>
    </w:lvl>
    <w:lvl w:ilvl="3">
      <w:start w:val="0"/>
      <w:numFmt w:val="bullet"/>
      <w:lvlText w:val="•"/>
      <w:lvlJc w:val="left"/>
      <w:pPr>
        <w:ind w:left="2532" w:hanging="333"/>
      </w:pPr>
      <w:rPr>
        <w:rFonts w:hint="default"/>
      </w:rPr>
    </w:lvl>
    <w:lvl w:ilvl="4">
      <w:start w:val="0"/>
      <w:numFmt w:val="bullet"/>
      <w:lvlText w:val="•"/>
      <w:lvlJc w:val="left"/>
      <w:pPr>
        <w:ind w:left="3745" w:hanging="333"/>
      </w:pPr>
      <w:rPr>
        <w:rFonts w:hint="default"/>
      </w:rPr>
    </w:lvl>
    <w:lvl w:ilvl="5">
      <w:start w:val="0"/>
      <w:numFmt w:val="bullet"/>
      <w:lvlText w:val="•"/>
      <w:lvlJc w:val="left"/>
      <w:pPr>
        <w:ind w:left="4957" w:hanging="333"/>
      </w:pPr>
      <w:rPr>
        <w:rFonts w:hint="default"/>
      </w:rPr>
    </w:lvl>
    <w:lvl w:ilvl="6">
      <w:start w:val="0"/>
      <w:numFmt w:val="bullet"/>
      <w:lvlText w:val="•"/>
      <w:lvlJc w:val="left"/>
      <w:pPr>
        <w:ind w:left="6170" w:hanging="333"/>
      </w:pPr>
      <w:rPr>
        <w:rFonts w:hint="default"/>
      </w:rPr>
    </w:lvl>
    <w:lvl w:ilvl="7">
      <w:start w:val="0"/>
      <w:numFmt w:val="bullet"/>
      <w:lvlText w:val="•"/>
      <w:lvlJc w:val="left"/>
      <w:pPr>
        <w:ind w:left="7382" w:hanging="333"/>
      </w:pPr>
      <w:rPr>
        <w:rFonts w:hint="default"/>
      </w:rPr>
    </w:lvl>
    <w:lvl w:ilvl="8">
      <w:start w:val="0"/>
      <w:numFmt w:val="bullet"/>
      <w:lvlText w:val="•"/>
      <w:lvlJc w:val="left"/>
      <w:pPr>
        <w:ind w:left="8595" w:hanging="333"/>
      </w:pPr>
      <w:rPr>
        <w:rFonts w:hint="default"/>
      </w:rPr>
    </w:lvl>
  </w:abstractNum>
  <w:abstractNum w:abstractNumId="6">
    <w:multiLevelType w:val="hybridMultilevel"/>
    <w:lvl w:ilvl="0">
      <w:start w:val="18"/>
      <w:numFmt w:val="decimal"/>
      <w:lvlText w:val="%1."/>
      <w:lvlJc w:val="left"/>
      <w:pPr>
        <w:ind w:left="459" w:hanging="360"/>
        <w:jc w:val="left"/>
      </w:pPr>
      <w:rPr>
        <w:rFonts w:hint="default" w:ascii="Arial Narrow" w:hAnsi="Arial Narrow" w:eastAsia="Arial Narrow" w:cs="Arial Narrow"/>
        <w:b/>
        <w:bCs/>
        <w:spacing w:val="-1"/>
        <w:w w:val="100"/>
        <w:sz w:val="20"/>
        <w:szCs w:val="20"/>
      </w:rPr>
    </w:lvl>
    <w:lvl w:ilvl="1">
      <w:start w:val="1"/>
      <w:numFmt w:val="lowerLetter"/>
      <w:lvlText w:val="%2)"/>
      <w:lvlJc w:val="left"/>
      <w:pPr>
        <w:ind w:left="818" w:hanging="360"/>
        <w:jc w:val="left"/>
      </w:pPr>
      <w:rPr>
        <w:rFonts w:hint="default" w:ascii="Arial Narrow" w:hAnsi="Arial Narrow" w:eastAsia="Arial Narrow" w:cs="Arial Narrow"/>
        <w:b/>
        <w:bCs/>
        <w:spacing w:val="-1"/>
        <w:w w:val="100"/>
        <w:sz w:val="20"/>
        <w:szCs w:val="20"/>
      </w:rPr>
    </w:lvl>
    <w:lvl w:ilvl="2">
      <w:start w:val="0"/>
      <w:numFmt w:val="bullet"/>
      <w:lvlText w:val="•"/>
      <w:lvlJc w:val="left"/>
      <w:pPr>
        <w:ind w:left="1076" w:hanging="360"/>
      </w:pPr>
      <w:rPr>
        <w:rFonts w:hint="default"/>
      </w:rPr>
    </w:lvl>
    <w:lvl w:ilvl="3">
      <w:start w:val="0"/>
      <w:numFmt w:val="bullet"/>
      <w:lvlText w:val="•"/>
      <w:lvlJc w:val="left"/>
      <w:pPr>
        <w:ind w:left="1333" w:hanging="360"/>
      </w:pPr>
      <w:rPr>
        <w:rFonts w:hint="default"/>
      </w:rPr>
    </w:lvl>
    <w:lvl w:ilvl="4">
      <w:start w:val="0"/>
      <w:numFmt w:val="bullet"/>
      <w:lvlText w:val="•"/>
      <w:lvlJc w:val="left"/>
      <w:pPr>
        <w:ind w:left="1590" w:hanging="360"/>
      </w:pPr>
      <w:rPr>
        <w:rFonts w:hint="default"/>
      </w:rPr>
    </w:lvl>
    <w:lvl w:ilvl="5">
      <w:start w:val="0"/>
      <w:numFmt w:val="bullet"/>
      <w:lvlText w:val="•"/>
      <w:lvlJc w:val="left"/>
      <w:pPr>
        <w:ind w:left="1846" w:hanging="360"/>
      </w:pPr>
      <w:rPr>
        <w:rFonts w:hint="default"/>
      </w:rPr>
    </w:lvl>
    <w:lvl w:ilvl="6">
      <w:start w:val="0"/>
      <w:numFmt w:val="bullet"/>
      <w:lvlText w:val="•"/>
      <w:lvlJc w:val="left"/>
      <w:pPr>
        <w:ind w:left="2103" w:hanging="360"/>
      </w:pPr>
      <w:rPr>
        <w:rFonts w:hint="default"/>
      </w:rPr>
    </w:lvl>
    <w:lvl w:ilvl="7">
      <w:start w:val="0"/>
      <w:numFmt w:val="bullet"/>
      <w:lvlText w:val="•"/>
      <w:lvlJc w:val="left"/>
      <w:pPr>
        <w:ind w:left="2360" w:hanging="360"/>
      </w:pPr>
      <w:rPr>
        <w:rFonts w:hint="default"/>
      </w:rPr>
    </w:lvl>
    <w:lvl w:ilvl="8">
      <w:start w:val="0"/>
      <w:numFmt w:val="bullet"/>
      <w:lvlText w:val="•"/>
      <w:lvlJc w:val="left"/>
      <w:pPr>
        <w:ind w:left="2616" w:hanging="360"/>
      </w:pPr>
      <w:rPr>
        <w:rFonts w:hint="default"/>
      </w:rPr>
    </w:lvl>
  </w:abstractNum>
  <w:abstractNum w:abstractNumId="5">
    <w:multiLevelType w:val="hybridMultilevel"/>
    <w:lvl w:ilvl="0">
      <w:start w:val="16"/>
      <w:numFmt w:val="decimal"/>
      <w:lvlText w:val="%1."/>
      <w:lvlJc w:val="left"/>
      <w:pPr>
        <w:ind w:left="459" w:hanging="361"/>
        <w:jc w:val="left"/>
      </w:pPr>
      <w:rPr>
        <w:rFonts w:hint="default" w:ascii="Arial Narrow" w:hAnsi="Arial Narrow" w:eastAsia="Arial Narrow" w:cs="Arial Narrow"/>
        <w:b/>
        <w:bCs/>
        <w:w w:val="100"/>
        <w:sz w:val="20"/>
        <w:szCs w:val="20"/>
      </w:rPr>
    </w:lvl>
    <w:lvl w:ilvl="1">
      <w:start w:val="1"/>
      <w:numFmt w:val="lowerLetter"/>
      <w:lvlText w:val="%2)"/>
      <w:lvlJc w:val="left"/>
      <w:pPr>
        <w:ind w:left="818" w:hanging="360"/>
        <w:jc w:val="left"/>
      </w:pPr>
      <w:rPr>
        <w:rFonts w:hint="default" w:ascii="Arial Narrow" w:hAnsi="Arial Narrow" w:eastAsia="Arial Narrow" w:cs="Arial Narrow"/>
        <w:b/>
        <w:bCs/>
        <w:spacing w:val="-1"/>
        <w:w w:val="100"/>
        <w:sz w:val="20"/>
        <w:szCs w:val="20"/>
      </w:rPr>
    </w:lvl>
    <w:lvl w:ilvl="2">
      <w:start w:val="0"/>
      <w:numFmt w:val="bullet"/>
      <w:lvlText w:val="•"/>
      <w:lvlJc w:val="left"/>
      <w:pPr>
        <w:ind w:left="1076" w:hanging="360"/>
      </w:pPr>
      <w:rPr>
        <w:rFonts w:hint="default"/>
      </w:rPr>
    </w:lvl>
    <w:lvl w:ilvl="3">
      <w:start w:val="0"/>
      <w:numFmt w:val="bullet"/>
      <w:lvlText w:val="•"/>
      <w:lvlJc w:val="left"/>
      <w:pPr>
        <w:ind w:left="1333" w:hanging="360"/>
      </w:pPr>
      <w:rPr>
        <w:rFonts w:hint="default"/>
      </w:rPr>
    </w:lvl>
    <w:lvl w:ilvl="4">
      <w:start w:val="0"/>
      <w:numFmt w:val="bullet"/>
      <w:lvlText w:val="•"/>
      <w:lvlJc w:val="left"/>
      <w:pPr>
        <w:ind w:left="1590" w:hanging="360"/>
      </w:pPr>
      <w:rPr>
        <w:rFonts w:hint="default"/>
      </w:rPr>
    </w:lvl>
    <w:lvl w:ilvl="5">
      <w:start w:val="0"/>
      <w:numFmt w:val="bullet"/>
      <w:lvlText w:val="•"/>
      <w:lvlJc w:val="left"/>
      <w:pPr>
        <w:ind w:left="1846" w:hanging="360"/>
      </w:pPr>
      <w:rPr>
        <w:rFonts w:hint="default"/>
      </w:rPr>
    </w:lvl>
    <w:lvl w:ilvl="6">
      <w:start w:val="0"/>
      <w:numFmt w:val="bullet"/>
      <w:lvlText w:val="•"/>
      <w:lvlJc w:val="left"/>
      <w:pPr>
        <w:ind w:left="2103" w:hanging="360"/>
      </w:pPr>
      <w:rPr>
        <w:rFonts w:hint="default"/>
      </w:rPr>
    </w:lvl>
    <w:lvl w:ilvl="7">
      <w:start w:val="0"/>
      <w:numFmt w:val="bullet"/>
      <w:lvlText w:val="•"/>
      <w:lvlJc w:val="left"/>
      <w:pPr>
        <w:ind w:left="2360" w:hanging="360"/>
      </w:pPr>
      <w:rPr>
        <w:rFonts w:hint="default"/>
      </w:rPr>
    </w:lvl>
    <w:lvl w:ilvl="8">
      <w:start w:val="0"/>
      <w:numFmt w:val="bullet"/>
      <w:lvlText w:val="•"/>
      <w:lvlJc w:val="left"/>
      <w:pPr>
        <w:ind w:left="2616" w:hanging="360"/>
      </w:pPr>
      <w:rPr>
        <w:rFonts w:hint="default"/>
      </w:rPr>
    </w:lvl>
  </w:abstractNum>
  <w:abstractNum w:abstractNumId="4">
    <w:multiLevelType w:val="hybridMultilevel"/>
    <w:lvl w:ilvl="0">
      <w:start w:val="14"/>
      <w:numFmt w:val="decimal"/>
      <w:lvlText w:val="%1."/>
      <w:lvlJc w:val="left"/>
      <w:pPr>
        <w:ind w:left="459" w:hanging="360"/>
        <w:jc w:val="left"/>
      </w:pPr>
      <w:rPr>
        <w:rFonts w:hint="default" w:ascii="Arial Narrow" w:hAnsi="Arial Narrow" w:eastAsia="Arial Narrow" w:cs="Arial Narrow"/>
        <w:b/>
        <w:bCs/>
        <w:spacing w:val="-1"/>
        <w:w w:val="100"/>
        <w:sz w:val="20"/>
        <w:szCs w:val="20"/>
      </w:rPr>
    </w:lvl>
    <w:lvl w:ilvl="1">
      <w:start w:val="1"/>
      <w:numFmt w:val="lowerLetter"/>
      <w:lvlText w:val="%2)"/>
      <w:lvlJc w:val="left"/>
      <w:pPr>
        <w:ind w:left="531" w:hanging="360"/>
        <w:jc w:val="left"/>
      </w:pPr>
      <w:rPr>
        <w:rFonts w:hint="default" w:ascii="Arial Narrow" w:hAnsi="Arial Narrow" w:eastAsia="Arial Narrow" w:cs="Arial Narrow"/>
        <w:b/>
        <w:bCs/>
        <w:spacing w:val="-1"/>
        <w:w w:val="100"/>
        <w:sz w:val="20"/>
        <w:szCs w:val="20"/>
      </w:rPr>
    </w:lvl>
    <w:lvl w:ilvl="2">
      <w:start w:val="0"/>
      <w:numFmt w:val="bullet"/>
      <w:lvlText w:val="•"/>
      <w:lvlJc w:val="left"/>
      <w:pPr>
        <w:ind w:left="827" w:hanging="360"/>
      </w:pPr>
      <w:rPr>
        <w:rFonts w:hint="default"/>
      </w:rPr>
    </w:lvl>
    <w:lvl w:ilvl="3">
      <w:start w:val="0"/>
      <w:numFmt w:val="bullet"/>
      <w:lvlText w:val="•"/>
      <w:lvlJc w:val="left"/>
      <w:pPr>
        <w:ind w:left="1115" w:hanging="360"/>
      </w:pPr>
      <w:rPr>
        <w:rFonts w:hint="default"/>
      </w:rPr>
    </w:lvl>
    <w:lvl w:ilvl="4">
      <w:start w:val="0"/>
      <w:numFmt w:val="bullet"/>
      <w:lvlText w:val="•"/>
      <w:lvlJc w:val="left"/>
      <w:pPr>
        <w:ind w:left="1403" w:hanging="360"/>
      </w:pPr>
      <w:rPr>
        <w:rFonts w:hint="default"/>
      </w:rPr>
    </w:lvl>
    <w:lvl w:ilvl="5">
      <w:start w:val="0"/>
      <w:numFmt w:val="bullet"/>
      <w:lvlText w:val="•"/>
      <w:lvlJc w:val="left"/>
      <w:pPr>
        <w:ind w:left="1691" w:hanging="360"/>
      </w:pPr>
      <w:rPr>
        <w:rFonts w:hint="default"/>
      </w:rPr>
    </w:lvl>
    <w:lvl w:ilvl="6">
      <w:start w:val="0"/>
      <w:numFmt w:val="bullet"/>
      <w:lvlText w:val="•"/>
      <w:lvlJc w:val="left"/>
      <w:pPr>
        <w:ind w:left="1978" w:hanging="360"/>
      </w:pPr>
      <w:rPr>
        <w:rFonts w:hint="default"/>
      </w:rPr>
    </w:lvl>
    <w:lvl w:ilvl="7">
      <w:start w:val="0"/>
      <w:numFmt w:val="bullet"/>
      <w:lvlText w:val="•"/>
      <w:lvlJc w:val="left"/>
      <w:pPr>
        <w:ind w:left="2266" w:hanging="360"/>
      </w:pPr>
      <w:rPr>
        <w:rFonts w:hint="default"/>
      </w:rPr>
    </w:lvl>
    <w:lvl w:ilvl="8">
      <w:start w:val="0"/>
      <w:numFmt w:val="bullet"/>
      <w:lvlText w:val="•"/>
      <w:lvlJc w:val="left"/>
      <w:pPr>
        <w:ind w:left="2554" w:hanging="360"/>
      </w:pPr>
      <w:rPr>
        <w:rFonts w:hint="default"/>
      </w:rPr>
    </w:lvl>
  </w:abstractNum>
  <w:abstractNum w:abstractNumId="3">
    <w:multiLevelType w:val="hybridMultilevel"/>
    <w:lvl w:ilvl="0">
      <w:start w:val="10"/>
      <w:numFmt w:val="decimal"/>
      <w:lvlText w:val="%1."/>
      <w:lvlJc w:val="left"/>
      <w:pPr>
        <w:ind w:left="459" w:hanging="361"/>
        <w:jc w:val="left"/>
      </w:pPr>
      <w:rPr>
        <w:rFonts w:hint="default" w:ascii="Arial Narrow" w:hAnsi="Arial Narrow" w:eastAsia="Arial Narrow" w:cs="Arial Narrow"/>
        <w:b/>
        <w:bCs/>
        <w:spacing w:val="-1"/>
        <w:w w:val="100"/>
        <w:sz w:val="20"/>
        <w:szCs w:val="20"/>
      </w:rPr>
    </w:lvl>
    <w:lvl w:ilvl="1">
      <w:start w:val="1"/>
      <w:numFmt w:val="lowerLetter"/>
      <w:lvlText w:val="%2)"/>
      <w:lvlJc w:val="left"/>
      <w:pPr>
        <w:ind w:left="801" w:hanging="360"/>
        <w:jc w:val="left"/>
      </w:pPr>
      <w:rPr>
        <w:rFonts w:hint="default" w:ascii="Arial Narrow" w:hAnsi="Arial Narrow" w:eastAsia="Arial Narrow" w:cs="Arial Narrow"/>
        <w:b/>
        <w:bCs/>
        <w:spacing w:val="-1"/>
        <w:w w:val="100"/>
        <w:sz w:val="20"/>
        <w:szCs w:val="20"/>
      </w:rPr>
    </w:lvl>
    <w:lvl w:ilvl="2">
      <w:start w:val="0"/>
      <w:numFmt w:val="bullet"/>
      <w:lvlText w:val="•"/>
      <w:lvlJc w:val="left"/>
      <w:pPr>
        <w:ind w:left="1058" w:hanging="360"/>
      </w:pPr>
      <w:rPr>
        <w:rFonts w:hint="default"/>
      </w:rPr>
    </w:lvl>
    <w:lvl w:ilvl="3">
      <w:start w:val="0"/>
      <w:numFmt w:val="bullet"/>
      <w:lvlText w:val="•"/>
      <w:lvlJc w:val="left"/>
      <w:pPr>
        <w:ind w:left="1317" w:hanging="360"/>
      </w:pPr>
      <w:rPr>
        <w:rFonts w:hint="default"/>
      </w:rPr>
    </w:lvl>
    <w:lvl w:ilvl="4">
      <w:start w:val="0"/>
      <w:numFmt w:val="bullet"/>
      <w:lvlText w:val="•"/>
      <w:lvlJc w:val="left"/>
      <w:pPr>
        <w:ind w:left="1576" w:hanging="360"/>
      </w:pPr>
      <w:rPr>
        <w:rFonts w:hint="default"/>
      </w:rPr>
    </w:lvl>
    <w:lvl w:ilvl="5">
      <w:start w:val="0"/>
      <w:numFmt w:val="bullet"/>
      <w:lvlText w:val="•"/>
      <w:lvlJc w:val="left"/>
      <w:pPr>
        <w:ind w:left="1835" w:hanging="360"/>
      </w:pPr>
      <w:rPr>
        <w:rFonts w:hint="default"/>
      </w:rPr>
    </w:lvl>
    <w:lvl w:ilvl="6">
      <w:start w:val="0"/>
      <w:numFmt w:val="bullet"/>
      <w:lvlText w:val="•"/>
      <w:lvlJc w:val="left"/>
      <w:pPr>
        <w:ind w:left="2094" w:hanging="360"/>
      </w:pPr>
      <w:rPr>
        <w:rFonts w:hint="default"/>
      </w:rPr>
    </w:lvl>
    <w:lvl w:ilvl="7">
      <w:start w:val="0"/>
      <w:numFmt w:val="bullet"/>
      <w:lvlText w:val="•"/>
      <w:lvlJc w:val="left"/>
      <w:pPr>
        <w:ind w:left="2353" w:hanging="360"/>
      </w:pPr>
      <w:rPr>
        <w:rFonts w:hint="default"/>
      </w:rPr>
    </w:lvl>
    <w:lvl w:ilvl="8">
      <w:start w:val="0"/>
      <w:numFmt w:val="bullet"/>
      <w:lvlText w:val="•"/>
      <w:lvlJc w:val="left"/>
      <w:pPr>
        <w:ind w:left="2612" w:hanging="360"/>
      </w:pPr>
      <w:rPr>
        <w:rFonts w:hint="default"/>
      </w:rPr>
    </w:lvl>
  </w:abstractNum>
  <w:abstractNum w:abstractNumId="2">
    <w:multiLevelType w:val="hybridMultilevel"/>
    <w:lvl w:ilvl="0">
      <w:start w:val="9"/>
      <w:numFmt w:val="decimal"/>
      <w:lvlText w:val="%1."/>
      <w:lvlJc w:val="left"/>
      <w:pPr>
        <w:ind w:left="458" w:hanging="360"/>
        <w:jc w:val="left"/>
      </w:pPr>
      <w:rPr>
        <w:rFonts w:hint="default" w:ascii="Arial Narrow" w:hAnsi="Arial Narrow" w:eastAsia="Arial Narrow" w:cs="Arial Narrow"/>
        <w:b/>
        <w:bCs/>
        <w:spacing w:val="-1"/>
        <w:w w:val="100"/>
        <w:sz w:val="20"/>
        <w:szCs w:val="20"/>
      </w:rPr>
    </w:lvl>
    <w:lvl w:ilvl="1">
      <w:start w:val="1"/>
      <w:numFmt w:val="lowerLetter"/>
      <w:lvlText w:val="%2)"/>
      <w:lvlJc w:val="left"/>
      <w:pPr>
        <w:ind w:left="818" w:hanging="360"/>
        <w:jc w:val="left"/>
      </w:pPr>
      <w:rPr>
        <w:rFonts w:hint="default" w:ascii="Arial Narrow" w:hAnsi="Arial Narrow" w:eastAsia="Arial Narrow" w:cs="Arial Narrow"/>
        <w:b/>
        <w:bCs/>
        <w:spacing w:val="-1"/>
        <w:w w:val="100"/>
        <w:sz w:val="20"/>
        <w:szCs w:val="20"/>
      </w:rPr>
    </w:lvl>
    <w:lvl w:ilvl="2">
      <w:start w:val="0"/>
      <w:numFmt w:val="bullet"/>
      <w:lvlText w:val="•"/>
      <w:lvlJc w:val="left"/>
      <w:pPr>
        <w:ind w:left="1076" w:hanging="360"/>
      </w:pPr>
      <w:rPr>
        <w:rFonts w:hint="default"/>
      </w:rPr>
    </w:lvl>
    <w:lvl w:ilvl="3">
      <w:start w:val="0"/>
      <w:numFmt w:val="bullet"/>
      <w:lvlText w:val="•"/>
      <w:lvlJc w:val="left"/>
      <w:pPr>
        <w:ind w:left="1333" w:hanging="360"/>
      </w:pPr>
      <w:rPr>
        <w:rFonts w:hint="default"/>
      </w:rPr>
    </w:lvl>
    <w:lvl w:ilvl="4">
      <w:start w:val="0"/>
      <w:numFmt w:val="bullet"/>
      <w:lvlText w:val="•"/>
      <w:lvlJc w:val="left"/>
      <w:pPr>
        <w:ind w:left="1590" w:hanging="360"/>
      </w:pPr>
      <w:rPr>
        <w:rFonts w:hint="default"/>
      </w:rPr>
    </w:lvl>
    <w:lvl w:ilvl="5">
      <w:start w:val="0"/>
      <w:numFmt w:val="bullet"/>
      <w:lvlText w:val="•"/>
      <w:lvlJc w:val="left"/>
      <w:pPr>
        <w:ind w:left="1846" w:hanging="360"/>
      </w:pPr>
      <w:rPr>
        <w:rFonts w:hint="default"/>
      </w:rPr>
    </w:lvl>
    <w:lvl w:ilvl="6">
      <w:start w:val="0"/>
      <w:numFmt w:val="bullet"/>
      <w:lvlText w:val="•"/>
      <w:lvlJc w:val="left"/>
      <w:pPr>
        <w:ind w:left="2103" w:hanging="360"/>
      </w:pPr>
      <w:rPr>
        <w:rFonts w:hint="default"/>
      </w:rPr>
    </w:lvl>
    <w:lvl w:ilvl="7">
      <w:start w:val="0"/>
      <w:numFmt w:val="bullet"/>
      <w:lvlText w:val="•"/>
      <w:lvlJc w:val="left"/>
      <w:pPr>
        <w:ind w:left="2360" w:hanging="360"/>
      </w:pPr>
      <w:rPr>
        <w:rFonts w:hint="default"/>
      </w:rPr>
    </w:lvl>
    <w:lvl w:ilvl="8">
      <w:start w:val="0"/>
      <w:numFmt w:val="bullet"/>
      <w:lvlText w:val="•"/>
      <w:lvlJc w:val="left"/>
      <w:pPr>
        <w:ind w:left="2616" w:hanging="360"/>
      </w:pPr>
      <w:rPr>
        <w:rFonts w:hint="default"/>
      </w:rPr>
    </w:lvl>
  </w:abstractNum>
  <w:abstractNum w:abstractNumId="1">
    <w:multiLevelType w:val="hybridMultilevel"/>
    <w:lvl w:ilvl="0">
      <w:start w:val="8"/>
      <w:numFmt w:val="decimal"/>
      <w:lvlText w:val="%1."/>
      <w:lvlJc w:val="left"/>
      <w:pPr>
        <w:ind w:left="459" w:hanging="360"/>
        <w:jc w:val="left"/>
      </w:pPr>
      <w:rPr>
        <w:rFonts w:hint="default" w:ascii="Arial Narrow" w:hAnsi="Arial Narrow" w:eastAsia="Arial Narrow" w:cs="Arial Narrow"/>
        <w:b/>
        <w:bCs/>
        <w:spacing w:val="-1"/>
        <w:w w:val="100"/>
        <w:sz w:val="20"/>
        <w:szCs w:val="20"/>
      </w:rPr>
    </w:lvl>
    <w:lvl w:ilvl="1">
      <w:start w:val="1"/>
      <w:numFmt w:val="lowerLetter"/>
      <w:lvlText w:val="%2)"/>
      <w:lvlJc w:val="left"/>
      <w:pPr>
        <w:ind w:left="819" w:hanging="360"/>
        <w:jc w:val="left"/>
      </w:pPr>
      <w:rPr>
        <w:rFonts w:hint="default" w:ascii="Arial Narrow" w:hAnsi="Arial Narrow" w:eastAsia="Arial Narrow" w:cs="Arial Narrow"/>
        <w:b/>
        <w:bCs/>
        <w:spacing w:val="-1"/>
        <w:w w:val="100"/>
        <w:sz w:val="20"/>
        <w:szCs w:val="20"/>
      </w:rPr>
    </w:lvl>
    <w:lvl w:ilvl="2">
      <w:start w:val="0"/>
      <w:numFmt w:val="bullet"/>
      <w:lvlText w:val="•"/>
      <w:lvlJc w:val="left"/>
      <w:pPr>
        <w:ind w:left="1076" w:hanging="360"/>
      </w:pPr>
      <w:rPr>
        <w:rFonts w:hint="default"/>
      </w:rPr>
    </w:lvl>
    <w:lvl w:ilvl="3">
      <w:start w:val="0"/>
      <w:numFmt w:val="bullet"/>
      <w:lvlText w:val="•"/>
      <w:lvlJc w:val="left"/>
      <w:pPr>
        <w:ind w:left="1333" w:hanging="360"/>
      </w:pPr>
      <w:rPr>
        <w:rFonts w:hint="default"/>
      </w:rPr>
    </w:lvl>
    <w:lvl w:ilvl="4">
      <w:start w:val="0"/>
      <w:numFmt w:val="bullet"/>
      <w:lvlText w:val="•"/>
      <w:lvlJc w:val="left"/>
      <w:pPr>
        <w:ind w:left="1590" w:hanging="360"/>
      </w:pPr>
      <w:rPr>
        <w:rFonts w:hint="default"/>
      </w:rPr>
    </w:lvl>
    <w:lvl w:ilvl="5">
      <w:start w:val="0"/>
      <w:numFmt w:val="bullet"/>
      <w:lvlText w:val="•"/>
      <w:lvlJc w:val="left"/>
      <w:pPr>
        <w:ind w:left="1846" w:hanging="360"/>
      </w:pPr>
      <w:rPr>
        <w:rFonts w:hint="default"/>
      </w:rPr>
    </w:lvl>
    <w:lvl w:ilvl="6">
      <w:start w:val="0"/>
      <w:numFmt w:val="bullet"/>
      <w:lvlText w:val="•"/>
      <w:lvlJc w:val="left"/>
      <w:pPr>
        <w:ind w:left="2103" w:hanging="360"/>
      </w:pPr>
      <w:rPr>
        <w:rFonts w:hint="default"/>
      </w:rPr>
    </w:lvl>
    <w:lvl w:ilvl="7">
      <w:start w:val="0"/>
      <w:numFmt w:val="bullet"/>
      <w:lvlText w:val="•"/>
      <w:lvlJc w:val="left"/>
      <w:pPr>
        <w:ind w:left="2360" w:hanging="360"/>
      </w:pPr>
      <w:rPr>
        <w:rFonts w:hint="default"/>
      </w:rPr>
    </w:lvl>
    <w:lvl w:ilvl="8">
      <w:start w:val="0"/>
      <w:numFmt w:val="bullet"/>
      <w:lvlText w:val="•"/>
      <w:lvlJc w:val="left"/>
      <w:pPr>
        <w:ind w:left="2616" w:hanging="360"/>
      </w:pPr>
      <w:rPr>
        <w:rFonts w:hint="default"/>
      </w:rPr>
    </w:lvl>
  </w:abstractNum>
  <w:abstractNum w:abstractNumId="0">
    <w:multiLevelType w:val="hybridMultilevel"/>
    <w:lvl w:ilvl="0">
      <w:start w:val="5"/>
      <w:numFmt w:val="decimal"/>
      <w:lvlText w:val="%1."/>
      <w:lvlJc w:val="left"/>
      <w:pPr>
        <w:ind w:left="459" w:hanging="361"/>
        <w:jc w:val="left"/>
      </w:pPr>
      <w:rPr>
        <w:rFonts w:hint="default" w:ascii="Arial Narrow" w:hAnsi="Arial Narrow" w:eastAsia="Arial Narrow" w:cs="Arial Narrow"/>
        <w:b/>
        <w:bCs/>
        <w:w w:val="100"/>
        <w:sz w:val="20"/>
        <w:szCs w:val="20"/>
      </w:rPr>
    </w:lvl>
    <w:lvl w:ilvl="1">
      <w:start w:val="1"/>
      <w:numFmt w:val="lowerLetter"/>
      <w:lvlText w:val="%2)"/>
      <w:lvlJc w:val="left"/>
      <w:pPr>
        <w:ind w:left="531" w:hanging="360"/>
        <w:jc w:val="left"/>
      </w:pPr>
      <w:rPr>
        <w:rFonts w:hint="default" w:ascii="Arial Narrow" w:hAnsi="Arial Narrow" w:eastAsia="Arial Narrow" w:cs="Arial Narrow"/>
        <w:b/>
        <w:bCs/>
        <w:spacing w:val="-1"/>
        <w:w w:val="100"/>
        <w:sz w:val="20"/>
        <w:szCs w:val="20"/>
      </w:rPr>
    </w:lvl>
    <w:lvl w:ilvl="2">
      <w:start w:val="0"/>
      <w:numFmt w:val="bullet"/>
      <w:lvlText w:val="•"/>
      <w:lvlJc w:val="left"/>
      <w:pPr>
        <w:ind w:left="827" w:hanging="360"/>
      </w:pPr>
      <w:rPr>
        <w:rFonts w:hint="default"/>
      </w:rPr>
    </w:lvl>
    <w:lvl w:ilvl="3">
      <w:start w:val="0"/>
      <w:numFmt w:val="bullet"/>
      <w:lvlText w:val="•"/>
      <w:lvlJc w:val="left"/>
      <w:pPr>
        <w:ind w:left="1115" w:hanging="360"/>
      </w:pPr>
      <w:rPr>
        <w:rFonts w:hint="default"/>
      </w:rPr>
    </w:lvl>
    <w:lvl w:ilvl="4">
      <w:start w:val="0"/>
      <w:numFmt w:val="bullet"/>
      <w:lvlText w:val="•"/>
      <w:lvlJc w:val="left"/>
      <w:pPr>
        <w:ind w:left="1403" w:hanging="360"/>
      </w:pPr>
      <w:rPr>
        <w:rFonts w:hint="default"/>
      </w:rPr>
    </w:lvl>
    <w:lvl w:ilvl="5">
      <w:start w:val="0"/>
      <w:numFmt w:val="bullet"/>
      <w:lvlText w:val="•"/>
      <w:lvlJc w:val="left"/>
      <w:pPr>
        <w:ind w:left="1691" w:hanging="360"/>
      </w:pPr>
      <w:rPr>
        <w:rFonts w:hint="default"/>
      </w:rPr>
    </w:lvl>
    <w:lvl w:ilvl="6">
      <w:start w:val="0"/>
      <w:numFmt w:val="bullet"/>
      <w:lvlText w:val="•"/>
      <w:lvlJc w:val="left"/>
      <w:pPr>
        <w:ind w:left="1978" w:hanging="360"/>
      </w:pPr>
      <w:rPr>
        <w:rFonts w:hint="default"/>
      </w:rPr>
    </w:lvl>
    <w:lvl w:ilvl="7">
      <w:start w:val="0"/>
      <w:numFmt w:val="bullet"/>
      <w:lvlText w:val="•"/>
      <w:lvlJc w:val="left"/>
      <w:pPr>
        <w:ind w:left="2266" w:hanging="360"/>
      </w:pPr>
      <w:rPr>
        <w:rFonts w:hint="default"/>
      </w:rPr>
    </w:lvl>
    <w:lvl w:ilvl="8">
      <w:start w:val="0"/>
      <w:numFmt w:val="bullet"/>
      <w:lvlText w:val="•"/>
      <w:lvlJc w:val="left"/>
      <w:pPr>
        <w:ind w:left="2554" w:hanging="36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320" w:lineRule="exact"/>
      <w:ind w:left="187" w:right="3186"/>
      <w:jc w:val="center"/>
      <w:outlineLvl w:val="1"/>
    </w:pPr>
    <w:rPr>
      <w:rFonts w:ascii="Arial Narrow" w:hAnsi="Arial Narrow" w:eastAsia="Arial Narrow" w:cs="Arial Narrow"/>
      <w:b/>
      <w:bCs/>
      <w:sz w:val="28"/>
      <w:szCs w:val="28"/>
    </w:rPr>
  </w:style>
  <w:style w:styleId="Heading2" w:type="paragraph">
    <w:name w:val="Heading 2"/>
    <w:basedOn w:val="Normal"/>
    <w:uiPriority w:val="1"/>
    <w:qFormat/>
    <w:pPr>
      <w:ind w:left="380"/>
      <w:outlineLvl w:val="2"/>
    </w:pPr>
    <w:rPr>
      <w:rFonts w:ascii="Arial" w:hAnsi="Arial" w:eastAsia="Arial" w:cs="Arial"/>
      <w:b/>
      <w:bCs/>
      <w:sz w:val="20"/>
      <w:szCs w:val="20"/>
    </w:rPr>
  </w:style>
  <w:style w:styleId="ListParagraph" w:type="paragraph">
    <w:name w:val="List Paragraph"/>
    <w:basedOn w:val="Normal"/>
    <w:uiPriority w:val="1"/>
    <w:qFormat/>
    <w:pPr>
      <w:spacing w:before="158"/>
      <w:ind w:left="1316" w:hanging="360"/>
    </w:pPr>
    <w:rPr>
      <w:rFonts w:ascii="Arial" w:hAnsi="Arial" w:eastAsia="Arial" w:cs="Arial"/>
    </w:rPr>
  </w:style>
  <w:style w:styleId="TableParagraph" w:type="paragraph">
    <w:name w:val="Table Paragraph"/>
    <w:basedOn w:val="Normal"/>
    <w:uiPriority w:val="1"/>
    <w:qFormat/>
    <w:pPr>
      <w:ind w:left="107"/>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colifega.org/" TargetMode="External"/><Relationship Id="rId10" Type="http://schemas.openxmlformats.org/officeDocument/2006/relationships/hyperlink" Target="mailto:jwrhodes@colifega.org"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LAYSN</dc:creator>
  <dc:title>Microsoft Word - COSGPPOGFHPDF_PPO 40 500D 80 BA72 Z101.0118.s.v1.doc</dc:title>
  <dcterms:created xsi:type="dcterms:W3CDTF">2018-03-20T04:54:33Z</dcterms:created>
  <dcterms:modified xsi:type="dcterms:W3CDTF">2018-03-20T04:54:33Z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2017-11-17T00:00:00Z</vt:filetime>
  </property>
  <property fmtid="{D5CDD505-2E9C-101B-9397-08002B2CF9AE}" pid="3" name="Creator">
    <vt:lpwstr>PScript5.dll Version 5.2.2</vt:lpwstr>
  </property>
  <property fmtid="{D5CDD505-2E9C-101B-9397-08002B2CF9AE}" pid="4" name="LastSaved">
    <vt:filetime>2018-03-20T00:00:00Z</vt:filetime>
  </property>
</Properties>
</file>