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0"/>
        </w:rPr>
        <w:t>KB Enhancement Implementation Summary</w:t>
      </w:r>
    </w:p>
    <w:p>
      <w:pPr>
        <w:jc w:val="center"/>
      </w:pPr>
      <w:r>
        <w:rPr>
          <w:rFonts w:ascii="Calibri" w:hAnsi="Calibri" w:eastAsia="Calibri"/>
          <w:b w:val="0"/>
          <w:color w:val="5B5B5B"/>
          <w:sz w:val="22"/>
        </w:rPr>
        <w:t>Updated with TL gap fixes — recursive co-retrieval, Hybrid live wiring, benchmark evidence</w:t>
      </w:r>
    </w:p>
    <w:p/>
    <w:p>
      <w:pPr>
        <w:pStyle w:val="Heading1"/>
      </w:pPr>
      <w:r>
        <w:rPr>
          <w:color w:val="1F4E79"/>
        </w:rPr>
        <w:t>1. Overview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document describes the KB enhancement work: canonical schema, SQLite structured database, three retrieval pipelines (Vector, Vectorless, Hybrid), test cases, and KB APIs. It also documents TL gap fixes: recursive co-retrieval, step ordering, live Hybrid wiring, and benchmark evidence.</w:t>
      </w:r>
    </w:p>
    <w:p>
      <w:pPr>
        <w:pStyle w:val="Heading1"/>
      </w:pPr>
      <w:r>
        <w:rPr>
          <w:color w:val="1F4E79"/>
        </w:rPr>
        <w:t>2. Qdrant vs SQLite — Why Both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Qdrant provides semantic vector search (finds related articles by meaning). SQLite provides structured articles, co-retrieval rules, search terms, and device mappings. Hybrid (production default) uses Qdrant for recall and SQLite for recursive co-retrieval and structured step fields. Vectorless uses SQLite only (no embedding cost).</w:t>
      </w:r>
    </w:p>
    <w:p>
      <w:pPr>
        <w:pStyle w:val="Heading1"/>
      </w:pPr>
      <w:r>
        <w:rPr>
          <w:color w:val="1F4E79"/>
        </w:rPr>
        <w:t>3. Co-Retrieval Policy (Recursive Case Mapping)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Algorithm: BFS over co_retrieval_rules table in SQLite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Max depth: 3 (configurable via CO_RETRIEVAL_MAX_DEPTH)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Multiple child cases: all companions enqueued; duplicates removed via visited set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Cycle prevention: re-visiting a seen article skips the edge (cycles_skipped logged)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Unresolved references: rule points to missing article → unresolved_ids logged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Ordering: primary articles first, companions in BFS discovery order</w:t>
      </w:r>
    </w:p>
    <w:p>
      <w:pPr>
        <w:pStyle w:val="Heading1"/>
      </w:pPr>
      <w:r>
        <w:rPr>
          <w:color w:val="1F4E79"/>
        </w:rPr>
        <w:t>4. Step Continuation Policy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PRIMARY PROCEDURE blocks for top-ranked matched articles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CONTINUE WITH RELATED PROCEDURE blocks for companion chain (after primary steps)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LLM prompt: follow primary steps in order, then companion steps; never show KB IDs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mix device-specific procedures across POS, Kiosk, Hub, Card Reader</w:t>
      </w:r>
    </w:p>
    <w:p>
      <w:pPr>
        <w:pStyle w:val="Heading1"/>
      </w:pPr>
      <w:r>
        <w:rPr>
          <w:color w:val="1F4E79"/>
        </w:rPr>
        <w:t>5. Benchmark Results (50 test cases)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Method</w:t>
            </w:r>
          </w:p>
        </w:tc>
        <w:tc>
          <w:tcPr>
            <w:tcW w:type="dxa" w:w="1872"/>
          </w:tcPr>
          <w:p>
            <w:r>
              <w:t>Accuracy</w:t>
            </w:r>
          </w:p>
        </w:tc>
        <w:tc>
          <w:tcPr>
            <w:tcW w:type="dxa" w:w="1872"/>
          </w:tcPr>
          <w:p>
            <w:r>
              <w:t>Co-retrieval</w:t>
            </w:r>
          </w:p>
        </w:tc>
        <w:tc>
          <w:tcPr>
            <w:tcW w:type="dxa" w:w="1872"/>
          </w:tcPr>
          <w:p>
            <w:r>
              <w:t>Wrong-device</w:t>
            </w:r>
          </w:p>
        </w:tc>
        <w:tc>
          <w:tcPr>
            <w:tcW w:type="dxa" w:w="1872"/>
          </w:tcPr>
          <w:p>
            <w:r>
              <w:t>Avg latency</w:t>
            </w:r>
          </w:p>
        </w:tc>
      </w:tr>
      <w:tr>
        <w:tc>
          <w:tcPr>
            <w:tcW w:type="dxa" w:w="1872"/>
          </w:tcPr>
          <w:p>
            <w:r>
              <w:t>Vectorless</w:t>
            </w:r>
          </w:p>
        </w:tc>
        <w:tc>
          <w:tcPr>
            <w:tcW w:type="dxa" w:w="1872"/>
          </w:tcPr>
          <w:p>
            <w:r>
              <w:t>72.0% (36/50)</w:t>
            </w:r>
          </w:p>
        </w:tc>
        <w:tc>
          <w:tcPr>
            <w:tcW w:type="dxa" w:w="1872"/>
          </w:tcPr>
          <w:p>
            <w:r>
              <w:t>90.0% (9/10)</w:t>
            </w:r>
          </w:p>
        </w:tc>
        <w:tc>
          <w:tcPr>
            <w:tcW w:type="dxa" w:w="1872"/>
          </w:tcPr>
          <w:p>
            <w:r>
              <w:t>4.0%</w:t>
            </w:r>
          </w:p>
        </w:tc>
        <w:tc>
          <w:tcPr>
            <w:tcW w:type="dxa" w:w="1872"/>
          </w:tcPr>
          <w:p>
            <w:r>
              <w:t>73.4 ms</w:t>
            </w:r>
          </w:p>
        </w:tc>
      </w:tr>
      <w:tr>
        <w:tc>
          <w:tcPr>
            <w:tcW w:type="dxa" w:w="1872"/>
          </w:tcPr>
          <w:p>
            <w:r>
              <w:t>Vector (Qdrant)</w:t>
            </w:r>
          </w:p>
        </w:tc>
        <w:tc>
          <w:tcPr>
            <w:tcW w:type="dxa" w:w="1872"/>
          </w:tcPr>
          <w:p>
            <w:r>
              <w:t>90.0% (45/50)</w:t>
            </w:r>
          </w:p>
        </w:tc>
        <w:tc>
          <w:tcPr>
            <w:tcW w:type="dxa" w:w="1872"/>
          </w:tcPr>
          <w:p>
            <w:r>
              <w:t>100.0% (10/10)</w:t>
            </w:r>
          </w:p>
        </w:tc>
        <w:tc>
          <w:tcPr>
            <w:tcW w:type="dxa" w:w="1872"/>
          </w:tcPr>
          <w:p>
            <w:r>
              <w:t>28.0%</w:t>
            </w:r>
          </w:p>
        </w:tc>
        <w:tc>
          <w:tcPr>
            <w:tcW w:type="dxa" w:w="1872"/>
          </w:tcPr>
          <w:p>
            <w:r>
              <w:t>485.7 ms</w:t>
            </w:r>
          </w:p>
        </w:tc>
      </w:tr>
      <w:tr>
        <w:tc>
          <w:tcPr>
            <w:tcW w:type="dxa" w:w="1872"/>
          </w:tcPr>
          <w:p>
            <w:r>
              <w:t>Hybrid (default)</w:t>
            </w:r>
          </w:p>
        </w:tc>
        <w:tc>
          <w:tcPr>
            <w:tcW w:type="dxa" w:w="1872"/>
          </w:tcPr>
          <w:p>
            <w:r>
              <w:t>86.0% (43/50)</w:t>
            </w:r>
          </w:p>
        </w:tc>
        <w:tc>
          <w:tcPr>
            <w:tcW w:type="dxa" w:w="1872"/>
          </w:tcPr>
          <w:p>
            <w:r>
              <w:t>90.0% (9/10)</w:t>
            </w:r>
          </w:p>
        </w:tc>
        <w:tc>
          <w:tcPr>
            <w:tcW w:type="dxa" w:w="1872"/>
          </w:tcPr>
          <w:p>
            <w:r>
              <w:t>13.0%</w:t>
            </w:r>
          </w:p>
        </w:tc>
        <w:tc>
          <w:tcPr>
            <w:tcW w:type="dxa" w:w="1872"/>
          </w:tcPr>
          <w:p>
            <w:r>
              <w:t>997.1 ms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 w:val="0"/>
          <w:sz w:val="22"/>
        </w:rPr>
        <w:t>Conclusion: Hybrid is the production default — best balance of accuracy and wrong-device prevention. Vectorless remains for zero-embedding-cost scenarios.</w:t>
      </w:r>
    </w:p>
    <w:p>
      <w:pPr>
        <w:pStyle w:val="Heading1"/>
      </w:pPr>
      <w:r>
        <w:rPr>
          <w:color w:val="1F4E79"/>
        </w:rPr>
        <w:t>6. Live Production Path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Operator chat (nodes.py) → RAGService.query() → hybrid_retrieve() by default. Router intent and device_type are passed for filtering. Fallback to vector path if Hybrid fails.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Config: RAG_RETRIEVAL_METHOD=hybrid (default)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Config: CO_RETRIEVAL_MAX_DEPTH=3</w:t>
      </w:r>
    </w:p>
    <w:p>
      <w:pPr>
        <w:pStyle w:val="Heading1"/>
      </w:pPr>
      <w:r>
        <w:rPr>
          <w:color w:val="1F4E79"/>
        </w:rPr>
        <w:t>7. 12-Task Implementation Summary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Task 1 — Schema: CanonicalArticle Pydantic model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Task 2 — KB Data Clean: Section 0 filter, structured fields, KB-ID strip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Task 3 — SQLite DB: 171 articles, 18 co-retrieval rules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Task 4 — Normalization: Device/category standardization at ingest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Task 5 — Co-Retrieval: Recursive BFS rules + prompt hide IDs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Task 6 — Vector Pipeline: Qdrant + FlashRank + logging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Task 7 — Vectorless: SQLite + keyword, no embeddings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Task 8 — Hybrid: Qdrant + device filter + recursive co-retrieval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Task 9 — Test Cases: 50 retrieval test cases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Task 10 — Compare: Benchmark tooling + results in Section 5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Task 11 — Tune: Hybrid default; fuzzy intent matching for Vectorless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Task 12 — APIs: POST /kb/search, GET /kb/article, /companions, /diagnostics</w:t>
      </w:r>
    </w:p>
    <w:p>
      <w:pPr>
        <w:pStyle w:val="Heading1"/>
      </w:pPr>
      <w:r>
        <w:rPr>
          <w:color w:val="1F4E79"/>
        </w:rPr>
        <w:t>8. Files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src/services/co_retrieval.py — recursive BFS engine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src/services/article_context.py — ordered context builder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src/services/hybrid_rag.py — Hybrid pipeline (updated)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src/services/rag_service.py — Hybrid live default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src/agent/nodes.py — intent/device passed to RAG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tests/test_co_retrieval.py — unit tests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docs/KB_TL_GAP_FIX_NOTES.md — gap fix reference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