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Arial" w:hAnsi="Arial"/>
          <w:b/>
          <w:color w:val="1A56DB"/>
          <w:sz w:val="48"/>
        </w:rPr>
        <w:t>DOCTOR PORTAL FEATURE IMPLEMENTATION DOCUMENT</w:t>
      </w:r>
    </w:p>
    <w:p>
      <w:pPr>
        <w:spacing w:after="480"/>
      </w:pPr>
      <w:r>
        <w:rPr>
          <w:rFonts w:ascii="Arial" w:hAnsi="Arial"/>
          <w:i/>
          <w:color w:val="475569"/>
          <w:sz w:val="24"/>
        </w:rPr>
        <w:t>Comprehensive Engineering Summary &amp; Functional Overview for Team Lead Review</w:t>
      </w:r>
    </w:p>
    <w:p>
      <w:pPr>
        <w:pBdr>
          <w:bottom w:val="single" w:sz="6" w:space="1" w:color="CBD5E1"/>
        </w:pBdr>
      </w:pPr>
    </w:p>
    <w:p>
      <w:pPr>
        <w:pStyle w:val="Heading1"/>
        <w:spacing w:before="360" w:after="120"/>
      </w:pPr>
      <w:r>
        <w:rPr>
          <w:rFonts w:ascii="Arial" w:hAnsi="Arial"/>
          <w:b/>
          <w:color w:val="1A56DB"/>
          <w:sz w:val="32"/>
        </w:rPr>
        <w:t>1. Executive Summary</w:t>
      </w:r>
    </w:p>
    <w:p>
      <w:pPr>
        <w:spacing w:after="200" w:line="276" w:lineRule="auto"/>
      </w:pPr>
      <w:r>
        <w:rPr>
          <w:rFonts w:ascii="Arial" w:hAnsi="Arial"/>
          <w:color w:val="1E293B"/>
          <w:sz w:val="22"/>
        </w:rPr>
        <w:t>This technical document outlines the design, architecture, and functional deliverables successfully completed for the front-end application layer of the Doctor Portal. Built on top of a unified authentication layout, the system provides a production-grade, highly intuitive interface for medical practitioners. Every element has been modularized and dynamically bound to local microservice endpoints using a highly responsive architecture.</w:t>
      </w:r>
    </w:p>
    <w:tbl>
      <w:tblPr>
        <w:tblW w:type="auto" w:w="0"/>
        <w:jc w:val="center"/>
        <w:tblLook w:firstColumn="1" w:firstRow="1" w:lastColumn="0" w:lastRow="0" w:noHBand="0" w:noVBand="1" w:val="04A0"/>
      </w:tblPr>
      <w:tblGrid>
        <w:gridCol w:w="9360"/>
      </w:tblGrid>
      <w:tr>
        <w:tc>
          <w:tcPr>
            <w:tcW w:type="dxa" w:w="9360"/>
            <w:shd w:fill="F0F4F8"/>
            <w:tcMar>
              <w:top w:w="144" w:type="dxa"/>
              <w:bottom w:w="144" w:type="dxa"/>
              <w:left w:w="216" w:type="dxa"/>
              <w:right w:w="216" w:type="dxa"/>
            </w:tcMar>
            <w:tcBorders>
              <w:left w:val="single" w:sz="24" w:space="0" w:color="1A56DB"/>
              <w:top w:val="none"/>
              <w:right w:val="none"/>
              <w:bottom w:val="none"/>
            </w:tcBorders>
          </w:tcPr>
          <w:p>
            <w:pPr>
              <w:spacing w:before="40" w:after="40"/>
            </w:pPr>
            <w:r>
              <w:rPr>
                <w:rFonts w:ascii="Arial" w:hAnsi="Arial"/>
                <w:i/>
                <w:color w:val="1E293B"/>
                <w:sz w:val="21"/>
              </w:rPr>
              <w:t>Key Highlight: The entire platform operates strictly within a stateless Cross-Subdomain Session Propagation model using domain-scoped HTTP cookies, isolation mechanics bound to Port 7000, and a fully dynamic asset compilation pipeline powered by the Vite engine.</w:t>
            </w:r>
          </w:p>
        </w:tc>
      </w:tr>
    </w:tbl>
    <w:p/>
    <w:p>
      <w:pPr>
        <w:pStyle w:val="Heading1"/>
        <w:spacing w:before="360" w:after="120"/>
      </w:pPr>
      <w:r>
        <w:rPr>
          <w:rFonts w:ascii="Arial" w:hAnsi="Arial"/>
          <w:b/>
          <w:color w:val="1A56DB"/>
          <w:sz w:val="32"/>
        </w:rPr>
        <w:t>2. Technical Stack &amp; Workspace Setup</w:t>
      </w:r>
    </w:p>
    <w:p>
      <w:r>
        <w:rPr>
          <w:rFonts w:ascii="Arial" w:hAnsi="Arial"/>
          <w:sz w:val="22"/>
        </w:rPr>
        <w:t>To achieve instantaneous hot-reloading during local engineering cycles and production-ready build optimization, the portal code structure utilizes the following configurations:</w:t>
      </w:r>
    </w:p>
    <w:p>
      <w:pPr>
        <w:pStyle w:val="ListBullet"/>
        <w:spacing w:after="80"/>
      </w:pPr>
      <w:r>
        <w:rPr>
          <w:rFonts w:ascii="Arial" w:hAnsi="Arial"/>
          <w:b/>
          <w:color w:val="1E293B"/>
        </w:rPr>
        <w:t xml:space="preserve">Vite Compiling Engine: </w:t>
      </w:r>
      <w:r>
        <w:rPr>
          <w:rFonts w:ascii="Arial" w:hAnsi="Arial"/>
          <w:color w:val="1E293B"/>
        </w:rPr>
        <w:t>Configured inside `vite.config.js` to strictly isolate local network processes to Port 7000 (`strictPort: true`), utilizing native browser ES Modules (ESM) to optimize bundle generation timelines.</w:t>
      </w:r>
    </w:p>
    <w:p>
      <w:pPr>
        <w:pStyle w:val="ListBullet"/>
        <w:spacing w:after="80"/>
      </w:pPr>
      <w:r>
        <w:rPr>
          <w:rFonts w:ascii="Arial" w:hAnsi="Arial"/>
          <w:b/>
          <w:color w:val="1E293B"/>
        </w:rPr>
        <w:t xml:space="preserve">Tailwind &amp; PostCSS Directives: </w:t>
      </w:r>
      <w:r>
        <w:rPr>
          <w:rFonts w:ascii="Arial" w:hAnsi="Arial"/>
          <w:color w:val="1E293B"/>
        </w:rPr>
        <w:t>Integrated via `tailwind.config.js` and `postcss.config.js` to dynamically scan all internal components and views, generating utility classes automatically while completely eliminating bloated legacy client-side scripts.</w:t>
      </w:r>
    </w:p>
    <w:p>
      <w:pPr>
        <w:pStyle w:val="ListBullet"/>
        <w:spacing w:after="80"/>
      </w:pPr>
      <w:r>
        <w:rPr>
          <w:rFonts w:ascii="Arial" w:hAnsi="Arial"/>
          <w:b/>
          <w:color w:val="1E293B"/>
        </w:rPr>
        <w:t xml:space="preserve">Centralized Axios Gateway Interceptors: </w:t>
      </w:r>
      <w:r>
        <w:rPr>
          <w:rFonts w:ascii="Arial" w:hAnsi="Arial"/>
          <w:color w:val="1E293B"/>
        </w:rPr>
        <w:t>Implemented in `src/services/api.js` to inject secure authorization headers dynamically via checking wildcard root domain cookies (`.docapp.co.in`), decoupling credentials management from storage layers.</w:t>
      </w:r>
    </w:p>
    <w:p>
      <w:pPr>
        <w:pStyle w:val="Heading1"/>
        <w:spacing w:before="360" w:after="120"/>
      </w:pPr>
      <w:r>
        <w:rPr>
          <w:rFonts w:ascii="Arial" w:hAnsi="Arial"/>
          <w:b/>
          <w:color w:val="1A56DB"/>
          <w:sz w:val="32"/>
        </w:rPr>
        <w:t>3. Implemented Functional Modules</w:t>
      </w:r>
    </w:p>
    <w:p>
      <w:pPr>
        <w:pStyle w:val="Heading2"/>
        <w:spacing w:before="240" w:after="80"/>
      </w:pPr>
      <w:r>
        <w:rPr>
          <w:rFonts w:ascii="Arial" w:hAnsi="Arial"/>
          <w:b/>
          <w:color w:val="475569"/>
          <w:sz w:val="26"/>
        </w:rPr>
        <w:t>3.1 Advanced Doctor Profile &amp; Credential Management</w:t>
      </w:r>
    </w:p>
    <w:p>
      <w:r>
        <w:rPr>
          <w:rFonts w:ascii="Arial" w:hAnsi="Arial"/>
        </w:rPr>
        <w:t>The Profile view handles validation logic alongside regulatory constraint configurations:</w:t>
      </w:r>
    </w:p>
    <w:p>
      <w:pPr>
        <w:pStyle w:val="ListBullet"/>
        <w:spacing w:after="80"/>
      </w:pPr>
      <w:r>
        <w:rPr>
          <w:rFonts w:ascii="Arial" w:hAnsi="Arial"/>
          <w:color w:val="1E293B"/>
        </w:rPr>
        <w:t>Immutable System Constants: Email and Phone number inputs are permanently locked down. Once initial validation values are transmitted, the system explicitly locks out mutations on License Numbers and Years of Experience.</w:t>
      </w:r>
    </w:p>
    <w:p>
      <w:pPr>
        <w:pStyle w:val="ListBullet"/>
        <w:spacing w:after="80"/>
      </w:pPr>
      <w:r>
        <w:rPr>
          <w:rFonts w:ascii="Arial" w:hAnsi="Arial"/>
          <w:color w:val="1E293B"/>
        </w:rPr>
        <w:t>Profile Photo Lifecycle Matrix: Supports binary upload via multi-part form data to `/api/auth/upload-photo`, as well as permanent clean detachment via an absolute DELETE request directed to `/api/auth/delete-profile-pic`.</w:t>
      </w:r>
    </w:p>
    <w:p>
      <w:pPr>
        <w:pStyle w:val="ListBullet"/>
        <w:spacing w:after="80"/>
      </w:pPr>
      <w:r>
        <w:rPr>
          <w:rFonts w:ascii="Arial" w:hAnsi="Arial"/>
          <w:color w:val="1E293B"/>
        </w:rPr>
        <w:t>Identity Verification Sub-Systems: Features embedded OTP delivery and verification hooks (`sendEmailOtp`, `sendMobileOtp`, and `verifyEmailMobile`) that handle user-entered codes directly against transaction servers.</w:t>
      </w:r>
    </w:p>
    <w:p>
      <w:pPr>
        <w:pStyle w:val="ListBullet"/>
        <w:spacing w:after="80"/>
      </w:pPr>
      <w:r>
        <w:rPr>
          <w:rFonts w:ascii="Arial" w:hAnsi="Arial"/>
          <w:color w:val="1E293B"/>
        </w:rPr>
        <w:t>Practice Locations CRUD Infrastructure: Embedded forms support dynamic allocation of physical practice settings using explicit address keys (city, state, houseNo, street, pincode) integrated with backend index endpoints.</w:t>
      </w:r>
    </w:p>
    <w:p>
      <w:pPr>
        <w:pStyle w:val="ListBullet"/>
        <w:spacing w:after="80"/>
      </w:pPr>
      <w:r>
        <w:rPr>
          <w:rFonts w:ascii="Arial" w:hAnsi="Arial"/>
          <w:color w:val="1E293B"/>
        </w:rPr>
        <w:t>Institutional Banking Details: Includes dedicated sub-panels to securely capture corporate billing allocations (Account Number, Beneficiary Name, and IFSC routing code) mapped to `/api/auth/upload/bank-details`.</w:t>
      </w:r>
    </w:p>
    <w:p>
      <w:pPr>
        <w:pStyle w:val="Heading2"/>
        <w:spacing w:before="240" w:after="80"/>
      </w:pPr>
      <w:r>
        <w:rPr>
          <w:rFonts w:ascii="Arial" w:hAnsi="Arial"/>
          <w:b/>
          <w:color w:val="475569"/>
          <w:sz w:val="26"/>
        </w:rPr>
        <w:t>3.2 Document Upload Pipeline &amp; Onboarding Verifications</w:t>
      </w:r>
    </w:p>
    <w:p>
      <w:r>
        <w:rPr>
          <w:rFonts w:ascii="Arial" w:hAnsi="Arial"/>
        </w:rPr>
        <w:t>A dedicated verification workspace tracks regulatory compliance file states across isolated document matrix items:</w:t>
      </w:r>
    </w:p>
    <w:p>
      <w:pPr>
        <w:pStyle w:val="ListBullet"/>
        <w:spacing w:after="80"/>
      </w:pPr>
      <w:r>
        <w:rPr>
          <w:rFonts w:ascii="Arial" w:hAnsi="Arial"/>
          <w:color w:val="1E293B"/>
        </w:rPr>
        <w:t>Standardized Compliance Rows: Independent validation and status hooks track standard uploads like Aadhar Cards, Medical Licenses, and MBBS Degree Certificates.</w:t>
      </w:r>
    </w:p>
    <w:p>
      <w:pPr>
        <w:pStyle w:val="ListBullet"/>
        <w:spacing w:after="80"/>
      </w:pPr>
      <w:r>
        <w:rPr>
          <w:rFonts w:ascii="Arial" w:hAnsi="Arial"/>
          <w:color w:val="1E293B"/>
        </w:rPr>
        <w:t>Dynamic Wildcard Custom Fields: Enables practitioners to generate personalized rows on the fly for supplementary documents (e.g., Fellowship Certificates). Clicking the creation node dynamically establishes customized row identifiers, custom text labels, and dedicated standalone file input upload targets.</w:t>
      </w:r>
    </w:p>
    <w:p>
      <w:pPr>
        <w:pStyle w:val="Heading2"/>
        <w:spacing w:before="240" w:after="80"/>
      </w:pPr>
      <w:r>
        <w:rPr>
          <w:rFonts w:ascii="Arial" w:hAnsi="Arial"/>
          <w:b/>
          <w:color w:val="475569"/>
          <w:sz w:val="26"/>
        </w:rPr>
        <w:t>3.3 Grid-Based Availability &amp; Weekly Schedule Management</w:t>
      </w:r>
    </w:p>
    <w:p>
      <w:r>
        <w:rPr>
          <w:rFonts w:ascii="Arial" w:hAnsi="Arial"/>
        </w:rPr>
        <w:t>Manages practice limits, fees, and multi-mode schedules through a structured graphical interface:</w:t>
      </w:r>
    </w:p>
    <w:p>
      <w:pPr>
        <w:pStyle w:val="ListBullet"/>
        <w:spacing w:after="80"/>
      </w:pPr>
      <w:r>
        <w:rPr>
          <w:rFonts w:ascii="Arial" w:hAnsi="Arial"/>
          <w:color w:val="1E293B"/>
        </w:rPr>
        <w:t>Core Parameters: Configures real-time slot durations (15, 30, or 60-minute intervals) and general consultation base fees.</w:t>
      </w:r>
    </w:p>
    <w:p>
      <w:pPr>
        <w:pStyle w:val="ListBullet"/>
        <w:spacing w:after="80"/>
      </w:pPr>
      <w:r>
        <w:rPr>
          <w:rFonts w:ascii="Arial" w:hAnsi="Arial"/>
          <w:color w:val="1E293B"/>
        </w:rPr>
        <w:t>7-Day Weekly Grid Matrix: Each day features individual toggles to quickly activate or deactivate time blocks. Active entries allow manual configuration of exact login/logout parameters, complex multiple-break periods, and distinct operational consultation modes (Online, Offline, or Hybrid).</w:t>
      </w:r>
    </w:p>
    <w:p>
      <w:pPr>
        <w:pStyle w:val="Heading2"/>
        <w:spacing w:before="240" w:after="80"/>
      </w:pPr>
      <w:r>
        <w:rPr>
          <w:rFonts w:ascii="Arial" w:hAnsi="Arial"/>
          <w:b/>
          <w:color w:val="475569"/>
          <w:sz w:val="26"/>
        </w:rPr>
        <w:t>3.4 Booked Appointments Lifecycle &amp; Prescription Workspace</w:t>
      </w:r>
    </w:p>
    <w:p>
      <w:r>
        <w:rPr>
          <w:rFonts w:ascii="Arial" w:hAnsi="Arial"/>
        </w:rPr>
        <w:t>The core of daily clinical operations is managed through a fully dynamic 3-tier view routing architecture:</w:t>
      </w:r>
    </w:p>
    <w:p>
      <w:pPr>
        <w:pStyle w:val="ListBullet"/>
        <w:spacing w:after="80"/>
      </w:pPr>
      <w:r>
        <w:rPr>
          <w:rFonts w:ascii="Arial" w:hAnsi="Arial"/>
          <w:color w:val="1E293B"/>
        </w:rPr>
        <w:t>Dashboard Summary &amp; List Metrics Panel: Aggregates real-time patient metrics into visual counter states (Today, Upcoming, Pending, and Cancelled). Includes quick client-side filtering tabs, full-text patient searches, and contextual action pathways, completely avoiding legacy workflow clutter.</w:t>
      </w:r>
    </w:p>
    <w:p>
      <w:pPr>
        <w:pStyle w:val="ListBullet"/>
        <w:spacing w:after="80"/>
      </w:pPr>
      <w:r>
        <w:rPr>
          <w:rFonts w:ascii="Arial" w:hAnsi="Arial"/>
          <w:color w:val="1E293B"/>
        </w:rPr>
        <w:t>Deep-Dive Clinical Details Panel: Extracts patient metadata records, including age, gender, timelines, reported symptom notes, and highlighted allergy warnings. Clicking on linked medical history documents securely streams file URLs into sandboxed external browser windows.</w:t>
      </w:r>
    </w:p>
    <w:p>
      <w:pPr>
        <w:pStyle w:val="ListBullet"/>
        <w:spacing w:after="80"/>
      </w:pPr>
      <w:r>
        <w:rPr>
          <w:rFonts w:ascii="Arial" w:hAnsi="Arial"/>
          <w:color w:val="1E293B"/>
        </w:rPr>
        <w:t>Prescription Workspace Editor: Features fully dynamic line-item array controls to add, update, or remove distinct medications on the fly. It includes real-time validation checks, structured dropdown targets for specific pharmacies, clinical doctor notes, and native styling triggers to easily print records directly from the client.</w:t>
      </w:r>
    </w:p>
    <w:p>
      <w:pPr>
        <w:pStyle w:val="Heading2"/>
        <w:spacing w:before="240" w:after="80"/>
      </w:pPr>
      <w:r>
        <w:rPr>
          <w:rFonts w:ascii="Arial" w:hAnsi="Arial"/>
          <w:b/>
          <w:color w:val="475569"/>
          <w:sz w:val="26"/>
        </w:rPr>
        <w:t>3.5 Affiliated Hospital Discovery &amp; Admission Routing</w:t>
      </w:r>
    </w:p>
    <w:p>
      <w:r>
        <w:rPr>
          <w:rFonts w:ascii="Arial" w:hAnsi="Arial"/>
        </w:rPr>
        <w:t>A completely new discovery layout allows practitioners to connect their clinical profiles to active hospital networks:</w:t>
      </w:r>
    </w:p>
    <w:p>
      <w:pPr>
        <w:pStyle w:val="ListBullet"/>
        <w:spacing w:after="80"/>
      </w:pPr>
      <w:r>
        <w:rPr>
          <w:rFonts w:ascii="Arial" w:hAnsi="Arial"/>
          <w:color w:val="1E293B"/>
        </w:rPr>
        <w:t>Directory Index Search Engine: Queries specific institutional matching keywords across organization directories using a clean 2-column layout pattern.</w:t>
      </w:r>
    </w:p>
    <w:p>
      <w:pPr>
        <w:pStyle w:val="ListBullet"/>
        <w:spacing w:after="80"/>
      </w:pPr>
      <w:r>
        <w:rPr>
          <w:rFonts w:ascii="Arial" w:hAnsi="Arial"/>
          <w:color w:val="1E293B"/>
        </w:rPr>
        <w:t>Institutional Data Extract Showcase: Extracts and displays comprehensive metrics for selected hospitals, including active medical counts, core practice locations, physical structures, detailed descriptions, and multi-specialty clinical services arrays.</w:t>
      </w:r>
    </w:p>
    <w:p>
      <w:pPr>
        <w:pStyle w:val="ListBullet"/>
        <w:spacing w:after="80"/>
      </w:pPr>
      <w:r>
        <w:rPr>
          <w:rFonts w:ascii="Arial" w:hAnsi="Arial"/>
          <w:color w:val="1E293B"/>
        </w:rPr>
        <w:t>Integrated Admission Signaling: Features an absolute transmission node button allowing doctors to request admission directly. This securely forwards authorization metrics to organizational clearing boards via `/api/hospital/doctor-request-admission`.</w:t>
      </w:r>
    </w:p>
    <w:p>
      <w:pPr>
        <w:pStyle w:val="Heading1"/>
        <w:spacing w:before="360" w:after="120"/>
      </w:pPr>
      <w:r>
        <w:rPr>
          <w:rFonts w:ascii="Arial" w:hAnsi="Arial"/>
          <w:b/>
          <w:color w:val="1A56DB"/>
          <w:sz w:val="32"/>
        </w:rPr>
        <w:t>4. Runtime Architecture, States &amp; Data Routing Lifecycle</w:t>
      </w:r>
    </w:p>
    <w:p>
      <w:r>
        <w:rPr>
          <w:rFonts w:ascii="Arial" w:hAnsi="Arial"/>
        </w:rPr>
        <w:t>The application uses a predictable sequential execution flow to process data updates and transitions across modules cleanly:</w:t>
      </w:r>
    </w:p>
    <w:p>
      <w:pPr>
        <w:pStyle w:val="ListBullet"/>
        <w:spacing w:after="80"/>
      </w:pPr>
      <w:r>
        <w:rPr>
          <w:rFonts w:ascii="Arial" w:hAnsi="Arial"/>
          <w:color w:val="1E293B"/>
        </w:rPr>
        <w:t>Initialization &amp; Session Recovery: The application mounts, and centralized Axios interceptors immediately look up wildcard root session cookies to verify identity tokens.</w:t>
      </w:r>
    </w:p>
    <w:p>
      <w:pPr>
        <w:pStyle w:val="ListBullet"/>
        <w:spacing w:after="80"/>
      </w:pPr>
      <w:r>
        <w:rPr>
          <w:rFonts w:ascii="Arial" w:hAnsi="Arial"/>
          <w:color w:val="1E293B"/>
        </w:rPr>
        <w:t>Reactive UI State Handling: Every functional panel contains independent structural parameters to cleanly track loading states, validate user input fields, and catch network error logs.</w:t>
      </w:r>
    </w:p>
    <w:p>
      <w:pPr>
        <w:pStyle w:val="ListBullet"/>
        <w:spacing w:after="80"/>
      </w:pPr>
      <w:r>
        <w:rPr>
          <w:rFonts w:ascii="Arial" w:hAnsi="Arial"/>
          <w:color w:val="1E293B"/>
        </w:rPr>
        <w:t>Data-Driven Panel Routing: The `src/App.jsx` engine acts as a centralized orchestrator, cleanly transitioning active view windows while passing deep data models forward between elements (e.g., streaming patient records straight from the appointment index into the prescription workspace).</w:t>
      </w:r>
    </w:p>
    <w:p>
      <w:pPr>
        <w:pStyle w:val="ListBullet"/>
        <w:spacing w:after="80"/>
      </w:pPr>
      <w:r>
        <w:rPr>
          <w:rFonts w:ascii="Arial" w:hAnsi="Arial"/>
          <w:color w:val="1E293B"/>
        </w:rPr>
        <w:t>Fallback Framework Exception Handlers: Includes a custom 404 Page Not Found component that gracefully intercepts dead URLs or route mismatches, safely returning users to the primary workspace.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