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</w:pPr>
      <w:r>
        <w:rPr>
          <w:b/>
          <w:color w:val="1E3A8A"/>
          <w:sz w:val="56"/>
        </w:rPr>
        <w:t>Hospital Management System</w:t>
        <w:br/>
        <w:t>Unified Authentication Architecture</w:t>
      </w:r>
    </w:p>
    <w:p>
      <w:pPr>
        <w:spacing w:after="3600"/>
      </w:pPr>
      <w:r>
        <w:rPr>
          <w:i/>
          <w:color w:val="475569"/>
          <w:sz w:val="28"/>
        </w:rPr>
        <w:t>Enterprise Engineering &amp; Knowledge Transfer (KT) Specification</w:t>
      </w:r>
    </w:p>
    <w:p>
      <w:pPr>
        <w:spacing w:line="312" w:lineRule="auto"/>
      </w:pPr>
      <w:r>
        <w:rPr>
          <w:b/>
        </w:rPr>
        <w:t xml:space="preserve">Document Version: </w:t>
      </w:r>
      <w:r>
        <w:t>1.0.0 (Production-Ready)</w:t>
        <w:br/>
      </w:r>
      <w:r>
        <w:rPr>
          <w:b/>
        </w:rPr>
        <w:t xml:space="preserve">Target Audience: </w:t>
      </w:r>
      <w:r>
        <w:t>Engineering Teams, DevOps, System Architecture Board</w:t>
        <w:br/>
      </w:r>
      <w:r>
        <w:rPr>
          <w:b/>
        </w:rPr>
        <w:t xml:space="preserve">Date: </w:t>
      </w:r>
      <w:r>
        <w:t>July 2026</w:t>
        <w:br/>
      </w:r>
    </w:p>
    <w:p>
      <w:r>
        <w:br w:type="page"/>
      </w:r>
    </w:p>
    <w:p>
      <w:pPr>
        <w:keepNext/>
        <w:spacing w:before="360" w:after="120"/>
      </w:pPr>
      <w:r>
        <w:rPr>
          <w:b/>
          <w:color w:val="1E3A8A"/>
          <w:sz w:val="36"/>
        </w:rPr>
        <w:t>1. Executive &amp; Architectural Overview</w:t>
      </w:r>
    </w:p>
    <w:p>
      <w:r>
        <w:t>This technical specification outlines the structure, deployment lifecycle, and implementation guidelines for the Unified Authentication Framework serving the Hospital Management System (HMS). The core requirement entails managing a multi-tenant, role-segregated portal system targeting three primary user populations: Patients (General Users), Doctors, and Hospital Administrators (Organisations).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334155"/>
                <w:sz w:val="21"/>
              </w:rPr>
              <w:t>Architectural Directive: The sub-systems reside on separate isolated subdomains but share the identical parent domain space (e.g., patient.docapp.co.in, doctor.docapp.co.in, admin.docapp.co.in). The design mandates a stateless single-sign-on (SSO) mechanism driven by wildcard domain cookie injection.</w:t>
            </w:r>
          </w:p>
        </w:tc>
      </w:tr>
    </w:tbl>
    <w:p>
      <w:pPr>
        <w:keepNext/>
        <w:spacing w:before="240" w:after="80"/>
      </w:pPr>
      <w:r>
        <w:rPr>
          <w:b/>
          <w:color w:val="2563EB"/>
          <w:sz w:val="28"/>
        </w:rPr>
        <w:t>1.1 Core Business Constraints &amp; Solutions</w:t>
      </w:r>
    </w:p>
    <w:p>
      <w:pPr>
        <w:pStyle w:val="ListBullet"/>
      </w:pPr>
      <w:r>
        <w:rPr>
          <w:b/>
        </w:rPr>
        <w:t xml:space="preserve">Cross-Subdomain Session Propagation: </w:t>
      </w:r>
      <w:r>
        <w:t>Rather than preserving authentication credentials inside localStorage (which is strictly separated by browser security policies per subdomain), sessions are stored inside a root-level HTTP-ready state cookie explicitly scoped to the primary wildcard base (.docapp.co.in).</w:t>
      </w:r>
    </w:p>
    <w:p>
      <w:pPr>
        <w:pStyle w:val="ListBullet"/>
      </w:pPr>
      <w:r>
        <w:rPr>
          <w:b/>
        </w:rPr>
        <w:t xml:space="preserve">State &amp; Transition Operations: </w:t>
      </w:r>
      <w:r>
        <w:t>The application models asynchronous execution states including network loaders, API error notifications, multi-step transaction tracking (e.g., password recovery handshakes), and immediate validation styling feedback.</w:t>
      </w:r>
    </w:p>
    <w:p>
      <w:pPr>
        <w:keepNext/>
        <w:spacing w:before="360" w:after="120"/>
      </w:pPr>
      <w:r>
        <w:rPr>
          <w:b/>
          <w:color w:val="1E3A8A"/>
          <w:sz w:val="36"/>
        </w:rPr>
        <w:t>2. Component Topography &amp; File Structure</w:t>
      </w:r>
    </w:p>
    <w:p>
      <w:r>
        <w:t>To decouple concerns, ensure strict modularity, and promote maintainability for scalable teams, the application is divided into presentation boundaries, utility handlers, and orchestration engines: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%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File Path / Identity</w:t>
            </w:r>
          </w:p>
        </w:tc>
        <w:tc>
          <w:tcPr>
            <w:tcW w:type="dxa" w:w="3120"/>
            <w:shd w:fill="1E3A%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Classification</w:t>
            </w:r>
          </w:p>
        </w:tc>
        <w:tc>
          <w:tcPr>
            <w:tcW w:type="dxa" w:w="3120"/>
            <w:shd w:fill="1E3A%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Core Responsibility / Structural Duty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src/utils/cookieHelper.js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Core Utility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Extracts root hierarchy domain parts and provisions wildcard secure cookie strings.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src/components/ui/InputField.jsx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Atomic UI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Encapsulates stateful text rendering, dynamic iconography, and interactive visual toggles for sensitive entry fields.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src/components/ui/Alert.jsx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Atomic UI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Manages context alerting for system exceptions and successful operational transactions.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src/components/ui/RoleTabs.jsx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Atomic UI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Switches active role models (general_user, doctor, organisation) impacting validation scopes.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src/components/LoginView.jsx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Feature View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Directs interaction pathways for credentials targeting the authentication endpoint.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src/components/RegisterView.jsx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Feature View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Captures profile records for onboarding new user models inside the central system.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src/components/ForgotPasswordView.jsx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Feature View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Hooks to the verification endpoint to initialize system token overrides.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src/components/ResetPasswordView.jsx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Feature View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Consumes token parameters and issues final overriding system keys.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src/components/AuthPortal.jsx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Orchestrator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Directs view changes, centralizes application async loaders, and interfaces directly with cloud APIs.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b/>
          <w:color w:val="1E3A8A"/>
          <w:sz w:val="36"/>
        </w:rPr>
        <w:t>3. Technical Implementation Deep Dive</w:t>
      </w:r>
    </w:p>
    <w:p>
      <w:pPr>
        <w:keepNext/>
        <w:spacing w:before="240" w:after="80"/>
      </w:pPr>
      <w:r>
        <w:rPr>
          <w:b/>
          <w:color w:val="2563EB"/>
          <w:sz w:val="28"/>
        </w:rPr>
        <w:t>3.1 Cross-Subdomain Session Strategy</w:t>
      </w:r>
    </w:p>
    <w:p>
      <w:r>
        <w:t>Standard state persistence APIs like localStorage or sessionStorage are bound by the browser's Same-Origin Policy (SOP) to exact domain hosts. An entry created on auth.docapp.co.in cannot be read by doctor.docapp.co.in.</w:t>
      </w:r>
    </w:p>
    <w:p>
      <w:r>
        <w:t>To bypass this, we utilize a domain-scoped cookie. By specifying the base domain pre-pended with a dot, browsers allow all nested subdomains to inherit access to the token string automatically.</w:t>
      </w:r>
    </w:p>
    <w:p>
      <w:pPr>
        <w:keepNext/>
        <w:spacing w:before="240" w:after="80"/>
      </w:pPr>
      <w:r>
        <w:rPr>
          <w:b/>
          <w:color w:val="2563EB"/>
          <w:sz w:val="28"/>
        </w:rPr>
        <w:t>3.2 API Interface Signature Contracts</w:t>
      </w:r>
    </w:p>
    <w:p>
      <w:r>
        <w:t>The application communicates with a series of distinct endpoint architectures:</w:t>
      </w:r>
    </w:p>
    <w:p>
      <w:r>
        <w:t>1. Account Onboarding Protocol: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9"/>
              </w:rPr>
              <w:t>POST https://landing.docapp.co.in/api/auth/register</w:t>
              <w:br/>
              <w:t>Payload: { username, email, phone_number, password, role }</w:t>
            </w:r>
          </w:p>
        </w:tc>
      </w:tr>
    </w:tbl>
    <w:p>
      <w:r>
        <w:t>2. Security Grant Session Protocol: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9"/>
              </w:rPr>
              <w:t>POST https://landing.docapp.co.in/api/auth/login</w:t>
              <w:br/>
              <w:t>Payload: { email, password, role }</w:t>
            </w:r>
          </w:p>
        </w:tc>
      </w:tr>
    </w:tbl>
    <w:p>
      <w:r>
        <w:t>3. Lifecycle State Token Invalidation &amp; Verification: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9"/>
              </w:rPr>
              <w:t>POST https://landing.docapp.co.in/api/auth/forgot-password</w:t>
              <w:br/>
              <w:t>Payload: { email, role }</w:t>
              <w:br/>
              <w:t>Response Hook: { id, password_hash 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9"/>
              </w:rPr>
              <w:t>POST https://landing.docapp.co.in/api/auth/change-forgoten-password/:password_hash/:id</w:t>
              <w:br/>
              <w:t>Payload: { newPassword }</w:t>
            </w:r>
          </w:p>
        </w:tc>
      </w:tr>
    </w:tbl>
    <w:p>
      <w:pPr>
        <w:keepNext/>
        <w:spacing w:before="360" w:after="120"/>
      </w:pPr>
      <w:r>
        <w:rPr>
          <w:b/>
          <w:color w:val="1E3A8A"/>
          <w:sz w:val="36"/>
        </w:rPr>
        <w:t>4. Devops, Compilation &amp; Production Orchestration</w:t>
      </w:r>
    </w:p>
    <w:p>
      <w:pPr>
        <w:keepNext/>
        <w:spacing w:before="240" w:after="80"/>
      </w:pPr>
      <w:r>
        <w:rPr>
          <w:b/>
          <w:color w:val="2563EB"/>
          <w:sz w:val="28"/>
        </w:rPr>
        <w:t>4.1 Asset Optimization via Vite Engine</w:t>
      </w:r>
    </w:p>
    <w:p>
      <w:r>
        <w:t>The workspace transitions compilation tasks away from legacy Webpack engines onto the lightning-fast Vite system. Vite leverages native browser ES Modules (ESM) during active development, dramatically optimizing reload speeds, while generating highly performant, code-split multi-page bundles via Rollup for final deployment pipelines.</w:t>
      </w:r>
    </w:p>
    <w:p>
      <w:pPr>
        <w:keepNext/>
        <w:spacing w:before="240" w:after="80"/>
      </w:pPr>
      <w:r>
        <w:rPr>
          <w:b/>
          <w:color w:val="2563EB"/>
          <w:sz w:val="28"/>
        </w:rPr>
        <w:t>4.2 Development Environment Configuration</w:t>
      </w:r>
    </w:p>
    <w:p>
      <w:r>
        <w:t>To allow seamless testing side-by-side with localized microservices without introducing network collisions, the development environment is bound strictly to Port 7000 via Vite environment policies.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