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B4" w:rsidRPr="000E05B4" w:rsidRDefault="000E05B4" w:rsidP="000E05B4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0E05B4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Component Description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This section provides data for three consecutive blood pressure (BP) measurements and other methodological measurements to obtain an accurate </w:t>
      </w:r>
      <w:r w:rsidRPr="00F0181A"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  <w:t>blood pressure</w:t>
      </w: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.</w:t>
      </w:r>
    </w:p>
    <w:p w:rsidR="000E05B4" w:rsidRPr="000E05B4" w:rsidRDefault="000E05B4" w:rsidP="000E05B4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0E05B4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Eligible Sample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Heart rate is measured on all children 0-7 years of age; radial pulse is measured on participants 8 years and older; and blood pressure (BP) is measured on all participants 8 years and older.</w:t>
      </w:r>
    </w:p>
    <w:p w:rsidR="000E05B4" w:rsidRPr="000E05B4" w:rsidRDefault="000E05B4" w:rsidP="000E05B4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0E05B4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Protocol and Procedure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After resting quietly in a seated position for 5 minutes and once the participants maximum inflation level (MIL) has been determined, three consecutive blood pressure readings are obtained. If a blood pressure measurement is interrupted or incomplete, a fourth attempt may be made. All BP determinations (systolic and diastolic) are taken in the mobile examination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center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(MEC). Participants with any of the following on both arms were excluded from the exam: rashes, gauze dressings, casts,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edema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, paralysis, tubes, open sores or wounds, withered arms,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a-v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shunts, radical mastectomy, or if BP cuff does not fit on the arm.</w:t>
      </w:r>
    </w:p>
    <w:p w:rsidR="000E05B4" w:rsidRPr="000E05B4" w:rsidRDefault="000E05B4" w:rsidP="000E05B4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0E05B4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Quality Assurance &amp; Quality Control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BP examiners are certified for blood pressure measurement through a training program from </w:t>
      </w:r>
      <w:r w:rsidRPr="000E05B4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en-AU"/>
        </w:rPr>
        <w:t>Shared Care Research and Education Consulting</w:t>
      </w: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. Certification is achieved when physician examiners meet all requirements of the training program. The initial training includes: </w:t>
      </w:r>
    </w:p>
    <w:p w:rsidR="000E05B4" w:rsidRPr="000E05B4" w:rsidRDefault="000E05B4" w:rsidP="000E05B4">
      <w:pPr>
        <w:numPr>
          <w:ilvl w:val="0"/>
          <w:numId w:val="1"/>
        </w:numPr>
        <w:spacing w:before="168" w:after="100" w:afterAutospacing="1" w:line="240" w:lineRule="auto"/>
        <w:ind w:left="1800" w:right="144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didactic instruction about BP measurement and propensity for error; </w:t>
      </w:r>
    </w:p>
    <w:p w:rsidR="000E05B4" w:rsidRPr="000E05B4" w:rsidRDefault="000E05B4" w:rsidP="000E05B4">
      <w:pPr>
        <w:numPr>
          <w:ilvl w:val="0"/>
          <w:numId w:val="1"/>
        </w:numPr>
        <w:spacing w:before="168" w:after="100" w:afterAutospacing="1" w:line="240" w:lineRule="auto"/>
        <w:ind w:left="1800" w:right="144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listening to systolic and diastolic BP sounds using a standardized audio-video tape presentation; </w:t>
      </w:r>
    </w:p>
    <w:p w:rsidR="000E05B4" w:rsidRPr="000E05B4" w:rsidRDefault="000E05B4" w:rsidP="000E05B4">
      <w:pPr>
        <w:numPr>
          <w:ilvl w:val="0"/>
          <w:numId w:val="1"/>
        </w:numPr>
        <w:spacing w:before="168" w:after="100" w:afterAutospacing="1" w:line="240" w:lineRule="auto"/>
        <w:ind w:left="1800" w:right="144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an audio-video tape test; </w:t>
      </w:r>
    </w:p>
    <w:p w:rsidR="000E05B4" w:rsidRPr="000E05B4" w:rsidRDefault="000E05B4" w:rsidP="000E05B4">
      <w:pPr>
        <w:numPr>
          <w:ilvl w:val="0"/>
          <w:numId w:val="1"/>
        </w:numPr>
        <w:spacing w:before="168" w:after="100" w:afterAutospacing="1" w:line="240" w:lineRule="auto"/>
        <w:ind w:left="1800" w:right="144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 written exam; and</w:t>
      </w:r>
    </w:p>
    <w:p w:rsidR="000E05B4" w:rsidRPr="000E05B4" w:rsidRDefault="000E05B4" w:rsidP="000E05B4">
      <w:pPr>
        <w:numPr>
          <w:ilvl w:val="0"/>
          <w:numId w:val="1"/>
        </w:numPr>
        <w:spacing w:before="168" w:after="100" w:afterAutospacing="1" w:line="240" w:lineRule="auto"/>
        <w:ind w:left="1800" w:right="144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proofErr w:type="gram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simultaneously</w:t>
      </w:r>
      <w:proofErr w:type="gram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listening to BP on a minimum of 20 volunteers, of all ages, through a Y- stethoscope to compare measures with a gold standard instructor who does the same.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Certification requires a </w:t>
      </w:r>
      <w:r w:rsidRPr="000E05B4"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  <w:t xml:space="preserve">score of 100 percent </w:t>
      </w: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on the audio-video tape test. Correct answers on the audio-video tape test require the examiner’s answers and the standardized test answers to be within +/- 2mm of mercury (Hg) on 92 percent of 24 measures (12 systolic, 12 diastolic), and within +/- 4mmHg on 100 percent of 24 measures (12 systolic, 12 diastolic). </w:t>
      </w: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br/>
      </w: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br/>
        <w:t>For more details on the QA/QC process for this component, please refer to the Physician Examination Manual located on the NHANES website at the following link: </w:t>
      </w:r>
      <w:hyperlink r:id="rId5" w:history="1">
        <w:r w:rsidRPr="000E05B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https://wwwn.cdc.gov/nchs/nhanes/continuousnhanes/manuals.aspx?BeginYear=2013</w:t>
        </w:r>
      </w:hyperlink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lastRenderedPageBreak/>
        <w:t> </w:t>
      </w:r>
    </w:p>
    <w:p w:rsidR="000E05B4" w:rsidRPr="000E05B4" w:rsidRDefault="000E05B4" w:rsidP="000E05B4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0E05B4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Data Processing and Editing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following are some specifications used in capturing the BP data: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Systolic blood pressure and maximum inflation </w:t>
      </w:r>
      <w:r w:rsidRPr="000E05B4"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  <w:t>level cannot be greater than 300 mmHg;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Systolic and diastolic blood pressure measurements and the maximum inflation level can be even numbers only;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Systolic blood pressure must be greater than diastolic blood pressure;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If there is no systolic blood pressure, there can be no diastolic blood pressure. (There can be a systolic measurement without a diastolic measurement.); and</w:t>
      </w:r>
    </w:p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Diastolic blood pressure can be zero.</w:t>
      </w:r>
    </w:p>
    <w:p w:rsidR="000E05B4" w:rsidRPr="000E05B4" w:rsidRDefault="000E05B4" w:rsidP="000E05B4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0E05B4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Analytic Notes</w:t>
      </w:r>
    </w:p>
    <w:p w:rsidR="000E05B4" w:rsidRPr="000E05B4" w:rsidRDefault="000E05B4" w:rsidP="000E05B4">
      <w:pPr>
        <w:spacing w:before="120" w:after="0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 xml:space="preserve">        Changes </w:t>
      </w:r>
      <w:proofErr w:type="gramStart"/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Since</w:t>
      </w:r>
      <w:proofErr w:type="gramEnd"/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 xml:space="preserve"> 2011-2012:</w:t>
      </w:r>
    </w:p>
    <w:p w:rsidR="000E05B4" w:rsidRPr="000E05B4" w:rsidRDefault="000E05B4" w:rsidP="000E05B4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11"/>
        <w:gridCol w:w="1408"/>
        <w:gridCol w:w="1399"/>
        <w:gridCol w:w="1424"/>
      </w:tblGrid>
      <w:tr w:rsidR="000E05B4" w:rsidRPr="000E05B4" w:rsidTr="000E05B4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05B4" w:rsidRPr="000E05B4" w:rsidRDefault="000E05B4" w:rsidP="000E05B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Discontinued Questions</w:t>
            </w:r>
          </w:p>
        </w:tc>
      </w:tr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BPQ150A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BPQ150B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BPQ150C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BPQ150D</w:t>
            </w:r>
          </w:p>
        </w:tc>
      </w:tr>
    </w:tbl>
    <w:p w:rsidR="000E05B4" w:rsidRPr="000E05B4" w:rsidRDefault="000E05B4" w:rsidP="000E05B4">
      <w:pPr>
        <w:spacing w:before="100" w:beforeAutospacing="1" w:after="100" w:afterAutospacing="1" w:line="319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Exam sample weights should be used for analyses. Please refer to the NHANES Analytic Guidelines (</w:t>
      </w:r>
      <w:hyperlink r:id="rId6" w:history="1">
        <w:r w:rsidRPr="000E05B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https://wwwn.cdc.gov/nchs/nhanes/analyticguidelines.aspx</w:t>
        </w:r>
      </w:hyperlink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and the on-line NHANES Tutorial (</w:t>
      </w:r>
      <w:hyperlink r:id="rId7" w:history="1">
        <w:r w:rsidRPr="000E05B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https://www.cdc.gov/nchs/tutorials/</w:t>
        </w:r>
      </w:hyperlink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for further details on the use of sample weights and other analytic issues.</w:t>
      </w:r>
    </w:p>
    <w:p w:rsidR="000E05B4" w:rsidRPr="000E05B4" w:rsidRDefault="000E05B4" w:rsidP="000E05B4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0E05B4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Codebook and Frequencies</w:t>
      </w:r>
    </w:p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SEQN - Respondent sequence number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SEQN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number.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294C04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PEASCST1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Blood Pressure Status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lastRenderedPageBreak/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PEASCST1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Blood Pressure Status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0" w:name="OLE_LINK1"/>
      <w:bookmarkStart w:id="1" w:name="OLE_LINK2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Blood Pressure Status</w:t>
      </w:r>
    </w:p>
    <w:bookmarkEnd w:id="0"/>
    <w:bookmarkEnd w:id="1"/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9493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9493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9496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bookmarkStart w:id="2" w:name="OLE_LINK3"/>
      <w:bookmarkStart w:id="3" w:name="OLE_LINK4"/>
      <w:r w:rsidRPr="00294C04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PEASCTM1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</w:t>
      </w:r>
      <w:bookmarkEnd w:id="2"/>
      <w:bookmarkEnd w:id="3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- Blood Pressure Time in Seconds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PEASCTM1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Blood Pressure Time in Seconds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4" w:name="OLE_LINK5"/>
      <w:bookmarkStart w:id="5" w:name="OLE_LINK6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Blood Pressure Time in Seconds</w:t>
      </w:r>
    </w:p>
    <w:bookmarkEnd w:id="4"/>
    <w:bookmarkEnd w:id="5"/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 to 2868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9508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9508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PEASCCT1 - Blood Pressure Comment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PEASCCT1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Blood Pressure Comment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Blood Pressure Comment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2"/>
        <w:gridCol w:w="3883"/>
        <w:gridCol w:w="940"/>
        <w:gridCol w:w="1669"/>
        <w:gridCol w:w="1186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Safety exclusion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SP refusal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Physical limitation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Communication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Equipment failure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SP ill/emergency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Came late/left early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Error (technician/software/supply)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SP with child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Other, specify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Language barrier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9493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bookmarkStart w:id="6" w:name="OLE_LINK11"/>
      <w:bookmarkStart w:id="7" w:name="OLE_LINK12"/>
      <w:r w:rsidRPr="00294C04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BPXCHR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</w:t>
      </w:r>
      <w:bookmarkEnd w:id="6"/>
      <w:bookmarkEnd w:id="7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- 60 sec HR (30 sec HR * 2)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BPXCHR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60 sec HR (30 sec HR * 2)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8" w:name="OLE_LINK13"/>
      <w:bookmarkStart w:id="9" w:name="OLE_LINK14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60 sec HR (30 sec HR * 2)</w:t>
      </w:r>
    </w:p>
    <w:bookmarkEnd w:id="8"/>
    <w:bookmarkEnd w:id="9"/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- 7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60 to 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1961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1961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7852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BPAARM - Arm selected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BPAARM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Arm selected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Arm selected: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Could not obtain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BPACSZ - Coded cuff size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BPACSZ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Coded cuff size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Cuff size (cm) (width X length)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Infant (6X12)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Child (9X17)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Adult (12X22)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2590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3042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Large (15X32)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3452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Thigh (18X35)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bookmarkStart w:id="10" w:name="OLE_LINK7"/>
      <w:bookmarkStart w:id="11" w:name="OLE_LINK8"/>
      <w:r w:rsidRPr="00294C04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BPXPLS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</w:t>
      </w:r>
      <w:bookmarkEnd w:id="10"/>
      <w:bookmarkEnd w:id="11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- 60 sec. pulse (30 sec. pulse * 2)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BPXPLS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60 sec. pulse (30 sec. pulse * 2)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12" w:name="OLE_LINK9"/>
      <w:bookmarkStart w:id="13" w:name="OLE_LINK10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60 sec. pulse (30 sec. pulse * 2)</w:t>
      </w:r>
    </w:p>
    <w:bookmarkEnd w:id="12"/>
    <w:bookmarkEnd w:id="13"/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40 to 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bookmarkStart w:id="14" w:name="OLE_LINK15"/>
      <w:bookmarkStart w:id="15" w:name="OLE_LINK16"/>
      <w:r w:rsidRPr="00F0181A">
        <w:rPr>
          <w:rFonts w:ascii="Trebuchet MS" w:eastAsia="Times New Roman" w:hAnsi="Trebuchet MS" w:cs="Times New Roman"/>
          <w:color w:val="000000"/>
          <w:sz w:val="27"/>
          <w:szCs w:val="27"/>
          <w:highlight w:val="green"/>
          <w:lang w:eastAsia="en-AU"/>
        </w:rPr>
        <w:t xml:space="preserve">BPXPULS </w:t>
      </w:r>
      <w:bookmarkEnd w:id="14"/>
      <w:bookmarkEnd w:id="15"/>
      <w:r w:rsidRPr="00F0181A">
        <w:rPr>
          <w:rFonts w:ascii="Trebuchet MS" w:eastAsia="Times New Roman" w:hAnsi="Trebuchet MS" w:cs="Times New Roman"/>
          <w:color w:val="000000"/>
          <w:sz w:val="27"/>
          <w:szCs w:val="27"/>
          <w:highlight w:val="green"/>
          <w:lang w:eastAsia="en-AU"/>
        </w:rPr>
        <w:t>- Pulse regular or irregular?</w:t>
      </w:r>
      <w:bookmarkStart w:id="16" w:name="_GoBack"/>
      <w:bookmarkEnd w:id="16"/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BPXPULS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Pulse regular or irregular?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17" w:name="OLE_LINK17"/>
      <w:bookmarkStart w:id="18" w:name="OLE_LINK18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Pulse regular or irregular?</w:t>
      </w:r>
    </w:p>
    <w:bookmarkEnd w:id="17"/>
    <w:bookmarkEnd w:id="18"/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Regular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9381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9381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Irregular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9511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BPXPTY - Pulse type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BPXPTY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Pulse type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Pulse type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Radial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Brachial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Could not obtain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294C04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BPXML1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MIL: maximum inflation levels (mm Hg)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BPXML1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MIL: maximum inflation levels (mm Hg)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19" w:name="OLE_LINK19"/>
      <w:bookmarkStart w:id="20" w:name="OLE_LINK20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MIL: maximum inflation levels (mm Hg)</w:t>
      </w:r>
    </w:p>
    <w:bookmarkEnd w:id="19"/>
    <w:bookmarkEnd w:id="20"/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Hard Edits: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70.0000 to 300.0000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100 to 240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Could not obtain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bookmarkStart w:id="21" w:name="OLE_LINK21"/>
      <w:bookmarkStart w:id="22" w:name="OLE_LINK22"/>
      <w:r w:rsidRPr="00294C04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BPXSY1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</w:t>
      </w:r>
      <w:bookmarkEnd w:id="21"/>
      <w:bookmarkEnd w:id="22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- Systolic: Blood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pres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(1st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rdg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BPXSY1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Systolic: Blood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pres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(1st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rdg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23" w:name="OLE_LINK23"/>
      <w:bookmarkStart w:id="24" w:name="OLE_LINK24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Systolic: Blood pressure (first reading) mm Hg</w:t>
      </w:r>
      <w:bookmarkEnd w:id="23"/>
      <w:bookmarkEnd w:id="24"/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66 to 228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294C04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BPXDI1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Diastolic: Blood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pres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(1st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rdg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BPXDI1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Diastolic: Blood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pres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(1st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rdg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25" w:name="OLE_LINK25"/>
      <w:bookmarkStart w:id="26" w:name="OLE_LINK26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Diastolic: Blood pressure (first reading) mm Hg</w:t>
      </w:r>
    </w:p>
    <w:bookmarkEnd w:id="25"/>
    <w:bookmarkEnd w:id="26"/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 to 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BPAEN1 - Enhancement used first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BPAEN1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Enhancement used first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Enhancement used first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lastRenderedPageBreak/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Could not obtain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16F9B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BPXSY2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Systolic: Blood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pres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(2nd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rdg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BPXSY2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Systolic: Blood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pres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(2nd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rdg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27" w:name="OLE_LINK27"/>
      <w:bookmarkStart w:id="28" w:name="OLE_LINK28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Systolic: Blood pressure (second reading) mm Hg</w:t>
      </w:r>
    </w:p>
    <w:bookmarkEnd w:id="27"/>
    <w:bookmarkEnd w:id="28"/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66 to 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16F9B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BPXDI2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Diastolic: Blood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pres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(2nd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rdg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BPXDI2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Diastolic: Blood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pres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(2nd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rdg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29" w:name="OLE_LINK29"/>
      <w:bookmarkStart w:id="30" w:name="OLE_LINK30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Diastolic: Blood pressure (second reading) mm Hg</w:t>
      </w:r>
    </w:p>
    <w:bookmarkEnd w:id="29"/>
    <w:bookmarkEnd w:id="30"/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 to 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lastRenderedPageBreak/>
        <w:t>BPAEN2 - Enhancement used second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BPAEN2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Enhancement used second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Enhancement used second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Could not obtain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16F9B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BPXSY3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Systolic: Blood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pres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(3rd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rdg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BPXSY3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Systolic: Blood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pres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(3rd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rdg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31" w:name="OLE_LINK31"/>
      <w:bookmarkStart w:id="32" w:name="OLE_LINK32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Systolic: Blood pressure (third reading) mm Hg</w:t>
      </w:r>
      <w:bookmarkEnd w:id="31"/>
      <w:bookmarkEnd w:id="32"/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62 to 228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16F9B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BPXDI3</w:t>
      </w: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Diastolic: Blood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pres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(3rd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rdg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BPXDI3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Diastolic: Blood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pres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(3rd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rdg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Diastolic: Blood pressure (third reading)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 to 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BPAEN3 - Enhancement used third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BPAEN3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Enhancement used third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Enhancement used third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7261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Could not obtain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BPXSY4 - Systolic: Blood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pres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(4th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rdg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BPXSY4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Systolic: Blood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pres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(4th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rdg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Systolic: Blood pressure (fourth reading if necessary)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80 to 212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lastRenderedPageBreak/>
        <w:t xml:space="preserve">BPXDI4 - Diastolic: Blood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pres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(4th </w:t>
      </w:r>
      <w:proofErr w:type="spellStart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rdg</w:t>
      </w:r>
      <w:proofErr w:type="spellEnd"/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BPXDI4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Diastolic: Blood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pres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(4th </w:t>
      </w:r>
      <w:proofErr w:type="spellStart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rdg</w:t>
      </w:r>
      <w:proofErr w:type="spellEnd"/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Diastolic: Blood pressure (fourth reading if necessary) mm Hg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 to 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0E05B4" w:rsidRPr="000E05B4" w:rsidRDefault="000E05B4" w:rsidP="000E05B4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0E05B4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BPAEN4 - Enhancement used fourth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BPAEN4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Enhancement used fourth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Enhancement used fourth reading</w:t>
      </w:r>
    </w:p>
    <w:p w:rsidR="000E05B4" w:rsidRPr="000E05B4" w:rsidRDefault="000E05B4" w:rsidP="000E05B4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0E05B4" w:rsidRPr="000E05B4" w:rsidRDefault="000E05B4" w:rsidP="000E05B4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0E05B4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0E05B4" w:rsidRPr="000E05B4" w:rsidTr="000E05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Could not obtain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0E05B4" w:rsidRPr="000E05B4" w:rsidTr="000E05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9251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0E05B4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5B4" w:rsidRPr="000E05B4" w:rsidRDefault="000E05B4" w:rsidP="000E05B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294C04" w:rsidRDefault="00294C04"/>
    <w:sectPr w:rsidR="0029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35C7F"/>
    <w:multiLevelType w:val="multilevel"/>
    <w:tmpl w:val="8808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B4"/>
    <w:rsid w:val="00085C9D"/>
    <w:rsid w:val="000E05B4"/>
    <w:rsid w:val="0010184E"/>
    <w:rsid w:val="00294C04"/>
    <w:rsid w:val="00316F9B"/>
    <w:rsid w:val="00354213"/>
    <w:rsid w:val="005E0C92"/>
    <w:rsid w:val="006D06F5"/>
    <w:rsid w:val="00774765"/>
    <w:rsid w:val="00F0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164E6-E5BE-44F6-9FB0-81D5411D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9D"/>
  </w:style>
  <w:style w:type="paragraph" w:styleId="Heading2">
    <w:name w:val="heading 2"/>
    <w:basedOn w:val="Normal"/>
    <w:link w:val="Heading2Char"/>
    <w:uiPriority w:val="9"/>
    <w:qFormat/>
    <w:rsid w:val="000E0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E0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5B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E05B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E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0E05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05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0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808">
              <w:marLeft w:val="720"/>
              <w:marRight w:val="72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15">
              <w:marLeft w:val="720"/>
              <w:marRight w:val="72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898">
              <w:marLeft w:val="720"/>
              <w:marRight w:val="72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59">
              <w:marLeft w:val="720"/>
              <w:marRight w:val="72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39">
              <w:marLeft w:val="720"/>
              <w:marRight w:val="72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33">
              <w:marLeft w:val="720"/>
              <w:marRight w:val="72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nchs/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analyticguidelines.aspx" TargetMode="External"/><Relationship Id="rId5" Type="http://schemas.openxmlformats.org/officeDocument/2006/relationships/hyperlink" Target="https://wwwn.cdc.gov/nchs/nhanes/continuousnhanes/manuals.aspx?BeginYear=20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11529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Thuan Pham</cp:lastModifiedBy>
  <cp:revision>6</cp:revision>
  <dcterms:created xsi:type="dcterms:W3CDTF">2018-01-09T05:00:00Z</dcterms:created>
  <dcterms:modified xsi:type="dcterms:W3CDTF">2018-01-14T01:49:00Z</dcterms:modified>
</cp:coreProperties>
</file>