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7F4" w:rsidRPr="003157F4" w:rsidRDefault="003157F4" w:rsidP="003157F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157F4">
        <w:rPr>
          <w:rFonts w:ascii="Trebuchet MS" w:eastAsia="Times New Roman" w:hAnsi="Trebuchet MS" w:cs="Times New Roman"/>
          <w:color w:val="0C5205"/>
          <w:sz w:val="29"/>
          <w:szCs w:val="29"/>
          <w:lang w:eastAsia="en-AU"/>
        </w:rPr>
        <w:t>Component Description</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Users of the 2013-2014 dual-energy X-ray absorptiometry femur bone data (DXXFEM_H) are encouraged to read the documentation before accessing the data file.</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Dual-energy x-ray absorptiometry (DXA) is the most widely accepted method of measuring bone density due in part to its speed, ease of use, and low radiation exposure (</w:t>
      </w:r>
      <w:proofErr w:type="spellStart"/>
      <w:r w:rsidRPr="003157F4">
        <w:rPr>
          <w:rFonts w:ascii="Verdana" w:eastAsia="Times New Roman" w:hAnsi="Verdana" w:cs="Times New Roman"/>
          <w:color w:val="000000"/>
          <w:sz w:val="18"/>
          <w:szCs w:val="18"/>
          <w:lang w:eastAsia="en-AU"/>
        </w:rPr>
        <w:t>Baran</w:t>
      </w:r>
      <w:proofErr w:type="spellEnd"/>
      <w:r w:rsidRPr="003157F4">
        <w:rPr>
          <w:rFonts w:ascii="Verdana" w:eastAsia="Times New Roman" w:hAnsi="Verdana" w:cs="Times New Roman"/>
          <w:color w:val="000000"/>
          <w:sz w:val="18"/>
          <w:szCs w:val="18"/>
          <w:lang w:eastAsia="en-AU"/>
        </w:rPr>
        <w:t xml:space="preserve">, 1997; </w:t>
      </w:r>
      <w:proofErr w:type="spellStart"/>
      <w:r w:rsidRPr="003157F4">
        <w:rPr>
          <w:rFonts w:ascii="Verdana" w:eastAsia="Times New Roman" w:hAnsi="Verdana" w:cs="Times New Roman"/>
          <w:color w:val="000000"/>
          <w:sz w:val="18"/>
          <w:szCs w:val="18"/>
          <w:lang w:eastAsia="en-AU"/>
        </w:rPr>
        <w:t>Genant</w:t>
      </w:r>
      <w:proofErr w:type="spellEnd"/>
      <w:r w:rsidRPr="003157F4">
        <w:rPr>
          <w:rFonts w:ascii="Verdana" w:eastAsia="Times New Roman" w:hAnsi="Verdana" w:cs="Times New Roman"/>
          <w:color w:val="000000"/>
          <w:sz w:val="18"/>
          <w:szCs w:val="18"/>
          <w:lang w:eastAsia="en-AU"/>
        </w:rPr>
        <w:t xml:space="preserve">, 1996; </w:t>
      </w:r>
      <w:proofErr w:type="spellStart"/>
      <w:r w:rsidRPr="003157F4">
        <w:rPr>
          <w:rFonts w:ascii="Verdana" w:eastAsia="Times New Roman" w:hAnsi="Verdana" w:cs="Times New Roman"/>
          <w:color w:val="000000"/>
          <w:sz w:val="18"/>
          <w:szCs w:val="18"/>
          <w:lang w:eastAsia="en-AU"/>
        </w:rPr>
        <w:t>Heymfield</w:t>
      </w:r>
      <w:proofErr w:type="spellEnd"/>
      <w:r w:rsidRPr="003157F4">
        <w:rPr>
          <w:rFonts w:ascii="Verdana" w:eastAsia="Times New Roman" w:hAnsi="Verdana" w:cs="Times New Roman"/>
          <w:color w:val="000000"/>
          <w:sz w:val="18"/>
          <w:szCs w:val="18"/>
          <w:lang w:eastAsia="en-AU"/>
        </w:rPr>
        <w:t xml:space="preserve">, 1989; </w:t>
      </w:r>
      <w:proofErr w:type="spellStart"/>
      <w:r w:rsidRPr="003157F4">
        <w:rPr>
          <w:rFonts w:ascii="Verdana" w:eastAsia="Times New Roman" w:hAnsi="Verdana" w:cs="Times New Roman"/>
          <w:color w:val="000000"/>
          <w:sz w:val="18"/>
          <w:szCs w:val="18"/>
          <w:lang w:eastAsia="en-AU"/>
        </w:rPr>
        <w:t>Njeh</w:t>
      </w:r>
      <w:proofErr w:type="spellEnd"/>
      <w:r w:rsidRPr="003157F4">
        <w:rPr>
          <w:rFonts w:ascii="Verdana" w:eastAsia="Times New Roman" w:hAnsi="Verdana" w:cs="Times New Roman"/>
          <w:color w:val="000000"/>
          <w:sz w:val="18"/>
          <w:szCs w:val="18"/>
          <w:lang w:eastAsia="en-AU"/>
        </w:rPr>
        <w:t xml:space="preserve">, 1999). DXA scans of the proximal femur were administered in the NHANES mobile examination </w:t>
      </w:r>
      <w:proofErr w:type="spellStart"/>
      <w:r w:rsidRPr="003157F4">
        <w:rPr>
          <w:rFonts w:ascii="Verdana" w:eastAsia="Times New Roman" w:hAnsi="Verdana" w:cs="Times New Roman"/>
          <w:color w:val="000000"/>
          <w:sz w:val="18"/>
          <w:szCs w:val="18"/>
          <w:lang w:eastAsia="en-AU"/>
        </w:rPr>
        <w:t>center</w:t>
      </w:r>
      <w:proofErr w:type="spellEnd"/>
      <w:r w:rsidRPr="003157F4">
        <w:rPr>
          <w:rFonts w:ascii="Verdana" w:eastAsia="Times New Roman" w:hAnsi="Verdana" w:cs="Times New Roman"/>
          <w:color w:val="000000"/>
          <w:sz w:val="18"/>
          <w:szCs w:val="18"/>
          <w:lang w:eastAsia="en-AU"/>
        </w:rPr>
        <w:t xml:space="preserve"> (MEC) in 2005 through 2010 and in 2013-14.</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 xml:space="preserve">The femur scans provide bone measurements for the total femur, femoral neck, trochanter, </w:t>
      </w:r>
      <w:proofErr w:type="spellStart"/>
      <w:r w:rsidRPr="003157F4">
        <w:rPr>
          <w:rFonts w:ascii="Verdana" w:eastAsia="Times New Roman" w:hAnsi="Verdana" w:cs="Times New Roman"/>
          <w:color w:val="000000"/>
          <w:sz w:val="18"/>
          <w:szCs w:val="18"/>
          <w:lang w:eastAsia="en-AU"/>
        </w:rPr>
        <w:t>intertrochanter</w:t>
      </w:r>
      <w:proofErr w:type="spellEnd"/>
      <w:r w:rsidRPr="003157F4">
        <w:rPr>
          <w:rFonts w:ascii="Verdana" w:eastAsia="Times New Roman" w:hAnsi="Verdana" w:cs="Times New Roman"/>
          <w:color w:val="000000"/>
          <w:sz w:val="18"/>
          <w:szCs w:val="18"/>
          <w:lang w:eastAsia="en-AU"/>
        </w:rPr>
        <w:t>, and Ward’s triangle. Measurements include:</w:t>
      </w:r>
    </w:p>
    <w:p w:rsidR="003157F4" w:rsidRPr="003157F4" w:rsidRDefault="003157F4" w:rsidP="003157F4">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Bone mineral content (BMC) (gm)</w:t>
      </w:r>
    </w:p>
    <w:p w:rsidR="003157F4" w:rsidRPr="003157F4" w:rsidRDefault="003157F4" w:rsidP="003157F4">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Bone area (cm2)</w:t>
      </w:r>
    </w:p>
    <w:p w:rsidR="003157F4" w:rsidRPr="003157F4" w:rsidRDefault="003157F4" w:rsidP="003157F4">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Bone mineral density (BMD) (gm/cm2)</w:t>
      </w:r>
    </w:p>
    <w:p w:rsidR="003157F4" w:rsidRPr="003157F4" w:rsidRDefault="003157F4" w:rsidP="003157F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157F4">
        <w:rPr>
          <w:rFonts w:ascii="Trebuchet MS" w:eastAsia="Times New Roman" w:hAnsi="Trebuchet MS" w:cs="Times New Roman"/>
          <w:color w:val="0C5205"/>
          <w:sz w:val="29"/>
          <w:szCs w:val="29"/>
          <w:lang w:eastAsia="en-AU"/>
        </w:rPr>
        <w:t>Eligible Sample</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 xml:space="preserve">DXA scans were administered to eligible survey participants 40 years and older. Pregnant females were ineligible for the DXA examination. Participants who were excluded from the DXA examination for reasons other than pregnancy were considered to be eligible </w:t>
      </w:r>
      <w:proofErr w:type="spellStart"/>
      <w:r w:rsidRPr="003157F4">
        <w:rPr>
          <w:rFonts w:ascii="Verdana" w:eastAsia="Times New Roman" w:hAnsi="Verdana" w:cs="Times New Roman"/>
          <w:color w:val="000000"/>
          <w:sz w:val="18"/>
          <w:szCs w:val="18"/>
          <w:lang w:eastAsia="en-AU"/>
        </w:rPr>
        <w:t>nonrespondents</w:t>
      </w:r>
      <w:proofErr w:type="spellEnd"/>
      <w:r w:rsidRPr="003157F4">
        <w:rPr>
          <w:rFonts w:ascii="Verdana" w:eastAsia="Times New Roman" w:hAnsi="Verdana" w:cs="Times New Roman"/>
          <w:color w:val="000000"/>
          <w:sz w:val="18"/>
          <w:szCs w:val="18"/>
          <w:lang w:eastAsia="en-AU"/>
        </w:rPr>
        <w:t>. Reasons for exclusion from the DXA examination were as follows:</w:t>
      </w:r>
    </w:p>
    <w:p w:rsidR="003157F4" w:rsidRPr="003157F4" w:rsidRDefault="003157F4" w:rsidP="003157F4">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Pregnancy (positive urine pregnancy test and/or self-report at the time of the DXA examination).</w:t>
      </w:r>
    </w:p>
    <w:p w:rsidR="003157F4" w:rsidRPr="003157F4" w:rsidRDefault="003157F4" w:rsidP="003157F4">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Self-reported history of radiographic contrast material such as dyes or barium in the past 7 days.</w:t>
      </w:r>
    </w:p>
    <w:p w:rsidR="003157F4" w:rsidRPr="003157F4" w:rsidRDefault="003157F4" w:rsidP="003157F4">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Measured weight over 450 pounds (DXA table limitation).</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The left hip was routinely scanned unless the participant self-reported a fractured left hip, a left hip replacement, or a pin in the left hip. The right hip was scanned in this situation. Participants were excluded from the femur scan if they had fractured both hips, had replacements of both hips, or had pins in both hips.</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The variable DXAFMRST indicates the examination status for the femur scan; the codes for DXAFMRST are as follows:</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u w:val="single"/>
          <w:lang w:eastAsia="en-AU"/>
        </w:rPr>
        <w:t>DXAFMRST – femur scan examination status variable</w:t>
      </w:r>
      <w:r w:rsidRPr="003157F4">
        <w:rPr>
          <w:rFonts w:ascii="Verdana" w:eastAsia="Times New Roman" w:hAnsi="Verdana" w:cs="Times New Roman"/>
          <w:color w:val="000000"/>
          <w:sz w:val="18"/>
          <w:szCs w:val="18"/>
          <w:lang w:eastAsia="en-AU"/>
        </w:rPr>
        <w:br/>
        <w:t>1 = Femur scan completed </w:t>
      </w:r>
      <w:r w:rsidRPr="003157F4">
        <w:rPr>
          <w:rFonts w:ascii="Verdana" w:eastAsia="Times New Roman" w:hAnsi="Verdana" w:cs="Times New Roman"/>
          <w:color w:val="000000"/>
          <w:sz w:val="18"/>
          <w:szCs w:val="18"/>
          <w:lang w:eastAsia="en-AU"/>
        </w:rPr>
        <w:br/>
        <w:t>2 = Femur scan completed, but all data are invalid</w:t>
      </w:r>
      <w:r w:rsidRPr="003157F4">
        <w:rPr>
          <w:rFonts w:ascii="Verdana" w:eastAsia="Times New Roman" w:hAnsi="Verdana" w:cs="Times New Roman"/>
          <w:color w:val="000000"/>
          <w:sz w:val="18"/>
          <w:szCs w:val="18"/>
          <w:lang w:eastAsia="en-AU"/>
        </w:rPr>
        <w:br/>
        <w:t>3 = Femur not scanned, pregnancy</w:t>
      </w:r>
      <w:r w:rsidRPr="003157F4">
        <w:rPr>
          <w:rFonts w:ascii="Verdana" w:eastAsia="Times New Roman" w:hAnsi="Verdana" w:cs="Times New Roman"/>
          <w:color w:val="000000"/>
          <w:sz w:val="18"/>
          <w:szCs w:val="18"/>
          <w:lang w:eastAsia="en-AU"/>
        </w:rPr>
        <w:br/>
      </w:r>
      <w:r w:rsidRPr="003157F4">
        <w:rPr>
          <w:rFonts w:ascii="Verdana" w:eastAsia="Times New Roman" w:hAnsi="Verdana" w:cs="Times New Roman"/>
          <w:color w:val="000000"/>
          <w:sz w:val="18"/>
          <w:szCs w:val="18"/>
          <w:lang w:eastAsia="en-AU"/>
        </w:rPr>
        <w:lastRenderedPageBreak/>
        <w:t>4 = Femur not scanned, weight &gt; 450 lbs</w:t>
      </w:r>
      <w:r w:rsidRPr="003157F4">
        <w:rPr>
          <w:rFonts w:ascii="Verdana" w:eastAsia="Times New Roman" w:hAnsi="Verdana" w:cs="Times New Roman"/>
          <w:color w:val="000000"/>
          <w:sz w:val="18"/>
          <w:szCs w:val="18"/>
          <w:lang w:eastAsia="en-AU"/>
        </w:rPr>
        <w:br/>
        <w:t>5 = Femur not scanned, other reason</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The main reason for completed, but invalid, femur scans was panniculus, an “apron” or redundant layer of fat tissue at the lowest portion of the abdominal wall. The “Not scanned, other reason” code includes no time to complete the examination, pregnancy test not completed, and participant refusal, as well as exclusion for reasons other than pregnancy, such as a medical test.</w:t>
      </w:r>
    </w:p>
    <w:p w:rsidR="003157F4" w:rsidRPr="003157F4" w:rsidRDefault="003157F4" w:rsidP="003157F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157F4">
        <w:rPr>
          <w:rFonts w:ascii="Trebuchet MS" w:eastAsia="Times New Roman" w:hAnsi="Trebuchet MS" w:cs="Times New Roman"/>
          <w:color w:val="0C5205"/>
          <w:sz w:val="29"/>
          <w:szCs w:val="29"/>
          <w:lang w:eastAsia="en-AU"/>
        </w:rPr>
        <w:t>Protocol and Procedure</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 xml:space="preserve">The 2013-2014 femur scans were acquired on </w:t>
      </w:r>
      <w:proofErr w:type="spellStart"/>
      <w:r w:rsidRPr="003157F4">
        <w:rPr>
          <w:rFonts w:ascii="Verdana" w:eastAsia="Times New Roman" w:hAnsi="Verdana" w:cs="Times New Roman"/>
          <w:color w:val="000000"/>
          <w:sz w:val="18"/>
          <w:szCs w:val="18"/>
          <w:lang w:eastAsia="en-AU"/>
        </w:rPr>
        <w:t>Hologic</w:t>
      </w:r>
      <w:proofErr w:type="spellEnd"/>
      <w:r w:rsidRPr="003157F4">
        <w:rPr>
          <w:rFonts w:ascii="Verdana" w:eastAsia="Times New Roman" w:hAnsi="Verdana" w:cs="Times New Roman"/>
          <w:color w:val="000000"/>
          <w:sz w:val="18"/>
          <w:szCs w:val="18"/>
          <w:lang w:eastAsia="en-AU"/>
        </w:rPr>
        <w:t xml:space="preserve"> QDR-4500A fan-beam densitometers (</w:t>
      </w:r>
      <w:proofErr w:type="spellStart"/>
      <w:r w:rsidRPr="003157F4">
        <w:rPr>
          <w:rFonts w:ascii="Verdana" w:eastAsia="Times New Roman" w:hAnsi="Verdana" w:cs="Times New Roman"/>
          <w:color w:val="000000"/>
          <w:sz w:val="18"/>
          <w:szCs w:val="18"/>
          <w:lang w:eastAsia="en-AU"/>
        </w:rPr>
        <w:t>Hologic</w:t>
      </w:r>
      <w:proofErr w:type="spellEnd"/>
      <w:r w:rsidRPr="003157F4">
        <w:rPr>
          <w:rFonts w:ascii="Verdana" w:eastAsia="Times New Roman" w:hAnsi="Verdana" w:cs="Times New Roman"/>
          <w:color w:val="000000"/>
          <w:sz w:val="18"/>
          <w:szCs w:val="18"/>
          <w:lang w:eastAsia="en-AU"/>
        </w:rPr>
        <w:t xml:space="preserve">, Inc., Bedford, Massachusetts) using software version Apex 3.2. The radiation exposure from DXA for the femur scan is extremely low at less than 20 </w:t>
      </w:r>
      <w:proofErr w:type="spellStart"/>
      <w:r w:rsidRPr="003157F4">
        <w:rPr>
          <w:rFonts w:ascii="Verdana" w:eastAsia="Times New Roman" w:hAnsi="Verdana" w:cs="Times New Roman"/>
          <w:color w:val="000000"/>
          <w:sz w:val="18"/>
          <w:szCs w:val="18"/>
          <w:lang w:eastAsia="en-AU"/>
        </w:rPr>
        <w:t>uSv</w:t>
      </w:r>
      <w:proofErr w:type="spellEnd"/>
      <w:r w:rsidRPr="003157F4">
        <w:rPr>
          <w:rFonts w:ascii="Verdana" w:eastAsia="Times New Roman" w:hAnsi="Verdana" w:cs="Times New Roman"/>
          <w:color w:val="000000"/>
          <w:sz w:val="18"/>
          <w:szCs w:val="18"/>
          <w:lang w:eastAsia="en-AU"/>
        </w:rPr>
        <w:t xml:space="preserve">. All scans in the DXXFEM_H file were </w:t>
      </w:r>
      <w:proofErr w:type="spellStart"/>
      <w:r w:rsidRPr="003157F4">
        <w:rPr>
          <w:rFonts w:ascii="Verdana" w:eastAsia="Times New Roman" w:hAnsi="Verdana" w:cs="Times New Roman"/>
          <w:color w:val="000000"/>
          <w:sz w:val="18"/>
          <w:szCs w:val="18"/>
          <w:lang w:eastAsia="en-AU"/>
        </w:rPr>
        <w:t>analyzed</w:t>
      </w:r>
      <w:proofErr w:type="spellEnd"/>
      <w:r w:rsidRPr="003157F4">
        <w:rPr>
          <w:rFonts w:ascii="Verdana" w:eastAsia="Times New Roman" w:hAnsi="Verdana" w:cs="Times New Roman"/>
          <w:color w:val="000000"/>
          <w:sz w:val="18"/>
          <w:szCs w:val="18"/>
          <w:lang w:eastAsia="en-AU"/>
        </w:rPr>
        <w:t xml:space="preserve"> with </w:t>
      </w:r>
      <w:proofErr w:type="spellStart"/>
      <w:r w:rsidRPr="003157F4">
        <w:rPr>
          <w:rFonts w:ascii="Verdana" w:eastAsia="Times New Roman" w:hAnsi="Verdana" w:cs="Times New Roman"/>
          <w:color w:val="000000"/>
          <w:sz w:val="18"/>
          <w:szCs w:val="18"/>
          <w:lang w:eastAsia="en-AU"/>
        </w:rPr>
        <w:t>Hologic</w:t>
      </w:r>
      <w:proofErr w:type="spellEnd"/>
      <w:r w:rsidRPr="003157F4">
        <w:rPr>
          <w:rFonts w:ascii="Verdana" w:eastAsia="Times New Roman" w:hAnsi="Verdana" w:cs="Times New Roman"/>
          <w:color w:val="000000"/>
          <w:sz w:val="18"/>
          <w:szCs w:val="18"/>
          <w:lang w:eastAsia="en-AU"/>
        </w:rPr>
        <w:t xml:space="preserve"> APEX version 4.0 software.</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The DXA examinations were administered by trained and certified radiology technologists. Further details of the DXA examination protocol are documented in the Body Composition Procedures Manual located on the NHANES website (</w:t>
      </w:r>
      <w:hyperlink r:id="rId5" w:history="1">
        <w:r w:rsidRPr="003157F4">
          <w:rPr>
            <w:rFonts w:ascii="Verdana" w:eastAsia="Times New Roman" w:hAnsi="Verdana" w:cs="Times New Roman"/>
            <w:color w:val="003399"/>
            <w:sz w:val="18"/>
            <w:szCs w:val="18"/>
            <w:u w:val="single"/>
            <w:lang w:eastAsia="en-AU"/>
          </w:rPr>
          <w:t>https://www.cdc.gov/nchs/nhanes/index.htm</w:t>
        </w:r>
      </w:hyperlink>
      <w:r w:rsidRPr="003157F4">
        <w:rPr>
          <w:rFonts w:ascii="Verdana" w:eastAsia="Times New Roman" w:hAnsi="Verdana" w:cs="Times New Roman"/>
          <w:color w:val="000000"/>
          <w:sz w:val="18"/>
          <w:szCs w:val="18"/>
          <w:lang w:eastAsia="en-AU"/>
        </w:rPr>
        <w:t>).</w:t>
      </w:r>
    </w:p>
    <w:p w:rsidR="003157F4" w:rsidRPr="003157F4" w:rsidRDefault="003157F4" w:rsidP="003157F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157F4">
        <w:rPr>
          <w:rFonts w:ascii="Trebuchet MS" w:eastAsia="Times New Roman" w:hAnsi="Trebuchet MS" w:cs="Times New Roman"/>
          <w:color w:val="0C5205"/>
          <w:sz w:val="29"/>
          <w:szCs w:val="29"/>
          <w:lang w:eastAsia="en-AU"/>
        </w:rPr>
        <w:t>Quality Assurance &amp; Quality Control</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A high level of quality control was maintained throughout the DXA data collection and scan analysis, including a rigorous phantom scanning schedule.</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b/>
          <w:bCs/>
          <w:color w:val="000000"/>
          <w:sz w:val="18"/>
          <w:szCs w:val="18"/>
          <w:lang w:eastAsia="en-AU"/>
        </w:rPr>
        <w:t>Monitoring of Field Staff and Densitometers</w:t>
      </w:r>
      <w:r w:rsidRPr="003157F4">
        <w:rPr>
          <w:rFonts w:ascii="Verdana" w:eastAsia="Times New Roman" w:hAnsi="Verdana" w:cs="Times New Roman"/>
          <w:color w:val="000000"/>
          <w:sz w:val="18"/>
          <w:szCs w:val="18"/>
          <w:lang w:eastAsia="en-AU"/>
        </w:rPr>
        <w:t> </w:t>
      </w:r>
      <w:r w:rsidRPr="003157F4">
        <w:rPr>
          <w:rFonts w:ascii="Verdana" w:eastAsia="Times New Roman" w:hAnsi="Verdana" w:cs="Times New Roman"/>
          <w:color w:val="000000"/>
          <w:sz w:val="18"/>
          <w:szCs w:val="18"/>
          <w:lang w:eastAsia="en-AU"/>
        </w:rPr>
        <w:br/>
        <w:t xml:space="preserve">Staff from the National </w:t>
      </w:r>
      <w:proofErr w:type="spellStart"/>
      <w:r w:rsidRPr="003157F4">
        <w:rPr>
          <w:rFonts w:ascii="Verdana" w:eastAsia="Times New Roman" w:hAnsi="Verdana" w:cs="Times New Roman"/>
          <w:color w:val="000000"/>
          <w:sz w:val="18"/>
          <w:szCs w:val="18"/>
          <w:lang w:eastAsia="en-AU"/>
        </w:rPr>
        <w:t>Center</w:t>
      </w:r>
      <w:proofErr w:type="spellEnd"/>
      <w:r w:rsidRPr="003157F4">
        <w:rPr>
          <w:rFonts w:ascii="Verdana" w:eastAsia="Times New Roman" w:hAnsi="Verdana" w:cs="Times New Roman"/>
          <w:color w:val="000000"/>
          <w:sz w:val="18"/>
          <w:szCs w:val="18"/>
          <w:lang w:eastAsia="en-AU"/>
        </w:rPr>
        <w:t xml:space="preserve"> for Health Statistics (NCHS) and the NHANES data collection contractor monitored technologist acquisition performance through in-person observations in the field. Retraining sessions were conducted with the technologists annually and as needed to reinforce correct techniques and appropriate protocol. In addition, technologist performance codes were recorded by the NHANES quality control </w:t>
      </w:r>
      <w:proofErr w:type="spellStart"/>
      <w:r w:rsidRPr="003157F4">
        <w:rPr>
          <w:rFonts w:ascii="Verdana" w:eastAsia="Times New Roman" w:hAnsi="Verdana" w:cs="Times New Roman"/>
          <w:color w:val="000000"/>
          <w:sz w:val="18"/>
          <w:szCs w:val="18"/>
          <w:lang w:eastAsia="en-AU"/>
        </w:rPr>
        <w:t>center</w:t>
      </w:r>
      <w:proofErr w:type="spellEnd"/>
      <w:r w:rsidRPr="003157F4">
        <w:rPr>
          <w:rFonts w:ascii="Verdana" w:eastAsia="Times New Roman" w:hAnsi="Verdana" w:cs="Times New Roman"/>
          <w:color w:val="000000"/>
          <w:sz w:val="18"/>
          <w:szCs w:val="18"/>
          <w:lang w:eastAsia="en-AU"/>
        </w:rPr>
        <w:t xml:space="preserve"> at the University of California, San Francisco (UCSF), </w:t>
      </w:r>
      <w:proofErr w:type="gramStart"/>
      <w:r w:rsidRPr="003157F4">
        <w:rPr>
          <w:rFonts w:ascii="Verdana" w:eastAsia="Times New Roman" w:hAnsi="Verdana" w:cs="Times New Roman"/>
          <w:color w:val="000000"/>
          <w:sz w:val="18"/>
          <w:szCs w:val="18"/>
          <w:lang w:eastAsia="en-AU"/>
        </w:rPr>
        <w:t>Department</w:t>
      </w:r>
      <w:proofErr w:type="gramEnd"/>
      <w:r w:rsidRPr="003157F4">
        <w:rPr>
          <w:rFonts w:ascii="Verdana" w:eastAsia="Times New Roman" w:hAnsi="Verdana" w:cs="Times New Roman"/>
          <w:color w:val="000000"/>
          <w:sz w:val="18"/>
          <w:szCs w:val="18"/>
          <w:lang w:eastAsia="en-AU"/>
        </w:rPr>
        <w:t xml:space="preserve"> of Radiology during review of participant scans. The codes documented when the technologist had deviated from acquisition procedures and where scan quality could have been improved. The performance codes were tracked for each technologist individually and a summary reported to NCHS on a quarterly basis. Additional feedback on technologist performance was provided by the UCSF when problems were noted during review of the scans. Constant communication was maintained throughout the year among the UCSF, the NCHS, and the data collection contractor regarding any issues that arose.</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proofErr w:type="spellStart"/>
      <w:r w:rsidRPr="003157F4">
        <w:rPr>
          <w:rFonts w:ascii="Verdana" w:eastAsia="Times New Roman" w:hAnsi="Verdana" w:cs="Times New Roman"/>
          <w:color w:val="000000"/>
          <w:sz w:val="18"/>
          <w:szCs w:val="18"/>
          <w:lang w:eastAsia="en-AU"/>
        </w:rPr>
        <w:t>Hologic</w:t>
      </w:r>
      <w:proofErr w:type="spellEnd"/>
      <w:r w:rsidRPr="003157F4">
        <w:rPr>
          <w:rFonts w:ascii="Verdana" w:eastAsia="Times New Roman" w:hAnsi="Verdana" w:cs="Times New Roman"/>
          <w:color w:val="000000"/>
          <w:sz w:val="18"/>
          <w:szCs w:val="18"/>
          <w:lang w:eastAsia="en-AU"/>
        </w:rPr>
        <w:t xml:space="preserve"> service engineers performed all routine densitometer maintenance and repairs. Copies of all reports completed by the manufacturer’s service engineers </w:t>
      </w:r>
      <w:r w:rsidRPr="003157F4">
        <w:rPr>
          <w:rFonts w:ascii="Verdana" w:eastAsia="Times New Roman" w:hAnsi="Verdana" w:cs="Times New Roman"/>
          <w:color w:val="000000"/>
          <w:sz w:val="18"/>
          <w:szCs w:val="18"/>
          <w:lang w:eastAsia="en-AU"/>
        </w:rPr>
        <w:lastRenderedPageBreak/>
        <w:t>were sent to the UCSF when the scanners were serviced or repaired so any changes in measurement as a result of the work could be assessed.</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b/>
          <w:bCs/>
          <w:color w:val="000000"/>
          <w:sz w:val="18"/>
          <w:szCs w:val="18"/>
          <w:lang w:eastAsia="en-AU"/>
        </w:rPr>
        <w:t>Scan Analysis </w:t>
      </w:r>
      <w:r w:rsidRPr="003157F4">
        <w:rPr>
          <w:rFonts w:ascii="Verdana" w:eastAsia="Times New Roman" w:hAnsi="Verdana" w:cs="Times New Roman"/>
          <w:color w:val="000000"/>
          <w:sz w:val="18"/>
          <w:szCs w:val="18"/>
          <w:lang w:eastAsia="en-AU"/>
        </w:rPr>
        <w:br/>
        <w:t xml:space="preserve">Each participant and phantom scan was reviewed and </w:t>
      </w:r>
      <w:proofErr w:type="spellStart"/>
      <w:r w:rsidRPr="003157F4">
        <w:rPr>
          <w:rFonts w:ascii="Verdana" w:eastAsia="Times New Roman" w:hAnsi="Verdana" w:cs="Times New Roman"/>
          <w:color w:val="000000"/>
          <w:sz w:val="18"/>
          <w:szCs w:val="18"/>
          <w:lang w:eastAsia="en-AU"/>
        </w:rPr>
        <w:t>analyzed</w:t>
      </w:r>
      <w:proofErr w:type="spellEnd"/>
      <w:r w:rsidRPr="003157F4">
        <w:rPr>
          <w:rFonts w:ascii="Verdana" w:eastAsia="Times New Roman" w:hAnsi="Verdana" w:cs="Times New Roman"/>
          <w:color w:val="000000"/>
          <w:sz w:val="18"/>
          <w:szCs w:val="18"/>
          <w:lang w:eastAsia="en-AU"/>
        </w:rPr>
        <w:t xml:space="preserve"> by the UCSF using standard radiologic techniques and study-specific protocols developed for the NHANES. The most recently released </w:t>
      </w:r>
      <w:proofErr w:type="spellStart"/>
      <w:r w:rsidRPr="003157F4">
        <w:rPr>
          <w:rFonts w:ascii="Verdana" w:eastAsia="Times New Roman" w:hAnsi="Verdana" w:cs="Times New Roman"/>
          <w:color w:val="000000"/>
          <w:sz w:val="18"/>
          <w:szCs w:val="18"/>
          <w:lang w:eastAsia="en-AU"/>
        </w:rPr>
        <w:t>Hologic</w:t>
      </w:r>
      <w:proofErr w:type="spellEnd"/>
      <w:r w:rsidRPr="003157F4">
        <w:rPr>
          <w:rFonts w:ascii="Verdana" w:eastAsia="Times New Roman" w:hAnsi="Verdana" w:cs="Times New Roman"/>
          <w:color w:val="000000"/>
          <w:sz w:val="18"/>
          <w:szCs w:val="18"/>
          <w:lang w:eastAsia="en-AU"/>
        </w:rPr>
        <w:t xml:space="preserve"> software, APEX v4.0 (</w:t>
      </w:r>
      <w:proofErr w:type="spellStart"/>
      <w:r w:rsidRPr="003157F4">
        <w:rPr>
          <w:rFonts w:ascii="Verdana" w:eastAsia="Times New Roman" w:hAnsi="Verdana" w:cs="Times New Roman"/>
          <w:color w:val="000000"/>
          <w:sz w:val="18"/>
          <w:szCs w:val="18"/>
          <w:lang w:eastAsia="en-AU"/>
        </w:rPr>
        <w:t>Hologic</w:t>
      </w:r>
      <w:proofErr w:type="spellEnd"/>
      <w:r w:rsidRPr="003157F4">
        <w:rPr>
          <w:rFonts w:ascii="Verdana" w:eastAsia="Times New Roman" w:hAnsi="Verdana" w:cs="Times New Roman"/>
          <w:color w:val="000000"/>
          <w:sz w:val="18"/>
          <w:szCs w:val="18"/>
          <w:lang w:eastAsia="en-AU"/>
        </w:rPr>
        <w:t xml:space="preserve">) was used to </w:t>
      </w:r>
      <w:proofErr w:type="spellStart"/>
      <w:r w:rsidRPr="003157F4">
        <w:rPr>
          <w:rFonts w:ascii="Verdana" w:eastAsia="Times New Roman" w:hAnsi="Verdana" w:cs="Times New Roman"/>
          <w:color w:val="000000"/>
          <w:sz w:val="18"/>
          <w:szCs w:val="18"/>
          <w:lang w:eastAsia="en-AU"/>
        </w:rPr>
        <w:t>analyze</w:t>
      </w:r>
      <w:proofErr w:type="spellEnd"/>
      <w:r w:rsidRPr="003157F4">
        <w:rPr>
          <w:rFonts w:ascii="Verdana" w:eastAsia="Times New Roman" w:hAnsi="Verdana" w:cs="Times New Roman"/>
          <w:color w:val="000000"/>
          <w:sz w:val="18"/>
          <w:szCs w:val="18"/>
          <w:lang w:eastAsia="en-AU"/>
        </w:rPr>
        <w:t xml:space="preserve"> all femur scans acquired in 2013-14. Expert review was conducted by the UCSF on 100% of </w:t>
      </w:r>
      <w:proofErr w:type="spellStart"/>
      <w:r w:rsidRPr="003157F4">
        <w:rPr>
          <w:rFonts w:ascii="Verdana" w:eastAsia="Times New Roman" w:hAnsi="Verdana" w:cs="Times New Roman"/>
          <w:color w:val="000000"/>
          <w:sz w:val="18"/>
          <w:szCs w:val="18"/>
          <w:lang w:eastAsia="en-AU"/>
        </w:rPr>
        <w:t>analyzed</w:t>
      </w:r>
      <w:proofErr w:type="spellEnd"/>
      <w:r w:rsidRPr="003157F4">
        <w:rPr>
          <w:rFonts w:ascii="Verdana" w:eastAsia="Times New Roman" w:hAnsi="Verdana" w:cs="Times New Roman"/>
          <w:color w:val="000000"/>
          <w:sz w:val="18"/>
          <w:szCs w:val="18"/>
          <w:lang w:eastAsia="en-AU"/>
        </w:rPr>
        <w:t xml:space="preserve"> participant scans to verify the accuracy and consistency of the results.</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b/>
          <w:bCs/>
          <w:color w:val="000000"/>
          <w:sz w:val="18"/>
          <w:szCs w:val="18"/>
          <w:lang w:eastAsia="en-AU"/>
        </w:rPr>
        <w:t>Invalidity Codes </w:t>
      </w:r>
      <w:r w:rsidRPr="003157F4">
        <w:rPr>
          <w:rFonts w:ascii="Verdana" w:eastAsia="Times New Roman" w:hAnsi="Verdana" w:cs="Times New Roman"/>
          <w:color w:val="000000"/>
          <w:sz w:val="18"/>
          <w:szCs w:val="18"/>
          <w:lang w:eastAsia="en-AU"/>
        </w:rPr>
        <w:br/>
        <w:t xml:space="preserve">Invalidity codes were applied by the UCSF to indicate the reasons femur and spine regions of interest (ROI) could not be </w:t>
      </w:r>
      <w:proofErr w:type="spellStart"/>
      <w:r w:rsidRPr="003157F4">
        <w:rPr>
          <w:rFonts w:ascii="Verdana" w:eastAsia="Times New Roman" w:hAnsi="Verdana" w:cs="Times New Roman"/>
          <w:color w:val="000000"/>
          <w:sz w:val="18"/>
          <w:szCs w:val="18"/>
          <w:lang w:eastAsia="en-AU"/>
        </w:rPr>
        <w:t>analyzed</w:t>
      </w:r>
      <w:proofErr w:type="spellEnd"/>
      <w:r w:rsidRPr="003157F4">
        <w:rPr>
          <w:rFonts w:ascii="Verdana" w:eastAsia="Times New Roman" w:hAnsi="Verdana" w:cs="Times New Roman"/>
          <w:color w:val="000000"/>
          <w:sz w:val="18"/>
          <w:szCs w:val="18"/>
          <w:lang w:eastAsia="en-AU"/>
        </w:rPr>
        <w:t xml:space="preserve"> accurately. The invalidity codes are provided in the data file (see Data Processing and Editing section for a more detailed description of the invalidity codes).</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b/>
          <w:bCs/>
          <w:color w:val="000000"/>
          <w:sz w:val="18"/>
          <w:szCs w:val="18"/>
          <w:lang w:eastAsia="en-AU"/>
        </w:rPr>
        <w:t>Quality Control Scans</w:t>
      </w:r>
      <w:r w:rsidRPr="003157F4">
        <w:rPr>
          <w:rFonts w:ascii="Verdana" w:eastAsia="Times New Roman" w:hAnsi="Verdana" w:cs="Times New Roman"/>
          <w:color w:val="000000"/>
          <w:sz w:val="18"/>
          <w:szCs w:val="18"/>
          <w:lang w:eastAsia="en-AU"/>
        </w:rPr>
        <w:t> </w:t>
      </w:r>
      <w:r w:rsidRPr="003157F4">
        <w:rPr>
          <w:rFonts w:ascii="Verdana" w:eastAsia="Times New Roman" w:hAnsi="Verdana" w:cs="Times New Roman"/>
          <w:color w:val="000000"/>
          <w:sz w:val="18"/>
          <w:szCs w:val="18"/>
          <w:lang w:eastAsia="en-AU"/>
        </w:rPr>
        <w:br/>
        <w:t xml:space="preserve">The quality control phantoms were scanned according to a predetermined schedule. The </w:t>
      </w:r>
      <w:proofErr w:type="spellStart"/>
      <w:r w:rsidRPr="003157F4">
        <w:rPr>
          <w:rFonts w:ascii="Verdana" w:eastAsia="Times New Roman" w:hAnsi="Verdana" w:cs="Times New Roman"/>
          <w:color w:val="000000"/>
          <w:sz w:val="18"/>
          <w:szCs w:val="18"/>
          <w:lang w:eastAsia="en-AU"/>
        </w:rPr>
        <w:t>Hologic</w:t>
      </w:r>
      <w:proofErr w:type="spellEnd"/>
      <w:r w:rsidRPr="003157F4">
        <w:rPr>
          <w:rFonts w:ascii="Verdana" w:eastAsia="Times New Roman" w:hAnsi="Verdana" w:cs="Times New Roman"/>
          <w:color w:val="000000"/>
          <w:sz w:val="18"/>
          <w:szCs w:val="18"/>
          <w:lang w:eastAsia="en-AU"/>
        </w:rPr>
        <w:t xml:space="preserve"> Anthropomorphic Spine Phantom that </w:t>
      </w:r>
      <w:proofErr w:type="spellStart"/>
      <w:r w:rsidRPr="003157F4">
        <w:rPr>
          <w:rFonts w:ascii="Verdana" w:eastAsia="Times New Roman" w:hAnsi="Verdana" w:cs="Times New Roman"/>
          <w:color w:val="000000"/>
          <w:sz w:val="18"/>
          <w:szCs w:val="18"/>
          <w:lang w:eastAsia="en-AU"/>
        </w:rPr>
        <w:t>traveled</w:t>
      </w:r>
      <w:proofErr w:type="spellEnd"/>
      <w:r w:rsidRPr="003157F4">
        <w:rPr>
          <w:rFonts w:ascii="Verdana" w:eastAsia="Times New Roman" w:hAnsi="Verdana" w:cs="Times New Roman"/>
          <w:color w:val="000000"/>
          <w:sz w:val="18"/>
          <w:szCs w:val="18"/>
          <w:lang w:eastAsia="en-AU"/>
        </w:rPr>
        <w:t xml:space="preserve"> with each MEC was scanned daily as required by the manufacturer to ensure accurate calibration of the densitometer. The </w:t>
      </w:r>
      <w:proofErr w:type="spellStart"/>
      <w:r w:rsidRPr="003157F4">
        <w:rPr>
          <w:rFonts w:ascii="Verdana" w:eastAsia="Times New Roman" w:hAnsi="Verdana" w:cs="Times New Roman"/>
          <w:color w:val="000000"/>
          <w:sz w:val="18"/>
          <w:szCs w:val="18"/>
          <w:lang w:eastAsia="en-AU"/>
        </w:rPr>
        <w:t>Hologic</w:t>
      </w:r>
      <w:proofErr w:type="spellEnd"/>
      <w:r w:rsidRPr="003157F4">
        <w:rPr>
          <w:rFonts w:ascii="Verdana" w:eastAsia="Times New Roman" w:hAnsi="Verdana" w:cs="Times New Roman"/>
          <w:color w:val="000000"/>
          <w:sz w:val="18"/>
          <w:szCs w:val="18"/>
          <w:lang w:eastAsia="en-AU"/>
        </w:rPr>
        <w:t xml:space="preserve"> Femur Phantom was scanned once each week. A </w:t>
      </w:r>
      <w:proofErr w:type="spellStart"/>
      <w:r w:rsidRPr="003157F4">
        <w:rPr>
          <w:rFonts w:ascii="Verdana" w:eastAsia="Times New Roman" w:hAnsi="Verdana" w:cs="Times New Roman"/>
          <w:color w:val="000000"/>
          <w:sz w:val="18"/>
          <w:szCs w:val="18"/>
          <w:lang w:eastAsia="en-AU"/>
        </w:rPr>
        <w:t>Hologic</w:t>
      </w:r>
      <w:proofErr w:type="spellEnd"/>
      <w:r w:rsidRPr="003157F4">
        <w:rPr>
          <w:rFonts w:ascii="Verdana" w:eastAsia="Times New Roman" w:hAnsi="Verdana" w:cs="Times New Roman"/>
          <w:color w:val="000000"/>
          <w:sz w:val="18"/>
          <w:szCs w:val="18"/>
          <w:lang w:eastAsia="en-AU"/>
        </w:rPr>
        <w:t xml:space="preserve"> Spine (HSP-Q96) and a </w:t>
      </w:r>
      <w:proofErr w:type="spellStart"/>
      <w:r w:rsidRPr="003157F4">
        <w:rPr>
          <w:rFonts w:ascii="Verdana" w:eastAsia="Times New Roman" w:hAnsi="Verdana" w:cs="Times New Roman"/>
          <w:color w:val="000000"/>
          <w:sz w:val="18"/>
          <w:szCs w:val="18"/>
          <w:lang w:eastAsia="en-AU"/>
        </w:rPr>
        <w:t>Hologic</w:t>
      </w:r>
      <w:proofErr w:type="spellEnd"/>
      <w:r w:rsidRPr="003157F4">
        <w:rPr>
          <w:rFonts w:ascii="Verdana" w:eastAsia="Times New Roman" w:hAnsi="Verdana" w:cs="Times New Roman"/>
          <w:color w:val="000000"/>
          <w:sz w:val="18"/>
          <w:szCs w:val="18"/>
          <w:lang w:eastAsia="en-AU"/>
        </w:rPr>
        <w:t xml:space="preserve"> Block Phantom circulated among the MECs and were scanned at the start of operations at each survey site.</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The complete phantom scanning schedule is described in the Body Composition Procedures Manual located on the NHANES website.</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In 2013-2014, longitudinal monitoring was conducted through the daily spine phantom scans as required by the manufacturer and the once weekly femur phantom scans in order to correct any scanner-related changes in participant data. The circulating HSP-Q96 and block phantoms, which were scanned at the start of operations at each site, provided additional data for use in longitudinal monitoring and cross calibration.</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The UCSF used the Cumulative Statistics method (CUSUM) and the MEC-specific phantom data to determine breaks in the calibration of the densitometers over the course of the survey (Lu, 1996). No shifting or drifting of the MEC-specific spine phantom values was found for any of the three MECs during 2013-2014. Therefore no corrections to the participant data were made.</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 xml:space="preserve">A number of data quality issues were addressed through the quality control program. Direct feedback, given to the technologists regarding acquisition problems affecting the quality of the scans, and yearly refresher training resulted in improved technologist performance. The rigorous schedule of quality control </w:t>
      </w:r>
      <w:r w:rsidRPr="003157F4">
        <w:rPr>
          <w:rFonts w:ascii="Verdana" w:eastAsia="Times New Roman" w:hAnsi="Verdana" w:cs="Times New Roman"/>
          <w:color w:val="000000"/>
          <w:sz w:val="18"/>
          <w:szCs w:val="18"/>
          <w:lang w:eastAsia="en-AU"/>
        </w:rPr>
        <w:lastRenderedPageBreak/>
        <w:t>scans provided continuous monitoring of machine performance. The expert review procedures assured that scan analysis was accurate and consistent.</w:t>
      </w:r>
    </w:p>
    <w:p w:rsidR="003157F4" w:rsidRPr="003157F4" w:rsidRDefault="003157F4" w:rsidP="003157F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157F4">
        <w:rPr>
          <w:rFonts w:ascii="Trebuchet MS" w:eastAsia="Times New Roman" w:hAnsi="Trebuchet MS" w:cs="Times New Roman"/>
          <w:color w:val="0C5205"/>
          <w:sz w:val="29"/>
          <w:szCs w:val="29"/>
          <w:lang w:eastAsia="en-AU"/>
        </w:rPr>
        <w:t>Data Processing and Editing</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During the editing process, data were reviewed for completeness, consistency, and outliers. Edits of the data were performed when errors were identified.</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b/>
          <w:bCs/>
          <w:color w:val="000000"/>
          <w:sz w:val="18"/>
          <w:szCs w:val="18"/>
          <w:lang w:eastAsia="en-AU"/>
        </w:rPr>
        <w:t>Invalidity Codes </w:t>
      </w:r>
      <w:r w:rsidRPr="003157F4">
        <w:rPr>
          <w:rFonts w:ascii="Verdana" w:eastAsia="Times New Roman" w:hAnsi="Verdana" w:cs="Times New Roman"/>
          <w:color w:val="000000"/>
          <w:sz w:val="18"/>
          <w:szCs w:val="18"/>
          <w:lang w:eastAsia="en-AU"/>
        </w:rPr>
        <w:br/>
        <w:t xml:space="preserve">Invalidity codes are included in the data file to indicate the reasons femur regions of interest (ROI) could not be </w:t>
      </w:r>
      <w:proofErr w:type="spellStart"/>
      <w:r w:rsidRPr="003157F4">
        <w:rPr>
          <w:rFonts w:ascii="Verdana" w:eastAsia="Times New Roman" w:hAnsi="Verdana" w:cs="Times New Roman"/>
          <w:color w:val="000000"/>
          <w:sz w:val="18"/>
          <w:szCs w:val="18"/>
          <w:lang w:eastAsia="en-AU"/>
        </w:rPr>
        <w:t>analyzed</w:t>
      </w:r>
      <w:proofErr w:type="spellEnd"/>
      <w:r w:rsidRPr="003157F4">
        <w:rPr>
          <w:rFonts w:ascii="Verdana" w:eastAsia="Times New Roman" w:hAnsi="Verdana" w:cs="Times New Roman"/>
          <w:color w:val="000000"/>
          <w:sz w:val="18"/>
          <w:szCs w:val="18"/>
          <w:lang w:eastAsia="en-AU"/>
        </w:rPr>
        <w:t xml:space="preserve"> accurately. Invalidity codes are applicable to completed scans only (DXAFMRST=1 or 2). If a participant was not scanned, all invalidity codes are missing.</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The invalidity codes are provided in the data file as follows:</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u w:val="single"/>
          <w:lang w:eastAsia="en-AU"/>
        </w:rPr>
        <w:t>Values for invalidity code DXXFMBCC (Total femur BMD)</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0 = Valid data</w:t>
      </w:r>
      <w:r w:rsidRPr="003157F4">
        <w:rPr>
          <w:rFonts w:ascii="Verdana" w:eastAsia="Times New Roman" w:hAnsi="Verdana" w:cs="Times New Roman"/>
          <w:color w:val="000000"/>
          <w:sz w:val="18"/>
          <w:szCs w:val="18"/>
          <w:lang w:eastAsia="en-AU"/>
        </w:rPr>
        <w:br/>
        <w:t xml:space="preserve">1 = </w:t>
      </w:r>
      <w:proofErr w:type="spellStart"/>
      <w:r w:rsidRPr="003157F4">
        <w:rPr>
          <w:rFonts w:ascii="Verdana" w:eastAsia="Times New Roman" w:hAnsi="Verdana" w:cs="Times New Roman"/>
          <w:color w:val="000000"/>
          <w:sz w:val="18"/>
          <w:szCs w:val="18"/>
          <w:lang w:eastAsia="en-AU"/>
        </w:rPr>
        <w:t>Jewelry</w:t>
      </w:r>
      <w:proofErr w:type="spellEnd"/>
      <w:r w:rsidRPr="003157F4">
        <w:rPr>
          <w:rFonts w:ascii="Verdana" w:eastAsia="Times New Roman" w:hAnsi="Verdana" w:cs="Times New Roman"/>
          <w:color w:val="000000"/>
          <w:sz w:val="18"/>
          <w:szCs w:val="18"/>
          <w:lang w:eastAsia="en-AU"/>
        </w:rPr>
        <w:t xml:space="preserve"> or other objects not removed </w:t>
      </w:r>
      <w:r w:rsidRPr="003157F4">
        <w:rPr>
          <w:rFonts w:ascii="Verdana" w:eastAsia="Times New Roman" w:hAnsi="Verdana" w:cs="Times New Roman"/>
          <w:color w:val="000000"/>
          <w:sz w:val="18"/>
          <w:szCs w:val="18"/>
          <w:lang w:eastAsia="en-AU"/>
        </w:rPr>
        <w:br/>
        <w:t>2 = Non-removable objects such as implants</w:t>
      </w:r>
      <w:r w:rsidRPr="003157F4">
        <w:rPr>
          <w:rFonts w:ascii="Verdana" w:eastAsia="Times New Roman" w:hAnsi="Verdana" w:cs="Times New Roman"/>
          <w:color w:val="000000"/>
          <w:sz w:val="18"/>
          <w:szCs w:val="18"/>
          <w:lang w:eastAsia="en-AU"/>
        </w:rPr>
        <w:br/>
        <w:t>3 = Excessive x-ray “noise” due to obesity</w:t>
      </w:r>
      <w:r w:rsidRPr="003157F4">
        <w:rPr>
          <w:rFonts w:ascii="Verdana" w:eastAsia="Times New Roman" w:hAnsi="Verdana" w:cs="Times New Roman"/>
          <w:color w:val="000000"/>
          <w:sz w:val="18"/>
          <w:szCs w:val="18"/>
          <w:lang w:eastAsia="en-AU"/>
        </w:rPr>
        <w:br/>
        <w:t>4 = Body parts out of scan region</w:t>
      </w:r>
      <w:r w:rsidRPr="003157F4">
        <w:rPr>
          <w:rFonts w:ascii="Verdana" w:eastAsia="Times New Roman" w:hAnsi="Verdana" w:cs="Times New Roman"/>
          <w:color w:val="000000"/>
          <w:sz w:val="18"/>
          <w:szCs w:val="18"/>
          <w:lang w:eastAsia="en-AU"/>
        </w:rPr>
        <w:br/>
        <w:t>5 = Positioning problem </w:t>
      </w:r>
      <w:r w:rsidRPr="003157F4">
        <w:rPr>
          <w:rFonts w:ascii="Verdana" w:eastAsia="Times New Roman" w:hAnsi="Verdana" w:cs="Times New Roman"/>
          <w:color w:val="000000"/>
          <w:sz w:val="18"/>
          <w:szCs w:val="18"/>
          <w:lang w:eastAsia="en-AU"/>
        </w:rPr>
        <w:br/>
        <w:t xml:space="preserve">6 = </w:t>
      </w:r>
      <w:proofErr w:type="gramStart"/>
      <w:r w:rsidRPr="003157F4">
        <w:rPr>
          <w:rFonts w:ascii="Verdana" w:eastAsia="Times New Roman" w:hAnsi="Verdana" w:cs="Times New Roman"/>
          <w:color w:val="000000"/>
          <w:sz w:val="18"/>
          <w:szCs w:val="18"/>
          <w:lang w:eastAsia="en-AU"/>
        </w:rPr>
        <w:t>Other</w:t>
      </w:r>
      <w:proofErr w:type="gramEnd"/>
      <w:r w:rsidRPr="003157F4">
        <w:rPr>
          <w:rFonts w:ascii="Verdana" w:eastAsia="Times New Roman" w:hAnsi="Verdana" w:cs="Times New Roman"/>
          <w:color w:val="000000"/>
          <w:sz w:val="18"/>
          <w:szCs w:val="18"/>
          <w:lang w:eastAsia="en-AU"/>
        </w:rPr>
        <w:t xml:space="preserve"> (includes panniculus, participant motion, unknown </w:t>
      </w:r>
      <w:proofErr w:type="spellStart"/>
      <w:r w:rsidRPr="003157F4">
        <w:rPr>
          <w:rFonts w:ascii="Verdana" w:eastAsia="Times New Roman" w:hAnsi="Verdana" w:cs="Times New Roman"/>
          <w:color w:val="000000"/>
          <w:sz w:val="18"/>
          <w:szCs w:val="18"/>
          <w:lang w:eastAsia="en-AU"/>
        </w:rPr>
        <w:t>artifacts</w:t>
      </w:r>
      <w:proofErr w:type="spellEnd"/>
      <w:r w:rsidRPr="003157F4">
        <w:rPr>
          <w:rFonts w:ascii="Verdana" w:eastAsia="Times New Roman" w:hAnsi="Verdana" w:cs="Times New Roman"/>
          <w:color w:val="000000"/>
          <w:sz w:val="18"/>
          <w:szCs w:val="18"/>
          <w:lang w:eastAsia="en-AU"/>
        </w:rPr>
        <w:t>)</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 xml:space="preserve">The total femur BMD was coded as invalid (DXXFMBCC = 1-6) and all femur data set to missing if data for any femur subregion was invalid. Specifically, validity codes were provided for the femoral neck and trochanter by the quality control </w:t>
      </w:r>
      <w:proofErr w:type="spellStart"/>
      <w:r w:rsidRPr="003157F4">
        <w:rPr>
          <w:rFonts w:ascii="Verdana" w:eastAsia="Times New Roman" w:hAnsi="Verdana" w:cs="Times New Roman"/>
          <w:color w:val="000000"/>
          <w:sz w:val="18"/>
          <w:szCs w:val="18"/>
          <w:lang w:eastAsia="en-AU"/>
        </w:rPr>
        <w:t>center</w:t>
      </w:r>
      <w:proofErr w:type="spellEnd"/>
      <w:r w:rsidRPr="003157F4">
        <w:rPr>
          <w:rFonts w:ascii="Verdana" w:eastAsia="Times New Roman" w:hAnsi="Verdana" w:cs="Times New Roman"/>
          <w:color w:val="000000"/>
          <w:sz w:val="18"/>
          <w:szCs w:val="18"/>
          <w:lang w:eastAsia="en-AU"/>
        </w:rPr>
        <w:t xml:space="preserve"> because these are the femur regions that have been used the most in clinical situations. However, if either of these regions was invalid, the </w:t>
      </w:r>
      <w:proofErr w:type="spellStart"/>
      <w:r w:rsidRPr="003157F4">
        <w:rPr>
          <w:rFonts w:ascii="Verdana" w:eastAsia="Times New Roman" w:hAnsi="Verdana" w:cs="Times New Roman"/>
          <w:color w:val="000000"/>
          <w:sz w:val="18"/>
          <w:szCs w:val="18"/>
          <w:lang w:eastAsia="en-AU"/>
        </w:rPr>
        <w:t>intertrochanter</w:t>
      </w:r>
      <w:proofErr w:type="spellEnd"/>
      <w:r w:rsidRPr="003157F4">
        <w:rPr>
          <w:rFonts w:ascii="Verdana" w:eastAsia="Times New Roman" w:hAnsi="Verdana" w:cs="Times New Roman"/>
          <w:color w:val="000000"/>
          <w:sz w:val="18"/>
          <w:szCs w:val="18"/>
          <w:lang w:eastAsia="en-AU"/>
        </w:rPr>
        <w:t xml:space="preserve"> and Ward's triangle were also considered invalid. The 2007 Official Positions of the International Society for Clinical Densitometry (ISCD) state that only the femoral neck or total femur regions of interest should be used for diagnosis of osteoporosis at the femur (2007 ISCD Official Positions).</w:t>
      </w:r>
    </w:p>
    <w:p w:rsidR="003157F4" w:rsidRPr="003157F4" w:rsidRDefault="003157F4" w:rsidP="003157F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157F4">
        <w:rPr>
          <w:rFonts w:ascii="Trebuchet MS" w:eastAsia="Times New Roman" w:hAnsi="Trebuchet MS" w:cs="Times New Roman"/>
          <w:color w:val="0C5205"/>
          <w:sz w:val="29"/>
          <w:szCs w:val="29"/>
          <w:lang w:eastAsia="en-AU"/>
        </w:rPr>
        <w:t>Analytic Notes</w:t>
      </w:r>
    </w:p>
    <w:p w:rsidR="003157F4" w:rsidRPr="003157F4" w:rsidRDefault="003157F4" w:rsidP="003157F4">
      <w:pPr>
        <w:spacing w:after="240" w:line="319" w:lineRule="atLeast"/>
        <w:ind w:left="720"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The NHANES examination sample weights should be used for any analyses using the DXXFEM_H data. Please refer to the Analytic Guidelines on the NHANES website for further details on the use of sample weights and other analytic issues.</w:t>
      </w:r>
    </w:p>
    <w:p w:rsidR="003157F4" w:rsidRPr="003157F4" w:rsidRDefault="003157F4" w:rsidP="003157F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157F4">
        <w:rPr>
          <w:rFonts w:ascii="Trebuchet MS" w:eastAsia="Times New Roman" w:hAnsi="Trebuchet MS" w:cs="Times New Roman"/>
          <w:color w:val="0C5205"/>
          <w:sz w:val="29"/>
          <w:szCs w:val="29"/>
          <w:lang w:eastAsia="en-AU"/>
        </w:rPr>
        <w:t>References</w:t>
      </w:r>
    </w:p>
    <w:p w:rsidR="003157F4" w:rsidRPr="003157F4" w:rsidRDefault="003157F4" w:rsidP="003157F4">
      <w:pPr>
        <w:numPr>
          <w:ilvl w:val="0"/>
          <w:numId w:val="3"/>
        </w:numPr>
        <w:spacing w:after="0" w:line="280" w:lineRule="atLeast"/>
        <w:ind w:left="1118" w:right="720"/>
        <w:rPr>
          <w:rFonts w:ascii="Verdana" w:eastAsia="Times New Roman" w:hAnsi="Verdana" w:cs="Times New Roman"/>
          <w:color w:val="000000"/>
          <w:sz w:val="18"/>
          <w:szCs w:val="18"/>
          <w:lang w:eastAsia="en-AU"/>
        </w:rPr>
      </w:pPr>
      <w:proofErr w:type="spellStart"/>
      <w:r w:rsidRPr="003157F4">
        <w:rPr>
          <w:rFonts w:ascii="Verdana" w:eastAsia="Times New Roman" w:hAnsi="Verdana" w:cs="Times New Roman"/>
          <w:color w:val="000000"/>
          <w:sz w:val="18"/>
          <w:szCs w:val="18"/>
          <w:lang w:eastAsia="en-AU"/>
        </w:rPr>
        <w:lastRenderedPageBreak/>
        <w:t>Genant</w:t>
      </w:r>
      <w:proofErr w:type="spellEnd"/>
      <w:r w:rsidRPr="003157F4">
        <w:rPr>
          <w:rFonts w:ascii="Verdana" w:eastAsia="Times New Roman" w:hAnsi="Verdana" w:cs="Times New Roman"/>
          <w:color w:val="000000"/>
          <w:sz w:val="18"/>
          <w:szCs w:val="18"/>
          <w:lang w:eastAsia="en-AU"/>
        </w:rPr>
        <w:t xml:space="preserve"> HK, </w:t>
      </w:r>
      <w:proofErr w:type="spellStart"/>
      <w:r w:rsidRPr="003157F4">
        <w:rPr>
          <w:rFonts w:ascii="Verdana" w:eastAsia="Times New Roman" w:hAnsi="Verdana" w:cs="Times New Roman"/>
          <w:color w:val="000000"/>
          <w:sz w:val="18"/>
          <w:szCs w:val="18"/>
          <w:lang w:eastAsia="en-AU"/>
        </w:rPr>
        <w:t>Engelke</w:t>
      </w:r>
      <w:proofErr w:type="spellEnd"/>
      <w:r w:rsidRPr="003157F4">
        <w:rPr>
          <w:rFonts w:ascii="Verdana" w:eastAsia="Times New Roman" w:hAnsi="Verdana" w:cs="Times New Roman"/>
          <w:color w:val="000000"/>
          <w:sz w:val="18"/>
          <w:szCs w:val="18"/>
          <w:lang w:eastAsia="en-AU"/>
        </w:rPr>
        <w:t xml:space="preserve"> K, </w:t>
      </w:r>
      <w:proofErr w:type="spellStart"/>
      <w:r w:rsidRPr="003157F4">
        <w:rPr>
          <w:rFonts w:ascii="Verdana" w:eastAsia="Times New Roman" w:hAnsi="Verdana" w:cs="Times New Roman"/>
          <w:color w:val="000000"/>
          <w:sz w:val="18"/>
          <w:szCs w:val="18"/>
          <w:lang w:eastAsia="en-AU"/>
        </w:rPr>
        <w:t>Fuerst</w:t>
      </w:r>
      <w:proofErr w:type="spellEnd"/>
      <w:r w:rsidRPr="003157F4">
        <w:rPr>
          <w:rFonts w:ascii="Verdana" w:eastAsia="Times New Roman" w:hAnsi="Verdana" w:cs="Times New Roman"/>
          <w:color w:val="000000"/>
          <w:sz w:val="18"/>
          <w:szCs w:val="18"/>
          <w:lang w:eastAsia="en-AU"/>
        </w:rPr>
        <w:t xml:space="preserve"> T, </w:t>
      </w:r>
      <w:proofErr w:type="spellStart"/>
      <w:r w:rsidRPr="003157F4">
        <w:rPr>
          <w:rFonts w:ascii="Verdana" w:eastAsia="Times New Roman" w:hAnsi="Verdana" w:cs="Times New Roman"/>
          <w:color w:val="000000"/>
          <w:sz w:val="18"/>
          <w:szCs w:val="18"/>
          <w:lang w:eastAsia="en-AU"/>
        </w:rPr>
        <w:t>Güer</w:t>
      </w:r>
      <w:proofErr w:type="spellEnd"/>
      <w:r w:rsidRPr="003157F4">
        <w:rPr>
          <w:rFonts w:ascii="Verdana" w:eastAsia="Times New Roman" w:hAnsi="Verdana" w:cs="Times New Roman"/>
          <w:color w:val="000000"/>
          <w:sz w:val="18"/>
          <w:szCs w:val="18"/>
          <w:lang w:eastAsia="en-AU"/>
        </w:rPr>
        <w:t xml:space="preserve"> C-C, </w:t>
      </w:r>
      <w:proofErr w:type="spellStart"/>
      <w:r w:rsidRPr="003157F4">
        <w:rPr>
          <w:rFonts w:ascii="Verdana" w:eastAsia="Times New Roman" w:hAnsi="Verdana" w:cs="Times New Roman"/>
          <w:color w:val="000000"/>
          <w:sz w:val="18"/>
          <w:szCs w:val="18"/>
          <w:lang w:eastAsia="en-AU"/>
        </w:rPr>
        <w:t>Grampp</w:t>
      </w:r>
      <w:proofErr w:type="spellEnd"/>
      <w:r w:rsidRPr="003157F4">
        <w:rPr>
          <w:rFonts w:ascii="Verdana" w:eastAsia="Times New Roman" w:hAnsi="Verdana" w:cs="Times New Roman"/>
          <w:color w:val="000000"/>
          <w:sz w:val="18"/>
          <w:szCs w:val="18"/>
          <w:lang w:eastAsia="en-AU"/>
        </w:rPr>
        <w:t xml:space="preserve"> S, Harris ST, </w:t>
      </w:r>
      <w:proofErr w:type="spellStart"/>
      <w:r w:rsidRPr="003157F4">
        <w:rPr>
          <w:rFonts w:ascii="Verdana" w:eastAsia="Times New Roman" w:hAnsi="Verdana" w:cs="Times New Roman"/>
          <w:color w:val="000000"/>
          <w:sz w:val="18"/>
          <w:szCs w:val="18"/>
          <w:lang w:eastAsia="en-AU"/>
        </w:rPr>
        <w:t>Jergas</w:t>
      </w:r>
      <w:proofErr w:type="spellEnd"/>
      <w:r w:rsidRPr="003157F4">
        <w:rPr>
          <w:rFonts w:ascii="Verdana" w:eastAsia="Times New Roman" w:hAnsi="Verdana" w:cs="Times New Roman"/>
          <w:color w:val="000000"/>
          <w:sz w:val="18"/>
          <w:szCs w:val="18"/>
          <w:lang w:eastAsia="en-AU"/>
        </w:rPr>
        <w:t xml:space="preserve"> M, Lang T, Lu Y, </w:t>
      </w:r>
      <w:proofErr w:type="spellStart"/>
      <w:r w:rsidRPr="003157F4">
        <w:rPr>
          <w:rFonts w:ascii="Verdana" w:eastAsia="Times New Roman" w:hAnsi="Verdana" w:cs="Times New Roman"/>
          <w:color w:val="000000"/>
          <w:sz w:val="18"/>
          <w:szCs w:val="18"/>
          <w:lang w:eastAsia="en-AU"/>
        </w:rPr>
        <w:t>Majumdar</w:t>
      </w:r>
      <w:proofErr w:type="spellEnd"/>
      <w:r w:rsidRPr="003157F4">
        <w:rPr>
          <w:rFonts w:ascii="Verdana" w:eastAsia="Times New Roman" w:hAnsi="Verdana" w:cs="Times New Roman"/>
          <w:color w:val="000000"/>
          <w:sz w:val="18"/>
          <w:szCs w:val="18"/>
          <w:lang w:eastAsia="en-AU"/>
        </w:rPr>
        <w:t xml:space="preserve"> S, </w:t>
      </w:r>
      <w:proofErr w:type="spellStart"/>
      <w:r w:rsidRPr="003157F4">
        <w:rPr>
          <w:rFonts w:ascii="Verdana" w:eastAsia="Times New Roman" w:hAnsi="Verdana" w:cs="Times New Roman"/>
          <w:color w:val="000000"/>
          <w:sz w:val="18"/>
          <w:szCs w:val="18"/>
          <w:lang w:eastAsia="en-AU"/>
        </w:rPr>
        <w:t>Mathur</w:t>
      </w:r>
      <w:proofErr w:type="spellEnd"/>
      <w:r w:rsidRPr="003157F4">
        <w:rPr>
          <w:rFonts w:ascii="Verdana" w:eastAsia="Times New Roman" w:hAnsi="Verdana" w:cs="Times New Roman"/>
          <w:color w:val="000000"/>
          <w:sz w:val="18"/>
          <w:szCs w:val="18"/>
          <w:lang w:eastAsia="en-AU"/>
        </w:rPr>
        <w:t xml:space="preserve"> A, Takada M.  </w:t>
      </w:r>
      <w:proofErr w:type="spellStart"/>
      <w:r w:rsidRPr="003157F4">
        <w:rPr>
          <w:rFonts w:ascii="Verdana" w:eastAsia="Times New Roman" w:hAnsi="Verdana" w:cs="Times New Roman"/>
          <w:color w:val="000000"/>
          <w:sz w:val="18"/>
          <w:szCs w:val="18"/>
          <w:lang w:eastAsia="en-AU"/>
        </w:rPr>
        <w:t>Noninvasive</w:t>
      </w:r>
      <w:proofErr w:type="spellEnd"/>
      <w:r w:rsidRPr="003157F4">
        <w:rPr>
          <w:rFonts w:ascii="Verdana" w:eastAsia="Times New Roman" w:hAnsi="Verdana" w:cs="Times New Roman"/>
          <w:color w:val="000000"/>
          <w:sz w:val="18"/>
          <w:szCs w:val="18"/>
          <w:lang w:eastAsia="en-AU"/>
        </w:rPr>
        <w:t xml:space="preserve"> assessment of bone mineral and structure: state of the art. J Bone Miner Res 1996</w:t>
      </w:r>
      <w:proofErr w:type="gramStart"/>
      <w:r w:rsidRPr="003157F4">
        <w:rPr>
          <w:rFonts w:ascii="Verdana" w:eastAsia="Times New Roman" w:hAnsi="Verdana" w:cs="Times New Roman"/>
          <w:color w:val="000000"/>
          <w:sz w:val="18"/>
          <w:szCs w:val="18"/>
          <w:lang w:eastAsia="en-AU"/>
        </w:rPr>
        <w:t>;11:707</w:t>
      </w:r>
      <w:proofErr w:type="gramEnd"/>
      <w:r w:rsidRPr="003157F4">
        <w:rPr>
          <w:rFonts w:ascii="Verdana" w:eastAsia="Times New Roman" w:hAnsi="Verdana" w:cs="Times New Roman"/>
          <w:color w:val="000000"/>
          <w:sz w:val="18"/>
          <w:szCs w:val="18"/>
          <w:lang w:eastAsia="en-AU"/>
        </w:rPr>
        <w:t>-30.</w:t>
      </w:r>
    </w:p>
    <w:p w:rsidR="003157F4" w:rsidRPr="003157F4" w:rsidRDefault="003157F4" w:rsidP="003157F4">
      <w:pPr>
        <w:numPr>
          <w:ilvl w:val="0"/>
          <w:numId w:val="3"/>
        </w:numPr>
        <w:spacing w:after="0" w:line="280" w:lineRule="atLeast"/>
        <w:ind w:left="1118" w:right="720"/>
        <w:rPr>
          <w:rFonts w:ascii="Verdana" w:eastAsia="Times New Roman" w:hAnsi="Verdana" w:cs="Times New Roman"/>
          <w:color w:val="000000"/>
          <w:sz w:val="18"/>
          <w:szCs w:val="18"/>
          <w:lang w:eastAsia="en-AU"/>
        </w:rPr>
      </w:pPr>
      <w:proofErr w:type="spellStart"/>
      <w:r w:rsidRPr="003157F4">
        <w:rPr>
          <w:rFonts w:ascii="Verdana" w:eastAsia="Times New Roman" w:hAnsi="Verdana" w:cs="Times New Roman"/>
          <w:color w:val="000000"/>
          <w:sz w:val="18"/>
          <w:szCs w:val="18"/>
          <w:lang w:eastAsia="en-AU"/>
        </w:rPr>
        <w:t>Heymsfield</w:t>
      </w:r>
      <w:proofErr w:type="spellEnd"/>
      <w:r w:rsidRPr="003157F4">
        <w:rPr>
          <w:rFonts w:ascii="Verdana" w:eastAsia="Times New Roman" w:hAnsi="Verdana" w:cs="Times New Roman"/>
          <w:color w:val="000000"/>
          <w:sz w:val="18"/>
          <w:szCs w:val="18"/>
          <w:lang w:eastAsia="en-AU"/>
        </w:rPr>
        <w:t xml:space="preserve"> SB, Wang J, </w:t>
      </w:r>
      <w:proofErr w:type="spellStart"/>
      <w:r w:rsidRPr="003157F4">
        <w:rPr>
          <w:rFonts w:ascii="Verdana" w:eastAsia="Times New Roman" w:hAnsi="Verdana" w:cs="Times New Roman"/>
          <w:color w:val="000000"/>
          <w:sz w:val="18"/>
          <w:szCs w:val="18"/>
          <w:lang w:eastAsia="en-AU"/>
        </w:rPr>
        <w:t>Heshka</w:t>
      </w:r>
      <w:proofErr w:type="spellEnd"/>
      <w:r w:rsidRPr="003157F4">
        <w:rPr>
          <w:rFonts w:ascii="Verdana" w:eastAsia="Times New Roman" w:hAnsi="Verdana" w:cs="Times New Roman"/>
          <w:color w:val="000000"/>
          <w:sz w:val="18"/>
          <w:szCs w:val="18"/>
          <w:lang w:eastAsia="en-AU"/>
        </w:rPr>
        <w:t xml:space="preserve"> S, </w:t>
      </w:r>
      <w:proofErr w:type="spellStart"/>
      <w:proofErr w:type="gramStart"/>
      <w:r w:rsidRPr="003157F4">
        <w:rPr>
          <w:rFonts w:ascii="Verdana" w:eastAsia="Times New Roman" w:hAnsi="Verdana" w:cs="Times New Roman"/>
          <w:color w:val="000000"/>
          <w:sz w:val="18"/>
          <w:szCs w:val="18"/>
          <w:lang w:eastAsia="en-AU"/>
        </w:rPr>
        <w:t>Kehayias</w:t>
      </w:r>
      <w:proofErr w:type="spellEnd"/>
      <w:proofErr w:type="gramEnd"/>
      <w:r w:rsidRPr="003157F4">
        <w:rPr>
          <w:rFonts w:ascii="Verdana" w:eastAsia="Times New Roman" w:hAnsi="Verdana" w:cs="Times New Roman"/>
          <w:color w:val="000000"/>
          <w:sz w:val="18"/>
          <w:szCs w:val="18"/>
          <w:lang w:eastAsia="en-AU"/>
        </w:rPr>
        <w:t xml:space="preserve"> JJ, Pierson RN Jr. Dual-photon absorptiometry: comparison of bone mineral and soft tissue measurements in vivo with established methods. Am J </w:t>
      </w:r>
      <w:proofErr w:type="spellStart"/>
      <w:r w:rsidRPr="003157F4">
        <w:rPr>
          <w:rFonts w:ascii="Verdana" w:eastAsia="Times New Roman" w:hAnsi="Verdana" w:cs="Times New Roman"/>
          <w:color w:val="000000"/>
          <w:sz w:val="18"/>
          <w:szCs w:val="18"/>
          <w:lang w:eastAsia="en-AU"/>
        </w:rPr>
        <w:t>Clin</w:t>
      </w:r>
      <w:proofErr w:type="spellEnd"/>
      <w:r w:rsidRPr="003157F4">
        <w:rPr>
          <w:rFonts w:ascii="Verdana" w:eastAsia="Times New Roman" w:hAnsi="Verdana" w:cs="Times New Roman"/>
          <w:color w:val="000000"/>
          <w:sz w:val="18"/>
          <w:szCs w:val="18"/>
          <w:lang w:eastAsia="en-AU"/>
        </w:rPr>
        <w:t xml:space="preserve"> </w:t>
      </w:r>
      <w:proofErr w:type="spellStart"/>
      <w:r w:rsidRPr="003157F4">
        <w:rPr>
          <w:rFonts w:ascii="Verdana" w:eastAsia="Times New Roman" w:hAnsi="Verdana" w:cs="Times New Roman"/>
          <w:color w:val="000000"/>
          <w:sz w:val="18"/>
          <w:szCs w:val="18"/>
          <w:lang w:eastAsia="en-AU"/>
        </w:rPr>
        <w:t>Nutr</w:t>
      </w:r>
      <w:proofErr w:type="spellEnd"/>
      <w:r w:rsidRPr="003157F4">
        <w:rPr>
          <w:rFonts w:ascii="Verdana" w:eastAsia="Times New Roman" w:hAnsi="Verdana" w:cs="Times New Roman"/>
          <w:color w:val="000000"/>
          <w:sz w:val="18"/>
          <w:szCs w:val="18"/>
          <w:lang w:eastAsia="en-AU"/>
        </w:rPr>
        <w:t xml:space="preserve"> 1989</w:t>
      </w:r>
      <w:proofErr w:type="gramStart"/>
      <w:r w:rsidRPr="003157F4">
        <w:rPr>
          <w:rFonts w:ascii="Verdana" w:eastAsia="Times New Roman" w:hAnsi="Verdana" w:cs="Times New Roman"/>
          <w:color w:val="000000"/>
          <w:sz w:val="18"/>
          <w:szCs w:val="18"/>
          <w:lang w:eastAsia="en-AU"/>
        </w:rPr>
        <w:t>;49:1283</w:t>
      </w:r>
      <w:proofErr w:type="gramEnd"/>
      <w:r w:rsidRPr="003157F4">
        <w:rPr>
          <w:rFonts w:ascii="Verdana" w:eastAsia="Times New Roman" w:hAnsi="Verdana" w:cs="Times New Roman"/>
          <w:color w:val="000000"/>
          <w:sz w:val="18"/>
          <w:szCs w:val="18"/>
          <w:lang w:eastAsia="en-AU"/>
        </w:rPr>
        <w:t>-9.</w:t>
      </w:r>
    </w:p>
    <w:p w:rsidR="003157F4" w:rsidRPr="003157F4" w:rsidRDefault="003157F4" w:rsidP="003157F4">
      <w:pPr>
        <w:numPr>
          <w:ilvl w:val="0"/>
          <w:numId w:val="3"/>
        </w:numPr>
        <w:spacing w:after="0" w:line="280" w:lineRule="atLeast"/>
        <w:ind w:left="1118" w:right="720"/>
        <w:rPr>
          <w:rFonts w:ascii="Verdana" w:eastAsia="Times New Roman" w:hAnsi="Verdana" w:cs="Times New Roman"/>
          <w:color w:val="000000"/>
          <w:sz w:val="18"/>
          <w:szCs w:val="18"/>
          <w:lang w:eastAsia="en-AU"/>
        </w:rPr>
      </w:pPr>
      <w:proofErr w:type="spellStart"/>
      <w:r w:rsidRPr="003157F4">
        <w:rPr>
          <w:rFonts w:ascii="Verdana" w:eastAsia="Times New Roman" w:hAnsi="Verdana" w:cs="Times New Roman"/>
          <w:color w:val="000000"/>
          <w:sz w:val="18"/>
          <w:szCs w:val="18"/>
          <w:lang w:eastAsia="en-AU"/>
        </w:rPr>
        <w:t>Hololgic</w:t>
      </w:r>
      <w:proofErr w:type="spellEnd"/>
      <w:r w:rsidRPr="003157F4">
        <w:rPr>
          <w:rFonts w:ascii="Verdana" w:eastAsia="Times New Roman" w:hAnsi="Verdana" w:cs="Times New Roman"/>
          <w:color w:val="000000"/>
          <w:sz w:val="18"/>
          <w:szCs w:val="18"/>
          <w:lang w:eastAsia="en-AU"/>
        </w:rPr>
        <w:t xml:space="preserve"> Product Support: Discovery.</w:t>
      </w:r>
    </w:p>
    <w:p w:rsidR="003157F4" w:rsidRPr="003157F4" w:rsidRDefault="003157F4" w:rsidP="003157F4">
      <w:pPr>
        <w:spacing w:after="0" w:afterAutospacing="1" w:line="240" w:lineRule="auto"/>
        <w:ind w:left="1080" w:right="720"/>
        <w:rPr>
          <w:rFonts w:ascii="Verdana" w:eastAsia="Times New Roman" w:hAnsi="Verdana" w:cs="Times New Roman"/>
          <w:color w:val="000000"/>
          <w:sz w:val="18"/>
          <w:szCs w:val="18"/>
          <w:lang w:eastAsia="en-AU"/>
        </w:rPr>
      </w:pPr>
      <w:hyperlink r:id="rId6" w:history="1">
        <w:r w:rsidRPr="003157F4">
          <w:rPr>
            <w:rFonts w:ascii="Verdana" w:eastAsia="Times New Roman" w:hAnsi="Verdana" w:cs="Times New Roman"/>
            <w:color w:val="003399"/>
            <w:sz w:val="18"/>
            <w:szCs w:val="18"/>
            <w:u w:val="single"/>
            <w:lang w:eastAsia="en-AU"/>
          </w:rPr>
          <w:t>http://www.hologic.com/en/product-support/bone-densitometry/discovery/</w:t>
        </w:r>
      </w:hyperlink>
      <w:r w:rsidRPr="003157F4">
        <w:rPr>
          <w:rFonts w:ascii="Verdana" w:eastAsia="Times New Roman" w:hAnsi="Verdana" w:cs="Times New Roman"/>
          <w:color w:val="000000"/>
          <w:sz w:val="18"/>
          <w:szCs w:val="18"/>
          <w:lang w:eastAsia="en-AU"/>
        </w:rPr>
        <w:t> [Accessed on</w:t>
      </w:r>
      <w:proofErr w:type="gramStart"/>
      <w:r w:rsidRPr="003157F4">
        <w:rPr>
          <w:rFonts w:ascii="Verdana" w:eastAsia="Times New Roman" w:hAnsi="Verdana" w:cs="Times New Roman"/>
          <w:color w:val="000000"/>
          <w:sz w:val="18"/>
          <w:szCs w:val="18"/>
          <w:lang w:eastAsia="en-AU"/>
        </w:rPr>
        <w:t>: ]</w:t>
      </w:r>
      <w:proofErr w:type="gramEnd"/>
    </w:p>
    <w:p w:rsidR="003157F4" w:rsidRPr="003157F4" w:rsidRDefault="003157F4" w:rsidP="003157F4">
      <w:pPr>
        <w:numPr>
          <w:ilvl w:val="0"/>
          <w:numId w:val="3"/>
        </w:numPr>
        <w:spacing w:after="0" w:line="280" w:lineRule="atLeast"/>
        <w:ind w:left="1118"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ISCD Official Positions 2007. October 2007. </w:t>
      </w:r>
    </w:p>
    <w:p w:rsidR="003157F4" w:rsidRPr="003157F4" w:rsidRDefault="003157F4" w:rsidP="003157F4">
      <w:pPr>
        <w:spacing w:after="0" w:afterAutospacing="1" w:line="240" w:lineRule="auto"/>
        <w:ind w:left="1080" w:right="720"/>
        <w:rPr>
          <w:rFonts w:ascii="Verdana" w:eastAsia="Times New Roman" w:hAnsi="Verdana" w:cs="Times New Roman"/>
          <w:color w:val="000000"/>
          <w:sz w:val="18"/>
          <w:szCs w:val="18"/>
          <w:lang w:eastAsia="en-AU"/>
        </w:rPr>
      </w:pPr>
      <w:hyperlink r:id="rId7" w:history="1">
        <w:r w:rsidRPr="003157F4">
          <w:rPr>
            <w:rFonts w:ascii="Verdana" w:eastAsia="Times New Roman" w:hAnsi="Verdana" w:cs="Times New Roman"/>
            <w:color w:val="003399"/>
            <w:sz w:val="18"/>
            <w:szCs w:val="18"/>
            <w:u w:val="single"/>
            <w:lang w:eastAsia="en-AU"/>
          </w:rPr>
          <w:t>http://www.iscd.org/wp-content/themes/iscd/pdfs/official-positions/ISCD2007OfficialPositions-Adult.pdf</w:t>
        </w:r>
      </w:hyperlink>
      <w:r w:rsidRPr="003157F4">
        <w:rPr>
          <w:rFonts w:ascii="Verdana" w:eastAsia="Times New Roman" w:hAnsi="Verdana" w:cs="Times New Roman"/>
          <w:color w:val="000000"/>
          <w:sz w:val="18"/>
          <w:szCs w:val="18"/>
          <w:lang w:eastAsia="en-AU"/>
        </w:rPr>
        <w:t> [Accessed on</w:t>
      </w:r>
      <w:proofErr w:type="gramStart"/>
      <w:r w:rsidRPr="003157F4">
        <w:rPr>
          <w:rFonts w:ascii="Verdana" w:eastAsia="Times New Roman" w:hAnsi="Verdana" w:cs="Times New Roman"/>
          <w:color w:val="000000"/>
          <w:sz w:val="18"/>
          <w:szCs w:val="18"/>
          <w:lang w:eastAsia="en-AU"/>
        </w:rPr>
        <w:t>: ]</w:t>
      </w:r>
      <w:proofErr w:type="gramEnd"/>
    </w:p>
    <w:p w:rsidR="003157F4" w:rsidRPr="003157F4" w:rsidRDefault="003157F4" w:rsidP="003157F4">
      <w:pPr>
        <w:numPr>
          <w:ilvl w:val="0"/>
          <w:numId w:val="3"/>
        </w:numPr>
        <w:spacing w:after="0" w:line="280" w:lineRule="atLeast"/>
        <w:ind w:left="1118" w:righ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 xml:space="preserve">Lu Y, </w:t>
      </w:r>
      <w:proofErr w:type="spellStart"/>
      <w:r w:rsidRPr="003157F4">
        <w:rPr>
          <w:rFonts w:ascii="Verdana" w:eastAsia="Times New Roman" w:hAnsi="Verdana" w:cs="Times New Roman"/>
          <w:color w:val="000000"/>
          <w:sz w:val="18"/>
          <w:szCs w:val="18"/>
          <w:lang w:eastAsia="en-AU"/>
        </w:rPr>
        <w:t>Mathur</w:t>
      </w:r>
      <w:proofErr w:type="spellEnd"/>
      <w:r w:rsidRPr="003157F4">
        <w:rPr>
          <w:rFonts w:ascii="Verdana" w:eastAsia="Times New Roman" w:hAnsi="Verdana" w:cs="Times New Roman"/>
          <w:color w:val="000000"/>
          <w:sz w:val="18"/>
          <w:szCs w:val="18"/>
          <w:lang w:eastAsia="en-AU"/>
        </w:rPr>
        <w:t xml:space="preserve"> AK, Blunt BA, et al. Dual X-ray absorptiometry quality control: comparison of visual examination and process-control charts. JBMR 1996</w:t>
      </w:r>
      <w:proofErr w:type="gramStart"/>
      <w:r w:rsidRPr="003157F4">
        <w:rPr>
          <w:rFonts w:ascii="Verdana" w:eastAsia="Times New Roman" w:hAnsi="Verdana" w:cs="Times New Roman"/>
          <w:color w:val="000000"/>
          <w:sz w:val="18"/>
          <w:szCs w:val="18"/>
          <w:lang w:eastAsia="en-AU"/>
        </w:rPr>
        <w:t>;11:626</w:t>
      </w:r>
      <w:proofErr w:type="gramEnd"/>
      <w:r w:rsidRPr="003157F4">
        <w:rPr>
          <w:rFonts w:ascii="Verdana" w:eastAsia="Times New Roman" w:hAnsi="Verdana" w:cs="Times New Roman"/>
          <w:color w:val="000000"/>
          <w:sz w:val="18"/>
          <w:szCs w:val="18"/>
          <w:lang w:eastAsia="en-AU"/>
        </w:rPr>
        <w:t>-37.</w:t>
      </w:r>
    </w:p>
    <w:p w:rsidR="003157F4" w:rsidRPr="003157F4" w:rsidRDefault="003157F4" w:rsidP="003157F4">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3157F4">
        <w:rPr>
          <w:rFonts w:ascii="Verdana" w:eastAsia="Times New Roman" w:hAnsi="Verdana" w:cs="Times New Roman"/>
          <w:color w:val="000000"/>
          <w:sz w:val="18"/>
          <w:szCs w:val="18"/>
          <w:lang w:eastAsia="en-AU"/>
        </w:rPr>
        <w:t>Baran</w:t>
      </w:r>
      <w:proofErr w:type="spellEnd"/>
      <w:r w:rsidRPr="003157F4">
        <w:rPr>
          <w:rFonts w:ascii="Verdana" w:eastAsia="Times New Roman" w:hAnsi="Verdana" w:cs="Times New Roman"/>
          <w:color w:val="000000"/>
          <w:sz w:val="18"/>
          <w:szCs w:val="18"/>
          <w:lang w:eastAsia="en-AU"/>
        </w:rPr>
        <w:t xml:space="preserve"> DT, Faulkner KG, </w:t>
      </w:r>
      <w:proofErr w:type="spellStart"/>
      <w:r w:rsidRPr="003157F4">
        <w:rPr>
          <w:rFonts w:ascii="Verdana" w:eastAsia="Times New Roman" w:hAnsi="Verdana" w:cs="Times New Roman"/>
          <w:color w:val="000000"/>
          <w:sz w:val="18"/>
          <w:szCs w:val="18"/>
          <w:lang w:eastAsia="en-AU"/>
        </w:rPr>
        <w:t>Genant</w:t>
      </w:r>
      <w:proofErr w:type="spellEnd"/>
      <w:r w:rsidRPr="003157F4">
        <w:rPr>
          <w:rFonts w:ascii="Verdana" w:eastAsia="Times New Roman" w:hAnsi="Verdana" w:cs="Times New Roman"/>
          <w:color w:val="000000"/>
          <w:sz w:val="18"/>
          <w:szCs w:val="18"/>
          <w:lang w:eastAsia="en-AU"/>
        </w:rPr>
        <w:t xml:space="preserve"> HK, Miller PD, </w:t>
      </w:r>
      <w:proofErr w:type="spellStart"/>
      <w:r w:rsidRPr="003157F4">
        <w:rPr>
          <w:rFonts w:ascii="Verdana" w:eastAsia="Times New Roman" w:hAnsi="Verdana" w:cs="Times New Roman"/>
          <w:color w:val="000000"/>
          <w:sz w:val="18"/>
          <w:szCs w:val="18"/>
          <w:lang w:eastAsia="en-AU"/>
        </w:rPr>
        <w:t>Pacifici</w:t>
      </w:r>
      <w:proofErr w:type="spellEnd"/>
      <w:r w:rsidRPr="003157F4">
        <w:rPr>
          <w:rFonts w:ascii="Verdana" w:eastAsia="Times New Roman" w:hAnsi="Verdana" w:cs="Times New Roman"/>
          <w:color w:val="000000"/>
          <w:sz w:val="18"/>
          <w:szCs w:val="18"/>
          <w:lang w:eastAsia="en-AU"/>
        </w:rPr>
        <w:t xml:space="preserve">  R. Diagnosis and management of osteoporosis: guidelines for the utilization of bone </w:t>
      </w:r>
      <w:proofErr w:type="spellStart"/>
      <w:r w:rsidRPr="003157F4">
        <w:rPr>
          <w:rFonts w:ascii="Verdana" w:eastAsia="Times New Roman" w:hAnsi="Verdana" w:cs="Times New Roman"/>
          <w:color w:val="000000"/>
          <w:sz w:val="18"/>
          <w:szCs w:val="18"/>
          <w:lang w:eastAsia="en-AU"/>
        </w:rPr>
        <w:t>densitometry.Calcif</w:t>
      </w:r>
      <w:proofErr w:type="spellEnd"/>
      <w:r w:rsidRPr="003157F4">
        <w:rPr>
          <w:rFonts w:ascii="Verdana" w:eastAsia="Times New Roman" w:hAnsi="Verdana" w:cs="Times New Roman"/>
          <w:color w:val="000000"/>
          <w:sz w:val="18"/>
          <w:szCs w:val="18"/>
          <w:lang w:eastAsia="en-AU"/>
        </w:rPr>
        <w:t xml:space="preserve"> Tissue </w:t>
      </w:r>
      <w:proofErr w:type="spellStart"/>
      <w:r w:rsidRPr="003157F4">
        <w:rPr>
          <w:rFonts w:ascii="Verdana" w:eastAsia="Times New Roman" w:hAnsi="Verdana" w:cs="Times New Roman"/>
          <w:color w:val="000000"/>
          <w:sz w:val="18"/>
          <w:szCs w:val="18"/>
          <w:lang w:eastAsia="en-AU"/>
        </w:rPr>
        <w:t>Int</w:t>
      </w:r>
      <w:proofErr w:type="spellEnd"/>
      <w:r w:rsidRPr="003157F4">
        <w:rPr>
          <w:rFonts w:ascii="Verdana" w:eastAsia="Times New Roman" w:hAnsi="Verdana" w:cs="Times New Roman"/>
          <w:color w:val="000000"/>
          <w:sz w:val="18"/>
          <w:szCs w:val="18"/>
          <w:lang w:eastAsia="en-AU"/>
        </w:rPr>
        <w:t xml:space="preserve"> 1997:62:433-440</w:t>
      </w:r>
    </w:p>
    <w:p w:rsidR="003157F4" w:rsidRPr="003157F4" w:rsidRDefault="003157F4" w:rsidP="003157F4">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3157F4">
        <w:rPr>
          <w:rFonts w:ascii="Verdana" w:eastAsia="Times New Roman" w:hAnsi="Verdana" w:cs="Times New Roman"/>
          <w:color w:val="000000"/>
          <w:sz w:val="18"/>
          <w:szCs w:val="18"/>
          <w:lang w:eastAsia="en-AU"/>
        </w:rPr>
        <w:t>Njeh</w:t>
      </w:r>
      <w:proofErr w:type="spellEnd"/>
      <w:r w:rsidRPr="003157F4">
        <w:rPr>
          <w:rFonts w:ascii="Verdana" w:eastAsia="Times New Roman" w:hAnsi="Verdana" w:cs="Times New Roman"/>
          <w:color w:val="000000"/>
          <w:sz w:val="18"/>
          <w:szCs w:val="18"/>
          <w:lang w:eastAsia="en-AU"/>
        </w:rPr>
        <w:t xml:space="preserve"> CF, </w:t>
      </w:r>
      <w:proofErr w:type="spellStart"/>
      <w:r w:rsidRPr="003157F4">
        <w:rPr>
          <w:rFonts w:ascii="Verdana" w:eastAsia="Times New Roman" w:hAnsi="Verdana" w:cs="Times New Roman"/>
          <w:color w:val="000000"/>
          <w:sz w:val="18"/>
          <w:szCs w:val="18"/>
          <w:lang w:eastAsia="en-AU"/>
        </w:rPr>
        <w:t>Fuerst</w:t>
      </w:r>
      <w:proofErr w:type="spellEnd"/>
      <w:r w:rsidRPr="003157F4">
        <w:rPr>
          <w:rFonts w:ascii="Verdana" w:eastAsia="Times New Roman" w:hAnsi="Verdana" w:cs="Times New Roman"/>
          <w:color w:val="000000"/>
          <w:sz w:val="18"/>
          <w:szCs w:val="18"/>
          <w:lang w:eastAsia="en-AU"/>
        </w:rPr>
        <w:t xml:space="preserve"> T, Hans D, Blake GM, </w:t>
      </w:r>
      <w:proofErr w:type="spellStart"/>
      <w:r w:rsidRPr="003157F4">
        <w:rPr>
          <w:rFonts w:ascii="Verdana" w:eastAsia="Times New Roman" w:hAnsi="Verdana" w:cs="Times New Roman"/>
          <w:color w:val="000000"/>
          <w:sz w:val="18"/>
          <w:szCs w:val="18"/>
          <w:lang w:eastAsia="en-AU"/>
        </w:rPr>
        <w:t>Genant</w:t>
      </w:r>
      <w:proofErr w:type="spellEnd"/>
      <w:r w:rsidRPr="003157F4">
        <w:rPr>
          <w:rFonts w:ascii="Verdana" w:eastAsia="Times New Roman" w:hAnsi="Verdana" w:cs="Times New Roman"/>
          <w:color w:val="000000"/>
          <w:sz w:val="18"/>
          <w:szCs w:val="18"/>
          <w:lang w:eastAsia="en-AU"/>
        </w:rPr>
        <w:t xml:space="preserve"> HK. Radiation exposure in bone mineral density assessment.  </w:t>
      </w:r>
      <w:proofErr w:type="spellStart"/>
      <w:r w:rsidRPr="003157F4">
        <w:rPr>
          <w:rFonts w:ascii="Verdana" w:eastAsia="Times New Roman" w:hAnsi="Verdana" w:cs="Times New Roman"/>
          <w:color w:val="000000"/>
          <w:sz w:val="18"/>
          <w:szCs w:val="18"/>
          <w:lang w:eastAsia="en-AU"/>
        </w:rPr>
        <w:t>Appl</w:t>
      </w:r>
      <w:proofErr w:type="spellEnd"/>
      <w:r w:rsidRPr="003157F4">
        <w:rPr>
          <w:rFonts w:ascii="Verdana" w:eastAsia="Times New Roman" w:hAnsi="Verdana" w:cs="Times New Roman"/>
          <w:color w:val="000000"/>
          <w:sz w:val="18"/>
          <w:szCs w:val="18"/>
          <w:lang w:eastAsia="en-AU"/>
        </w:rPr>
        <w:t xml:space="preserve"> </w:t>
      </w:r>
      <w:proofErr w:type="spellStart"/>
      <w:r w:rsidRPr="003157F4">
        <w:rPr>
          <w:rFonts w:ascii="Verdana" w:eastAsia="Times New Roman" w:hAnsi="Verdana" w:cs="Times New Roman"/>
          <w:color w:val="000000"/>
          <w:sz w:val="18"/>
          <w:szCs w:val="18"/>
          <w:lang w:eastAsia="en-AU"/>
        </w:rPr>
        <w:t>Radiat</w:t>
      </w:r>
      <w:proofErr w:type="spellEnd"/>
      <w:r w:rsidRPr="003157F4">
        <w:rPr>
          <w:rFonts w:ascii="Verdana" w:eastAsia="Times New Roman" w:hAnsi="Verdana" w:cs="Times New Roman"/>
          <w:color w:val="000000"/>
          <w:sz w:val="18"/>
          <w:szCs w:val="18"/>
          <w:lang w:eastAsia="en-AU"/>
        </w:rPr>
        <w:t xml:space="preserve"> </w:t>
      </w:r>
      <w:proofErr w:type="spellStart"/>
      <w:r w:rsidRPr="003157F4">
        <w:rPr>
          <w:rFonts w:ascii="Verdana" w:eastAsia="Times New Roman" w:hAnsi="Verdana" w:cs="Times New Roman"/>
          <w:color w:val="000000"/>
          <w:sz w:val="18"/>
          <w:szCs w:val="18"/>
          <w:lang w:eastAsia="en-AU"/>
        </w:rPr>
        <w:t>Isot</w:t>
      </w:r>
      <w:proofErr w:type="spellEnd"/>
      <w:r w:rsidRPr="003157F4">
        <w:rPr>
          <w:rFonts w:ascii="Verdana" w:eastAsia="Times New Roman" w:hAnsi="Verdana" w:cs="Times New Roman"/>
          <w:color w:val="000000"/>
          <w:sz w:val="18"/>
          <w:szCs w:val="18"/>
          <w:lang w:eastAsia="en-AU"/>
        </w:rPr>
        <w:t xml:space="preserve"> 1999</w:t>
      </w:r>
      <w:proofErr w:type="gramStart"/>
      <w:r w:rsidRPr="003157F4">
        <w:rPr>
          <w:rFonts w:ascii="Verdana" w:eastAsia="Times New Roman" w:hAnsi="Verdana" w:cs="Times New Roman"/>
          <w:color w:val="000000"/>
          <w:sz w:val="18"/>
          <w:szCs w:val="18"/>
          <w:lang w:eastAsia="en-AU"/>
        </w:rPr>
        <w:t>;50:215</w:t>
      </w:r>
      <w:proofErr w:type="gramEnd"/>
      <w:r w:rsidRPr="003157F4">
        <w:rPr>
          <w:rFonts w:ascii="Verdana" w:eastAsia="Times New Roman" w:hAnsi="Verdana" w:cs="Times New Roman"/>
          <w:color w:val="000000"/>
          <w:sz w:val="18"/>
          <w:szCs w:val="18"/>
          <w:lang w:eastAsia="en-AU"/>
        </w:rPr>
        <w:t>-36.</w:t>
      </w:r>
    </w:p>
    <w:p w:rsidR="003157F4" w:rsidRPr="003157F4" w:rsidRDefault="003157F4" w:rsidP="003157F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157F4">
        <w:rPr>
          <w:rFonts w:ascii="Trebuchet MS" w:eastAsia="Times New Roman" w:hAnsi="Trebuchet MS" w:cs="Times New Roman"/>
          <w:color w:val="0C5205"/>
          <w:sz w:val="29"/>
          <w:szCs w:val="29"/>
          <w:lang w:eastAsia="en-AU"/>
        </w:rPr>
        <w:t>Codebook and Frequencies</w:t>
      </w:r>
    </w:p>
    <w:p w:rsidR="003157F4" w:rsidRPr="003157F4" w:rsidRDefault="003157F4" w:rsidP="003157F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57F4">
        <w:rPr>
          <w:rFonts w:ascii="Trebuchet MS" w:eastAsia="Times New Roman" w:hAnsi="Trebuchet MS" w:cs="Times New Roman"/>
          <w:color w:val="000000"/>
          <w:sz w:val="27"/>
          <w:szCs w:val="27"/>
          <w:lang w:eastAsia="en-AU"/>
        </w:rPr>
        <w:t>SEQN - Respondent sequence number</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Variable Name:</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SEQN</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SAS Label:</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Respondent sequence number</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English Text: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Respondent sequence number.</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Target: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Both males and females 40 YEARS - 150 YEARS</w:t>
      </w:r>
    </w:p>
    <w:p w:rsidR="003157F4" w:rsidRPr="003157F4" w:rsidRDefault="003157F4" w:rsidP="003157F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57F4">
        <w:rPr>
          <w:rFonts w:ascii="Trebuchet MS" w:eastAsia="Times New Roman" w:hAnsi="Trebuchet MS" w:cs="Times New Roman"/>
          <w:color w:val="000000"/>
          <w:sz w:val="27"/>
          <w:szCs w:val="27"/>
          <w:lang w:eastAsia="en-AU"/>
        </w:rPr>
        <w:t>DXAFMRST - Femur scan status</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Variable Name:</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DXAFMRST</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SAS Label:</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Femur scan status</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English Text: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Femur scan status</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Target: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42"/>
        <w:gridCol w:w="3654"/>
        <w:gridCol w:w="940"/>
        <w:gridCol w:w="1669"/>
        <w:gridCol w:w="1295"/>
      </w:tblGrid>
      <w:tr w:rsidR="003157F4" w:rsidRPr="003157F4" w:rsidTr="003157F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Skip to Item</w:t>
            </w: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Femur scan completed, all data are valid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Femur scan completed, but all data are invalid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Femur not scanned, pregnant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Femur not scanned, weight &gt; 450 lbs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3307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Femur not scanned, other reason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401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bl>
    <w:p w:rsidR="003157F4" w:rsidRPr="003157F4" w:rsidRDefault="003157F4" w:rsidP="003157F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57F4">
        <w:rPr>
          <w:rFonts w:ascii="Trebuchet MS" w:eastAsia="Times New Roman" w:hAnsi="Trebuchet MS" w:cs="Times New Roman"/>
          <w:color w:val="000000"/>
          <w:sz w:val="27"/>
          <w:szCs w:val="27"/>
          <w:lang w:eastAsia="en-AU"/>
        </w:rPr>
        <w:t>DXXFMBCC - Total femur BMD invalidity code</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Variable Name:</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DXXFMBCC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SAS Label:</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Total femur BMD invalidity code</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English Text: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Total femur BMD invalidity code</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Target: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98"/>
        <w:gridCol w:w="3930"/>
        <w:gridCol w:w="940"/>
        <w:gridCol w:w="1669"/>
        <w:gridCol w:w="1163"/>
      </w:tblGrid>
      <w:tr w:rsidR="003157F4" w:rsidRPr="003157F4" w:rsidTr="003157F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Skip to Item</w:t>
            </w: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roofErr w:type="spellStart"/>
            <w:r w:rsidRPr="003157F4">
              <w:rPr>
                <w:rFonts w:ascii="Verdana" w:eastAsia="Times New Roman" w:hAnsi="Verdana" w:cs="Times New Roman"/>
                <w:sz w:val="24"/>
                <w:szCs w:val="24"/>
                <w:lang w:eastAsia="en-AU"/>
              </w:rPr>
              <w:t>Jewelry</w:t>
            </w:r>
            <w:proofErr w:type="spellEnd"/>
            <w:r w:rsidRPr="003157F4">
              <w:rPr>
                <w:rFonts w:ascii="Verdana" w:eastAsia="Times New Roman" w:hAnsi="Verdana" w:cs="Times New Roman"/>
                <w:sz w:val="24"/>
                <w:szCs w:val="24"/>
                <w:lang w:eastAsia="en-AU"/>
              </w:rPr>
              <w:t xml:space="preserve"> or other 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Non-removable objects such as implants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Excessive x-ray noise due to obesity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Body parts out of scan region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Positioning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 xml:space="preserve">Other (includes panniculus, participant motion, unknown </w:t>
            </w:r>
            <w:proofErr w:type="spellStart"/>
            <w:r w:rsidRPr="003157F4">
              <w:rPr>
                <w:rFonts w:ascii="Verdana" w:eastAsia="Times New Roman" w:hAnsi="Verdana" w:cs="Times New Roman"/>
                <w:sz w:val="24"/>
                <w:szCs w:val="24"/>
                <w:lang w:eastAsia="en-AU"/>
              </w:rPr>
              <w:t>artifact</w:t>
            </w:r>
            <w:proofErr w:type="spellEnd"/>
            <w:r w:rsidRPr="003157F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169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405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bl>
    <w:p w:rsidR="003157F4" w:rsidRPr="003157F4" w:rsidRDefault="003157F4" w:rsidP="003157F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57F4">
        <w:rPr>
          <w:rFonts w:ascii="Trebuchet MS" w:eastAsia="Times New Roman" w:hAnsi="Trebuchet MS" w:cs="Times New Roman"/>
          <w:color w:val="000000"/>
          <w:sz w:val="27"/>
          <w:szCs w:val="27"/>
          <w:lang w:eastAsia="en-AU"/>
        </w:rPr>
        <w:t>DXXOFBMD - Total femur BMD</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Variable Name:</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DXXOFBMD</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SAS Label:</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Total femur BMD</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English Text: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Total femur BMD</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Target: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157F4" w:rsidRPr="003157F4" w:rsidTr="003157F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Skip to Item</w:t>
            </w: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0.362 to 1.563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bl>
    <w:p w:rsidR="003157F4" w:rsidRPr="003157F4" w:rsidRDefault="003157F4" w:rsidP="003157F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57F4">
        <w:rPr>
          <w:rFonts w:ascii="Trebuchet MS" w:eastAsia="Times New Roman" w:hAnsi="Trebuchet MS" w:cs="Times New Roman"/>
          <w:color w:val="000000"/>
          <w:sz w:val="27"/>
          <w:szCs w:val="27"/>
          <w:lang w:eastAsia="en-AU"/>
        </w:rPr>
        <w:t>DXXOFBMC - Total femur BMC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Variable Name:</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DXXOFBMC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SAS Label:</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Total femur BMC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English Text: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Total femur BMC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Target: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157F4" w:rsidRPr="003157F4" w:rsidTr="003157F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Skip to Item</w:t>
            </w: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12.7 to 79.51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bl>
    <w:p w:rsidR="003157F4" w:rsidRPr="003157F4" w:rsidRDefault="003157F4" w:rsidP="003157F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57F4">
        <w:rPr>
          <w:rFonts w:ascii="Trebuchet MS" w:eastAsia="Times New Roman" w:hAnsi="Trebuchet MS" w:cs="Times New Roman"/>
          <w:color w:val="000000"/>
          <w:sz w:val="27"/>
          <w:szCs w:val="27"/>
          <w:lang w:eastAsia="en-AU"/>
        </w:rPr>
        <w:t>DXXOFA - Total femur area</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Variable Name:</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DXXOFA</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SAS Label:</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Total femur area</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English Text: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Total femur area</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Target: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157F4" w:rsidRPr="003157F4" w:rsidTr="003157F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Skip to Item</w:t>
            </w: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23.88 to 83.09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bl>
    <w:p w:rsidR="003157F4" w:rsidRPr="003157F4" w:rsidRDefault="003157F4" w:rsidP="003157F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57F4">
        <w:rPr>
          <w:rFonts w:ascii="Trebuchet MS" w:eastAsia="Times New Roman" w:hAnsi="Trebuchet MS" w:cs="Times New Roman"/>
          <w:color w:val="000000"/>
          <w:sz w:val="27"/>
          <w:szCs w:val="27"/>
          <w:lang w:eastAsia="en-AU"/>
        </w:rPr>
        <w:t>DXXNKBMD - Femoral neck BMD</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Variable Name:</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DXXNKBMD</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SAS Label:</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Femoral neck BMD</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English Text: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Femoral neck BMD</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Target: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157F4" w:rsidRPr="003157F4" w:rsidTr="003157F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Skip to Item</w:t>
            </w: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0.386 to 1.361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bl>
    <w:p w:rsidR="003157F4" w:rsidRPr="003157F4" w:rsidRDefault="003157F4" w:rsidP="003157F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57F4">
        <w:rPr>
          <w:rFonts w:ascii="Trebuchet MS" w:eastAsia="Times New Roman" w:hAnsi="Trebuchet MS" w:cs="Times New Roman"/>
          <w:color w:val="000000"/>
          <w:sz w:val="27"/>
          <w:szCs w:val="27"/>
          <w:lang w:eastAsia="en-AU"/>
        </w:rPr>
        <w:t>DXXNKBMC - Femoral neck BMC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Variable Name:</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DXXNKBMC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SAS Label:</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Femoral neck BMC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lastRenderedPageBreak/>
        <w:t>English Text: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Femoral neck BMC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Target: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157F4" w:rsidRPr="003157F4" w:rsidTr="003157F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Skip to Item</w:t>
            </w: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1.72 to 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bl>
    <w:p w:rsidR="003157F4" w:rsidRPr="003157F4" w:rsidRDefault="003157F4" w:rsidP="003157F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57F4">
        <w:rPr>
          <w:rFonts w:ascii="Trebuchet MS" w:eastAsia="Times New Roman" w:hAnsi="Trebuchet MS" w:cs="Times New Roman"/>
          <w:color w:val="000000"/>
          <w:sz w:val="27"/>
          <w:szCs w:val="27"/>
          <w:lang w:eastAsia="en-AU"/>
        </w:rPr>
        <w:t>DXXNKA - Femoral neck area</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Variable Name:</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DXXNKA</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SAS Label:</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Femoral neck area</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English Text: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Femoral neck area</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Target: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157F4" w:rsidRPr="003157F4" w:rsidTr="003157F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Skip to Item</w:t>
            </w: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3.08 to 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bl>
    <w:p w:rsidR="003157F4" w:rsidRPr="003157F4" w:rsidRDefault="003157F4" w:rsidP="003157F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57F4">
        <w:rPr>
          <w:rFonts w:ascii="Trebuchet MS" w:eastAsia="Times New Roman" w:hAnsi="Trebuchet MS" w:cs="Times New Roman"/>
          <w:color w:val="000000"/>
          <w:sz w:val="27"/>
          <w:szCs w:val="27"/>
          <w:lang w:eastAsia="en-AU"/>
        </w:rPr>
        <w:t>DXXTRBMD - Trochanter BMD</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Variable Name:</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DXXTRBMD</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SAS Label:</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Trochanter BMD</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English Text: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Trochanter BMD</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Target: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157F4" w:rsidRPr="003157F4" w:rsidTr="003157F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Skip to Item</w:t>
            </w: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0.291 to 1.216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bl>
    <w:p w:rsidR="003157F4" w:rsidRPr="003157F4" w:rsidRDefault="003157F4" w:rsidP="003157F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57F4">
        <w:rPr>
          <w:rFonts w:ascii="Trebuchet MS" w:eastAsia="Times New Roman" w:hAnsi="Trebuchet MS" w:cs="Times New Roman"/>
          <w:color w:val="000000"/>
          <w:sz w:val="27"/>
          <w:szCs w:val="27"/>
          <w:lang w:eastAsia="en-AU"/>
        </w:rPr>
        <w:t>DXXTRBMC - Trochanter BMC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lastRenderedPageBreak/>
        <w:t>Variable Name:</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DXXTRBMC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SAS Label:</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Trochanter BMC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English Text: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Trochanter BMC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Target: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157F4" w:rsidRPr="003157F4" w:rsidTr="003157F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Skip to Item</w:t>
            </w: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3.3 to 20.45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bl>
    <w:p w:rsidR="003157F4" w:rsidRPr="003157F4" w:rsidRDefault="003157F4" w:rsidP="003157F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57F4">
        <w:rPr>
          <w:rFonts w:ascii="Trebuchet MS" w:eastAsia="Times New Roman" w:hAnsi="Trebuchet MS" w:cs="Times New Roman"/>
          <w:color w:val="000000"/>
          <w:sz w:val="27"/>
          <w:szCs w:val="27"/>
          <w:lang w:eastAsia="en-AU"/>
        </w:rPr>
        <w:t>DXXTRA - Trochanter area</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Variable Name:</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DXXTRA</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SAS Label:</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Trochanter area</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English Text: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Trochanter area</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Target: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157F4" w:rsidRPr="003157F4" w:rsidTr="003157F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Skip to Item</w:t>
            </w: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6.77 to 22.47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bl>
    <w:p w:rsidR="003157F4" w:rsidRPr="003157F4" w:rsidRDefault="003157F4" w:rsidP="003157F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57F4">
        <w:rPr>
          <w:rFonts w:ascii="Trebuchet MS" w:eastAsia="Times New Roman" w:hAnsi="Trebuchet MS" w:cs="Times New Roman"/>
          <w:color w:val="000000"/>
          <w:sz w:val="27"/>
          <w:szCs w:val="27"/>
          <w:lang w:eastAsia="en-AU"/>
        </w:rPr>
        <w:t xml:space="preserve">DXXINBMD - </w:t>
      </w:r>
      <w:proofErr w:type="spellStart"/>
      <w:r w:rsidRPr="003157F4">
        <w:rPr>
          <w:rFonts w:ascii="Trebuchet MS" w:eastAsia="Times New Roman" w:hAnsi="Trebuchet MS" w:cs="Times New Roman"/>
          <w:color w:val="000000"/>
          <w:sz w:val="27"/>
          <w:szCs w:val="27"/>
          <w:lang w:eastAsia="en-AU"/>
        </w:rPr>
        <w:t>Intertrochanter</w:t>
      </w:r>
      <w:proofErr w:type="spellEnd"/>
      <w:r w:rsidRPr="003157F4">
        <w:rPr>
          <w:rFonts w:ascii="Trebuchet MS" w:eastAsia="Times New Roman" w:hAnsi="Trebuchet MS" w:cs="Times New Roman"/>
          <w:color w:val="000000"/>
          <w:sz w:val="27"/>
          <w:szCs w:val="27"/>
          <w:lang w:eastAsia="en-AU"/>
        </w:rPr>
        <w:t xml:space="preserve"> BMD</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Variable Name:</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DXXINBMD</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SAS Label:</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proofErr w:type="spellStart"/>
      <w:r w:rsidRPr="003157F4">
        <w:rPr>
          <w:rFonts w:ascii="Verdana" w:eastAsia="Times New Roman" w:hAnsi="Verdana" w:cs="Times New Roman"/>
          <w:color w:val="000000"/>
          <w:sz w:val="18"/>
          <w:szCs w:val="18"/>
          <w:lang w:eastAsia="en-AU"/>
        </w:rPr>
        <w:t>Intertrochanter</w:t>
      </w:r>
      <w:proofErr w:type="spellEnd"/>
      <w:r w:rsidRPr="003157F4">
        <w:rPr>
          <w:rFonts w:ascii="Verdana" w:eastAsia="Times New Roman" w:hAnsi="Verdana" w:cs="Times New Roman"/>
          <w:color w:val="000000"/>
          <w:sz w:val="18"/>
          <w:szCs w:val="18"/>
          <w:lang w:eastAsia="en-AU"/>
        </w:rPr>
        <w:t xml:space="preserve"> BMD</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English Text: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proofErr w:type="spellStart"/>
      <w:r w:rsidRPr="003157F4">
        <w:rPr>
          <w:rFonts w:ascii="Verdana" w:eastAsia="Times New Roman" w:hAnsi="Verdana" w:cs="Times New Roman"/>
          <w:color w:val="000000"/>
          <w:sz w:val="18"/>
          <w:szCs w:val="18"/>
          <w:lang w:eastAsia="en-AU"/>
        </w:rPr>
        <w:t>Intertrochanter</w:t>
      </w:r>
      <w:proofErr w:type="spellEnd"/>
      <w:r w:rsidRPr="003157F4">
        <w:rPr>
          <w:rFonts w:ascii="Verdana" w:eastAsia="Times New Roman" w:hAnsi="Verdana" w:cs="Times New Roman"/>
          <w:color w:val="000000"/>
          <w:sz w:val="18"/>
          <w:szCs w:val="18"/>
          <w:lang w:eastAsia="en-AU"/>
        </w:rPr>
        <w:t xml:space="preserve"> BMD</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Target: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157F4" w:rsidRPr="003157F4" w:rsidTr="003157F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Skip to Item</w:t>
            </w: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0.389 to 1.802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bl>
    <w:p w:rsidR="003157F4" w:rsidRPr="003157F4" w:rsidRDefault="003157F4" w:rsidP="003157F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57F4">
        <w:rPr>
          <w:rFonts w:ascii="Trebuchet MS" w:eastAsia="Times New Roman" w:hAnsi="Trebuchet MS" w:cs="Times New Roman"/>
          <w:color w:val="000000"/>
          <w:sz w:val="27"/>
          <w:szCs w:val="27"/>
          <w:lang w:eastAsia="en-AU"/>
        </w:rPr>
        <w:lastRenderedPageBreak/>
        <w:t xml:space="preserve">DXXINBMC - </w:t>
      </w:r>
      <w:proofErr w:type="spellStart"/>
      <w:r w:rsidRPr="003157F4">
        <w:rPr>
          <w:rFonts w:ascii="Trebuchet MS" w:eastAsia="Times New Roman" w:hAnsi="Trebuchet MS" w:cs="Times New Roman"/>
          <w:color w:val="000000"/>
          <w:sz w:val="27"/>
          <w:szCs w:val="27"/>
          <w:lang w:eastAsia="en-AU"/>
        </w:rPr>
        <w:t>Intertrochanter</w:t>
      </w:r>
      <w:proofErr w:type="spellEnd"/>
      <w:r w:rsidRPr="003157F4">
        <w:rPr>
          <w:rFonts w:ascii="Trebuchet MS" w:eastAsia="Times New Roman" w:hAnsi="Trebuchet MS" w:cs="Times New Roman"/>
          <w:color w:val="000000"/>
          <w:sz w:val="27"/>
          <w:szCs w:val="27"/>
          <w:lang w:eastAsia="en-AU"/>
        </w:rPr>
        <w:t xml:space="preserve"> BMC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Variable Name:</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DXXINBMC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SAS Label:</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proofErr w:type="spellStart"/>
      <w:r w:rsidRPr="003157F4">
        <w:rPr>
          <w:rFonts w:ascii="Verdana" w:eastAsia="Times New Roman" w:hAnsi="Verdana" w:cs="Times New Roman"/>
          <w:color w:val="000000"/>
          <w:sz w:val="18"/>
          <w:szCs w:val="18"/>
          <w:lang w:eastAsia="en-AU"/>
        </w:rPr>
        <w:t>Intertrochanter</w:t>
      </w:r>
      <w:proofErr w:type="spellEnd"/>
      <w:r w:rsidRPr="003157F4">
        <w:rPr>
          <w:rFonts w:ascii="Verdana" w:eastAsia="Times New Roman" w:hAnsi="Verdana" w:cs="Times New Roman"/>
          <w:color w:val="000000"/>
          <w:sz w:val="18"/>
          <w:szCs w:val="18"/>
          <w:lang w:eastAsia="en-AU"/>
        </w:rPr>
        <w:t xml:space="preserve"> BMC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English Text: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proofErr w:type="spellStart"/>
      <w:r w:rsidRPr="003157F4">
        <w:rPr>
          <w:rFonts w:ascii="Verdana" w:eastAsia="Times New Roman" w:hAnsi="Verdana" w:cs="Times New Roman"/>
          <w:color w:val="000000"/>
          <w:sz w:val="18"/>
          <w:szCs w:val="18"/>
          <w:lang w:eastAsia="en-AU"/>
        </w:rPr>
        <w:t>Intertrochanter</w:t>
      </w:r>
      <w:proofErr w:type="spellEnd"/>
      <w:r w:rsidRPr="003157F4">
        <w:rPr>
          <w:rFonts w:ascii="Verdana" w:eastAsia="Times New Roman" w:hAnsi="Verdana" w:cs="Times New Roman"/>
          <w:color w:val="000000"/>
          <w:sz w:val="18"/>
          <w:szCs w:val="18"/>
          <w:lang w:eastAsia="en-AU"/>
        </w:rPr>
        <w:t xml:space="preserve"> BMC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Target: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157F4" w:rsidRPr="003157F4" w:rsidTr="003157F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Skip to Item</w:t>
            </w: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7.08 to 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bl>
    <w:p w:rsidR="003157F4" w:rsidRPr="003157F4" w:rsidRDefault="003157F4" w:rsidP="003157F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57F4">
        <w:rPr>
          <w:rFonts w:ascii="Trebuchet MS" w:eastAsia="Times New Roman" w:hAnsi="Trebuchet MS" w:cs="Times New Roman"/>
          <w:color w:val="000000"/>
          <w:sz w:val="27"/>
          <w:szCs w:val="27"/>
          <w:lang w:eastAsia="en-AU"/>
        </w:rPr>
        <w:t xml:space="preserve">DXXINA - </w:t>
      </w:r>
      <w:proofErr w:type="spellStart"/>
      <w:r w:rsidRPr="003157F4">
        <w:rPr>
          <w:rFonts w:ascii="Trebuchet MS" w:eastAsia="Times New Roman" w:hAnsi="Trebuchet MS" w:cs="Times New Roman"/>
          <w:color w:val="000000"/>
          <w:sz w:val="27"/>
          <w:szCs w:val="27"/>
          <w:lang w:eastAsia="en-AU"/>
        </w:rPr>
        <w:t>Intertrochanter</w:t>
      </w:r>
      <w:proofErr w:type="spellEnd"/>
      <w:r w:rsidRPr="003157F4">
        <w:rPr>
          <w:rFonts w:ascii="Trebuchet MS" w:eastAsia="Times New Roman" w:hAnsi="Trebuchet MS" w:cs="Times New Roman"/>
          <w:color w:val="000000"/>
          <w:sz w:val="27"/>
          <w:szCs w:val="27"/>
          <w:lang w:eastAsia="en-AU"/>
        </w:rPr>
        <w:t xml:space="preserve"> area</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Variable Name:</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DXXINA</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SAS Label:</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proofErr w:type="spellStart"/>
      <w:r w:rsidRPr="003157F4">
        <w:rPr>
          <w:rFonts w:ascii="Verdana" w:eastAsia="Times New Roman" w:hAnsi="Verdana" w:cs="Times New Roman"/>
          <w:color w:val="000000"/>
          <w:sz w:val="18"/>
          <w:szCs w:val="18"/>
          <w:lang w:eastAsia="en-AU"/>
        </w:rPr>
        <w:t>Intertrochanter</w:t>
      </w:r>
      <w:proofErr w:type="spellEnd"/>
      <w:r w:rsidRPr="003157F4">
        <w:rPr>
          <w:rFonts w:ascii="Verdana" w:eastAsia="Times New Roman" w:hAnsi="Verdana" w:cs="Times New Roman"/>
          <w:color w:val="000000"/>
          <w:sz w:val="18"/>
          <w:szCs w:val="18"/>
          <w:lang w:eastAsia="en-AU"/>
        </w:rPr>
        <w:t xml:space="preserve"> area</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English Text: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proofErr w:type="spellStart"/>
      <w:r w:rsidRPr="003157F4">
        <w:rPr>
          <w:rFonts w:ascii="Verdana" w:eastAsia="Times New Roman" w:hAnsi="Verdana" w:cs="Times New Roman"/>
          <w:color w:val="000000"/>
          <w:sz w:val="18"/>
          <w:szCs w:val="18"/>
          <w:lang w:eastAsia="en-AU"/>
        </w:rPr>
        <w:t>Intertrochanter</w:t>
      </w:r>
      <w:proofErr w:type="spellEnd"/>
      <w:r w:rsidRPr="003157F4">
        <w:rPr>
          <w:rFonts w:ascii="Verdana" w:eastAsia="Times New Roman" w:hAnsi="Verdana" w:cs="Times New Roman"/>
          <w:color w:val="000000"/>
          <w:sz w:val="18"/>
          <w:szCs w:val="18"/>
          <w:lang w:eastAsia="en-AU"/>
        </w:rPr>
        <w:t xml:space="preserve"> area</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Target: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157F4" w:rsidRPr="003157F4" w:rsidTr="003157F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Skip to Item</w:t>
            </w: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11.82 to 61.47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bl>
    <w:p w:rsidR="003157F4" w:rsidRPr="003157F4" w:rsidRDefault="003157F4" w:rsidP="003157F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57F4">
        <w:rPr>
          <w:rFonts w:ascii="Trebuchet MS" w:eastAsia="Times New Roman" w:hAnsi="Trebuchet MS" w:cs="Times New Roman"/>
          <w:color w:val="000000"/>
          <w:sz w:val="27"/>
          <w:szCs w:val="27"/>
          <w:lang w:eastAsia="en-AU"/>
        </w:rPr>
        <w:t>DXXWDBMD - Wards triangle BMD</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Variable Name:</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DXXWDBMD</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SAS Label:</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Wards triangle BMD</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English Text: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Wards triangle BMD</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Target: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157F4" w:rsidRPr="003157F4" w:rsidTr="003157F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Skip to Item</w:t>
            </w: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0.162 to 1.402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bl>
    <w:p w:rsidR="003157F4" w:rsidRPr="003157F4" w:rsidRDefault="003157F4" w:rsidP="003157F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57F4">
        <w:rPr>
          <w:rFonts w:ascii="Trebuchet MS" w:eastAsia="Times New Roman" w:hAnsi="Trebuchet MS" w:cs="Times New Roman"/>
          <w:color w:val="000000"/>
          <w:sz w:val="27"/>
          <w:szCs w:val="27"/>
          <w:lang w:eastAsia="en-AU"/>
        </w:rPr>
        <w:t>DXXWDBMC - Wards triangle BMC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Variable Name:</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DXXWDBMC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SAS Label:</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Wards triangle BMC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English Text: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Wards triangle BMC</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Target: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157F4" w:rsidRPr="003157F4" w:rsidTr="003157F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Skip to Item</w:t>
            </w: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0.18 to 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bl>
    <w:p w:rsidR="003157F4" w:rsidRPr="003157F4" w:rsidRDefault="003157F4" w:rsidP="003157F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57F4">
        <w:rPr>
          <w:rFonts w:ascii="Trebuchet MS" w:eastAsia="Times New Roman" w:hAnsi="Trebuchet MS" w:cs="Times New Roman"/>
          <w:color w:val="000000"/>
          <w:sz w:val="27"/>
          <w:szCs w:val="27"/>
          <w:lang w:eastAsia="en-AU"/>
        </w:rPr>
        <w:t>DXXWDA - Wards triangle area</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Variable Name:</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DXXWDA</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SAS Label:</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Wards triangle area</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English Text: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Wards triangle area</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Target: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157F4" w:rsidRPr="003157F4" w:rsidTr="003157F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Skip to Item</w:t>
            </w: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0.82 to 1.31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bl>
    <w:p w:rsidR="003157F4" w:rsidRPr="003157F4" w:rsidRDefault="003157F4" w:rsidP="003157F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57F4">
        <w:rPr>
          <w:rFonts w:ascii="Trebuchet MS" w:eastAsia="Times New Roman" w:hAnsi="Trebuchet MS" w:cs="Times New Roman"/>
          <w:color w:val="000000"/>
          <w:sz w:val="27"/>
          <w:szCs w:val="27"/>
          <w:lang w:eastAsia="en-AU"/>
        </w:rPr>
        <w:t>DXAFMRK - Calculated K for femur</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Variable Name:</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DXAFMRK</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SAS Label:</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Calculated K for femur</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English Text: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Calculated K for femur</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Target: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lastRenderedPageBreak/>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171"/>
        <w:gridCol w:w="2468"/>
        <w:gridCol w:w="940"/>
        <w:gridCol w:w="1669"/>
        <w:gridCol w:w="1752"/>
      </w:tblGrid>
      <w:tr w:rsidR="003157F4" w:rsidRPr="003157F4" w:rsidTr="003157F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Skip to Item</w:t>
            </w: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1.1207 to 1.1738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bl>
    <w:p w:rsidR="003157F4" w:rsidRPr="003157F4" w:rsidRDefault="003157F4" w:rsidP="003157F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57F4">
        <w:rPr>
          <w:rFonts w:ascii="Trebuchet MS" w:eastAsia="Times New Roman" w:hAnsi="Trebuchet MS" w:cs="Times New Roman"/>
          <w:color w:val="000000"/>
          <w:sz w:val="27"/>
          <w:szCs w:val="27"/>
          <w:lang w:eastAsia="en-AU"/>
        </w:rPr>
        <w:t>DXAFMRD0 - Calculated DO for femur</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Variable Name:</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DXAFMRD0</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SAS Label:</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Calculated DO for femur</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English Text: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Calculated DO for femur</w:t>
      </w:r>
    </w:p>
    <w:p w:rsidR="003157F4" w:rsidRPr="003157F4" w:rsidRDefault="003157F4" w:rsidP="003157F4">
      <w:pPr>
        <w:spacing w:after="0" w:line="240" w:lineRule="auto"/>
        <w:ind w:left="600"/>
        <w:rPr>
          <w:rFonts w:ascii="Verdana" w:eastAsia="Times New Roman" w:hAnsi="Verdana" w:cs="Times New Roman"/>
          <w:b/>
          <w:bCs/>
          <w:color w:val="000000"/>
          <w:sz w:val="18"/>
          <w:szCs w:val="18"/>
          <w:lang w:eastAsia="en-AU"/>
        </w:rPr>
      </w:pPr>
      <w:r w:rsidRPr="003157F4">
        <w:rPr>
          <w:rFonts w:ascii="Verdana" w:eastAsia="Times New Roman" w:hAnsi="Verdana" w:cs="Times New Roman"/>
          <w:b/>
          <w:bCs/>
          <w:color w:val="000000"/>
          <w:sz w:val="18"/>
          <w:szCs w:val="18"/>
          <w:lang w:eastAsia="en-AU"/>
        </w:rPr>
        <w:t>Target:</w:t>
      </w:r>
    </w:p>
    <w:p w:rsidR="003157F4" w:rsidRPr="003157F4" w:rsidRDefault="003157F4" w:rsidP="003157F4">
      <w:pPr>
        <w:spacing w:after="0" w:line="240" w:lineRule="auto"/>
        <w:ind w:left="720"/>
        <w:rPr>
          <w:rFonts w:ascii="Verdana" w:eastAsia="Times New Roman" w:hAnsi="Verdana" w:cs="Times New Roman"/>
          <w:color w:val="000000"/>
          <w:sz w:val="18"/>
          <w:szCs w:val="18"/>
          <w:lang w:eastAsia="en-AU"/>
        </w:rPr>
      </w:pPr>
      <w:r w:rsidRPr="003157F4">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39"/>
        <w:gridCol w:w="2392"/>
        <w:gridCol w:w="940"/>
        <w:gridCol w:w="1669"/>
        <w:gridCol w:w="1660"/>
      </w:tblGrid>
      <w:tr w:rsidR="003157F4" w:rsidRPr="003157F4" w:rsidTr="003157F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57F4" w:rsidRPr="003157F4" w:rsidRDefault="003157F4" w:rsidP="003157F4">
            <w:pPr>
              <w:spacing w:after="300" w:line="240" w:lineRule="auto"/>
              <w:jc w:val="center"/>
              <w:rPr>
                <w:rFonts w:ascii="Verdana" w:eastAsia="Times New Roman" w:hAnsi="Verdana" w:cs="Times New Roman"/>
                <w:b/>
                <w:bCs/>
                <w:sz w:val="24"/>
                <w:szCs w:val="24"/>
                <w:lang w:eastAsia="en-AU"/>
              </w:rPr>
            </w:pPr>
            <w:r w:rsidRPr="003157F4">
              <w:rPr>
                <w:rFonts w:ascii="Verdana" w:eastAsia="Times New Roman" w:hAnsi="Verdana" w:cs="Times New Roman"/>
                <w:b/>
                <w:bCs/>
                <w:sz w:val="24"/>
                <w:szCs w:val="24"/>
                <w:lang w:eastAsia="en-AU"/>
              </w:rPr>
              <w:t>Skip to Item</w:t>
            </w: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36.5708 to 54.2636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r w:rsidR="003157F4" w:rsidRPr="003157F4" w:rsidTr="00315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r w:rsidRPr="003157F4">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57F4" w:rsidRPr="003157F4" w:rsidRDefault="003157F4" w:rsidP="003157F4">
            <w:pPr>
              <w:spacing w:after="300" w:line="240" w:lineRule="auto"/>
              <w:rPr>
                <w:rFonts w:ascii="Verdana" w:eastAsia="Times New Roman" w:hAnsi="Verdana" w:cs="Times New Roman"/>
                <w:sz w:val="24"/>
                <w:szCs w:val="24"/>
                <w:lang w:eastAsia="en-AU"/>
              </w:rPr>
            </w:pPr>
          </w:p>
        </w:tc>
      </w:tr>
    </w:tbl>
    <w:p w:rsidR="00DD0476" w:rsidRDefault="003157F4">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B604D"/>
    <w:multiLevelType w:val="multilevel"/>
    <w:tmpl w:val="5CBC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A21BA5"/>
    <w:multiLevelType w:val="multilevel"/>
    <w:tmpl w:val="6D5A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0A49FE"/>
    <w:multiLevelType w:val="multilevel"/>
    <w:tmpl w:val="BAE6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7F4"/>
    <w:rsid w:val="00085C9D"/>
    <w:rsid w:val="0010184E"/>
    <w:rsid w:val="003157F4"/>
    <w:rsid w:val="00354213"/>
    <w:rsid w:val="005E0C92"/>
    <w:rsid w:val="006D0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4D337-5289-4BF4-8AFD-50E1BBDE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3157F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3157F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7F4"/>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3157F4"/>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3157F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3157F4"/>
    <w:rPr>
      <w:color w:val="0000FF"/>
      <w:u w:val="single"/>
    </w:rPr>
  </w:style>
  <w:style w:type="character" w:styleId="Strong">
    <w:name w:val="Strong"/>
    <w:basedOn w:val="DefaultParagraphFont"/>
    <w:uiPriority w:val="22"/>
    <w:qFormat/>
    <w:rsid w:val="003157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157635">
      <w:bodyDiv w:val="1"/>
      <w:marLeft w:val="0"/>
      <w:marRight w:val="0"/>
      <w:marTop w:val="0"/>
      <w:marBottom w:val="0"/>
      <w:divBdr>
        <w:top w:val="none" w:sz="0" w:space="0" w:color="auto"/>
        <w:left w:val="none" w:sz="0" w:space="0" w:color="auto"/>
        <w:bottom w:val="none" w:sz="0" w:space="0" w:color="auto"/>
        <w:right w:val="none" w:sz="0" w:space="0" w:color="auto"/>
      </w:divBdr>
      <w:divsChild>
        <w:div w:id="2024090628">
          <w:marLeft w:val="0"/>
          <w:marRight w:val="0"/>
          <w:marTop w:val="0"/>
          <w:marBottom w:val="0"/>
          <w:divBdr>
            <w:top w:val="none" w:sz="0" w:space="0" w:color="auto"/>
            <w:left w:val="none" w:sz="0" w:space="0" w:color="auto"/>
            <w:bottom w:val="none" w:sz="0" w:space="0" w:color="auto"/>
            <w:right w:val="none" w:sz="0" w:space="0" w:color="auto"/>
          </w:divBdr>
        </w:div>
        <w:div w:id="528180196">
          <w:marLeft w:val="0"/>
          <w:marRight w:val="0"/>
          <w:marTop w:val="0"/>
          <w:marBottom w:val="0"/>
          <w:divBdr>
            <w:top w:val="none" w:sz="0" w:space="0" w:color="auto"/>
            <w:left w:val="none" w:sz="0" w:space="0" w:color="auto"/>
            <w:bottom w:val="none" w:sz="0" w:space="0" w:color="auto"/>
            <w:right w:val="none" w:sz="0" w:space="0" w:color="auto"/>
          </w:divBdr>
        </w:div>
        <w:div w:id="97141579">
          <w:marLeft w:val="0"/>
          <w:marRight w:val="0"/>
          <w:marTop w:val="0"/>
          <w:marBottom w:val="0"/>
          <w:divBdr>
            <w:top w:val="none" w:sz="0" w:space="0" w:color="auto"/>
            <w:left w:val="none" w:sz="0" w:space="0" w:color="auto"/>
            <w:bottom w:val="none" w:sz="0" w:space="0" w:color="auto"/>
            <w:right w:val="none" w:sz="0" w:space="0" w:color="auto"/>
          </w:divBdr>
          <w:divsChild>
            <w:div w:id="1425151482">
              <w:marLeft w:val="0"/>
              <w:marRight w:val="0"/>
              <w:marTop w:val="0"/>
              <w:marBottom w:val="0"/>
              <w:divBdr>
                <w:top w:val="none" w:sz="0" w:space="0" w:color="auto"/>
                <w:left w:val="none" w:sz="0" w:space="0" w:color="auto"/>
                <w:bottom w:val="none" w:sz="0" w:space="0" w:color="auto"/>
                <w:right w:val="none" w:sz="0" w:space="0" w:color="auto"/>
              </w:divBdr>
            </w:div>
            <w:div w:id="595021993">
              <w:marLeft w:val="0"/>
              <w:marRight w:val="0"/>
              <w:marTop w:val="0"/>
              <w:marBottom w:val="0"/>
              <w:divBdr>
                <w:top w:val="none" w:sz="0" w:space="0" w:color="auto"/>
                <w:left w:val="none" w:sz="0" w:space="0" w:color="auto"/>
                <w:bottom w:val="none" w:sz="0" w:space="0" w:color="auto"/>
                <w:right w:val="none" w:sz="0" w:space="0" w:color="auto"/>
              </w:divBdr>
            </w:div>
            <w:div w:id="951285345">
              <w:marLeft w:val="0"/>
              <w:marRight w:val="0"/>
              <w:marTop w:val="0"/>
              <w:marBottom w:val="0"/>
              <w:divBdr>
                <w:top w:val="none" w:sz="0" w:space="0" w:color="auto"/>
                <w:left w:val="none" w:sz="0" w:space="0" w:color="auto"/>
                <w:bottom w:val="none" w:sz="0" w:space="0" w:color="auto"/>
                <w:right w:val="none" w:sz="0" w:space="0" w:color="auto"/>
              </w:divBdr>
            </w:div>
            <w:div w:id="1818301868">
              <w:marLeft w:val="0"/>
              <w:marRight w:val="0"/>
              <w:marTop w:val="0"/>
              <w:marBottom w:val="0"/>
              <w:divBdr>
                <w:top w:val="none" w:sz="0" w:space="0" w:color="auto"/>
                <w:left w:val="none" w:sz="0" w:space="0" w:color="auto"/>
                <w:bottom w:val="none" w:sz="0" w:space="0" w:color="auto"/>
                <w:right w:val="none" w:sz="0" w:space="0" w:color="auto"/>
              </w:divBdr>
            </w:div>
            <w:div w:id="2046061420">
              <w:marLeft w:val="0"/>
              <w:marRight w:val="0"/>
              <w:marTop w:val="0"/>
              <w:marBottom w:val="0"/>
              <w:divBdr>
                <w:top w:val="none" w:sz="0" w:space="0" w:color="auto"/>
                <w:left w:val="none" w:sz="0" w:space="0" w:color="auto"/>
                <w:bottom w:val="none" w:sz="0" w:space="0" w:color="auto"/>
                <w:right w:val="none" w:sz="0" w:space="0" w:color="auto"/>
              </w:divBdr>
            </w:div>
            <w:div w:id="663552917">
              <w:marLeft w:val="0"/>
              <w:marRight w:val="0"/>
              <w:marTop w:val="0"/>
              <w:marBottom w:val="0"/>
              <w:divBdr>
                <w:top w:val="none" w:sz="0" w:space="0" w:color="auto"/>
                <w:left w:val="none" w:sz="0" w:space="0" w:color="auto"/>
                <w:bottom w:val="none" w:sz="0" w:space="0" w:color="auto"/>
                <w:right w:val="none" w:sz="0" w:space="0" w:color="auto"/>
              </w:divBdr>
            </w:div>
            <w:div w:id="7221125">
              <w:marLeft w:val="0"/>
              <w:marRight w:val="0"/>
              <w:marTop w:val="0"/>
              <w:marBottom w:val="0"/>
              <w:divBdr>
                <w:top w:val="none" w:sz="0" w:space="0" w:color="auto"/>
                <w:left w:val="none" w:sz="0" w:space="0" w:color="auto"/>
                <w:bottom w:val="none" w:sz="0" w:space="0" w:color="auto"/>
                <w:right w:val="none" w:sz="0" w:space="0" w:color="auto"/>
              </w:divBdr>
            </w:div>
            <w:div w:id="404038571">
              <w:marLeft w:val="0"/>
              <w:marRight w:val="0"/>
              <w:marTop w:val="0"/>
              <w:marBottom w:val="0"/>
              <w:divBdr>
                <w:top w:val="none" w:sz="0" w:space="0" w:color="auto"/>
                <w:left w:val="none" w:sz="0" w:space="0" w:color="auto"/>
                <w:bottom w:val="none" w:sz="0" w:space="0" w:color="auto"/>
                <w:right w:val="none" w:sz="0" w:space="0" w:color="auto"/>
              </w:divBdr>
            </w:div>
            <w:div w:id="576331921">
              <w:marLeft w:val="0"/>
              <w:marRight w:val="0"/>
              <w:marTop w:val="0"/>
              <w:marBottom w:val="0"/>
              <w:divBdr>
                <w:top w:val="none" w:sz="0" w:space="0" w:color="auto"/>
                <w:left w:val="none" w:sz="0" w:space="0" w:color="auto"/>
                <w:bottom w:val="none" w:sz="0" w:space="0" w:color="auto"/>
                <w:right w:val="none" w:sz="0" w:space="0" w:color="auto"/>
              </w:divBdr>
            </w:div>
            <w:div w:id="1013460893">
              <w:marLeft w:val="0"/>
              <w:marRight w:val="0"/>
              <w:marTop w:val="0"/>
              <w:marBottom w:val="0"/>
              <w:divBdr>
                <w:top w:val="none" w:sz="0" w:space="0" w:color="auto"/>
                <w:left w:val="none" w:sz="0" w:space="0" w:color="auto"/>
                <w:bottom w:val="none" w:sz="0" w:space="0" w:color="auto"/>
                <w:right w:val="none" w:sz="0" w:space="0" w:color="auto"/>
              </w:divBdr>
            </w:div>
            <w:div w:id="1446728708">
              <w:marLeft w:val="0"/>
              <w:marRight w:val="0"/>
              <w:marTop w:val="0"/>
              <w:marBottom w:val="0"/>
              <w:divBdr>
                <w:top w:val="none" w:sz="0" w:space="0" w:color="auto"/>
                <w:left w:val="none" w:sz="0" w:space="0" w:color="auto"/>
                <w:bottom w:val="none" w:sz="0" w:space="0" w:color="auto"/>
                <w:right w:val="none" w:sz="0" w:space="0" w:color="auto"/>
              </w:divBdr>
            </w:div>
            <w:div w:id="1087506173">
              <w:marLeft w:val="0"/>
              <w:marRight w:val="0"/>
              <w:marTop w:val="0"/>
              <w:marBottom w:val="0"/>
              <w:divBdr>
                <w:top w:val="none" w:sz="0" w:space="0" w:color="auto"/>
                <w:left w:val="none" w:sz="0" w:space="0" w:color="auto"/>
                <w:bottom w:val="none" w:sz="0" w:space="0" w:color="auto"/>
                <w:right w:val="none" w:sz="0" w:space="0" w:color="auto"/>
              </w:divBdr>
            </w:div>
            <w:div w:id="1455904949">
              <w:marLeft w:val="0"/>
              <w:marRight w:val="0"/>
              <w:marTop w:val="0"/>
              <w:marBottom w:val="0"/>
              <w:divBdr>
                <w:top w:val="none" w:sz="0" w:space="0" w:color="auto"/>
                <w:left w:val="none" w:sz="0" w:space="0" w:color="auto"/>
                <w:bottom w:val="none" w:sz="0" w:space="0" w:color="auto"/>
                <w:right w:val="none" w:sz="0" w:space="0" w:color="auto"/>
              </w:divBdr>
            </w:div>
            <w:div w:id="1977711395">
              <w:marLeft w:val="0"/>
              <w:marRight w:val="0"/>
              <w:marTop w:val="0"/>
              <w:marBottom w:val="0"/>
              <w:divBdr>
                <w:top w:val="none" w:sz="0" w:space="0" w:color="auto"/>
                <w:left w:val="none" w:sz="0" w:space="0" w:color="auto"/>
                <w:bottom w:val="none" w:sz="0" w:space="0" w:color="auto"/>
                <w:right w:val="none" w:sz="0" w:space="0" w:color="auto"/>
              </w:divBdr>
            </w:div>
            <w:div w:id="1594901305">
              <w:marLeft w:val="0"/>
              <w:marRight w:val="0"/>
              <w:marTop w:val="0"/>
              <w:marBottom w:val="0"/>
              <w:divBdr>
                <w:top w:val="none" w:sz="0" w:space="0" w:color="auto"/>
                <w:left w:val="none" w:sz="0" w:space="0" w:color="auto"/>
                <w:bottom w:val="none" w:sz="0" w:space="0" w:color="auto"/>
                <w:right w:val="none" w:sz="0" w:space="0" w:color="auto"/>
              </w:divBdr>
            </w:div>
            <w:div w:id="410661368">
              <w:marLeft w:val="0"/>
              <w:marRight w:val="0"/>
              <w:marTop w:val="0"/>
              <w:marBottom w:val="0"/>
              <w:divBdr>
                <w:top w:val="none" w:sz="0" w:space="0" w:color="auto"/>
                <w:left w:val="none" w:sz="0" w:space="0" w:color="auto"/>
                <w:bottom w:val="none" w:sz="0" w:space="0" w:color="auto"/>
                <w:right w:val="none" w:sz="0" w:space="0" w:color="auto"/>
              </w:divBdr>
            </w:div>
            <w:div w:id="647979495">
              <w:marLeft w:val="0"/>
              <w:marRight w:val="0"/>
              <w:marTop w:val="0"/>
              <w:marBottom w:val="0"/>
              <w:divBdr>
                <w:top w:val="none" w:sz="0" w:space="0" w:color="auto"/>
                <w:left w:val="none" w:sz="0" w:space="0" w:color="auto"/>
                <w:bottom w:val="none" w:sz="0" w:space="0" w:color="auto"/>
                <w:right w:val="none" w:sz="0" w:space="0" w:color="auto"/>
              </w:divBdr>
            </w:div>
            <w:div w:id="957563434">
              <w:marLeft w:val="0"/>
              <w:marRight w:val="0"/>
              <w:marTop w:val="0"/>
              <w:marBottom w:val="0"/>
              <w:divBdr>
                <w:top w:val="none" w:sz="0" w:space="0" w:color="auto"/>
                <w:left w:val="none" w:sz="0" w:space="0" w:color="auto"/>
                <w:bottom w:val="none" w:sz="0" w:space="0" w:color="auto"/>
                <w:right w:val="none" w:sz="0" w:space="0" w:color="auto"/>
              </w:divBdr>
            </w:div>
            <w:div w:id="1814059074">
              <w:marLeft w:val="0"/>
              <w:marRight w:val="0"/>
              <w:marTop w:val="0"/>
              <w:marBottom w:val="0"/>
              <w:divBdr>
                <w:top w:val="none" w:sz="0" w:space="0" w:color="auto"/>
                <w:left w:val="none" w:sz="0" w:space="0" w:color="auto"/>
                <w:bottom w:val="none" w:sz="0" w:space="0" w:color="auto"/>
                <w:right w:val="none" w:sz="0" w:space="0" w:color="auto"/>
              </w:divBdr>
            </w:div>
            <w:div w:id="3594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cd.org/wp-content/themes/iscd/pdfs/official-positions/ISCD2007OfficialPositions-Adul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logic.com/en/product-support/bone-densitometry/discovery/" TargetMode="External"/><Relationship Id="rId5" Type="http://schemas.openxmlformats.org/officeDocument/2006/relationships/hyperlink" Target="https://www.cdc.gov/nchs/nhanes/index.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2512</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Southern Queensland</Company>
  <LinksUpToDate>false</LinksUpToDate>
  <CharactersWithSpaces>16804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2018-01-09T05:39:00Z</dcterms:created>
  <dcterms:modified xsi:type="dcterms:W3CDTF">2018-01-09T05:39:00Z</dcterms:modified>
</cp:coreProperties>
</file>