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protocol</w:t>
      </w:r>
    </w:p>
    <w:p>
      <w:r>
        <w:t>Hafenstraße 12, 20359 Hamburg — 6 October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Agreed action</w:t>
            </w:r>
          </w:p>
        </w:tc>
      </w:tr>
      <w:tr>
        <w:tc>
          <w:tcPr>
            <w:tcW w:type="dxa" w:w="2880"/>
          </w:tcPr>
          <w:p>
            <w:r>
              <w:t>Front door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Bedroom floor</w:t>
            </w:r>
          </w:p>
        </w:tc>
        <w:tc>
          <w:tcPr>
            <w:tcW w:type="dxa" w:w="2880"/>
          </w:tcPr>
          <w:p>
            <w:r>
              <w:t>Scratches</w:t>
            </w:r>
          </w:p>
        </w:tc>
        <w:tc>
          <w:tcPr>
            <w:tcW w:type="dxa" w:w="2880"/>
          </w:tcPr>
          <w:p>
            <w:r>
              <w:t>Tenant pays repair</w:t>
            </w:r>
          </w:p>
        </w:tc>
      </w:tr>
    </w:tbl>
    <w:p>
      <w:r>
        <w:t>Signed: Jonas Weber (inspector), tenant, landlord.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