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44"/>
          <w:szCs w:val="44"/>
        </w:rPr>
        <w:t xml:space="preserve">TEST PLAN</w:t>
      </w:r>
    </w:p>
    <w:p>
      <w:pPr>
        <w:spacing w:after="320"/>
        <w:jc w:val="center"/>
      </w:pPr>
      <w:r>
        <w:rPr>
          <w:color w:val="444444"/>
          <w:sz w:val="26"/>
          <w:szCs w:val="26"/>
        </w:rPr>
        <w:t xml:space="preserve">OpenEMR — Patient Registration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/ Application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OpenEMR 8.0.0 (Open-source Electronic Health Record System)</w:t>
            </w:r>
          </w:p>
        </w:tc>
      </w:tr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Module Under Test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 Registration (Demographics)</w:t>
            </w:r>
          </w:p>
        </w:tc>
      </w:tr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Healthcare</w:t>
            </w:r>
          </w:p>
        </w:tc>
      </w:tr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Environment URL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https://demo.openemr.io/openemr (Receptionist role)</w:t>
            </w:r>
          </w:p>
        </w:tc>
      </w:tr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</w:t>
            </w:r>
          </w:p>
        </w:tc>
      </w:tr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Anu Priya, Manual QA Engineer</w:t>
            </w:r>
          </w:p>
        </w:tc>
      </w:tr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20-Jun-2026</w:t>
            </w:r>
          </w:p>
        </w:tc>
      </w:tr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— pending field-level requirement confirmation</w:t>
            </w:r>
          </w:p>
        </w:tc>
      </w:tr>
    </w:tbl>
    <w:p>
      <w:pPr>
        <w:pStyle w:val="Heading1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000"/>
        <w:gridCol w:w="4660"/>
      </w:tblGrid>
      <w:tr>
        <w:trPr>
          <w:tblHeader/>
        </w:trPr>
        <w:tc>
          <w:tcPr>
            <w:tcW w:type="dxa" w:w="11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Author</w:t>
            </w:r>
          </w:p>
        </w:tc>
        <w:tc>
          <w:tcPr>
            <w:tcW w:type="dxa" w:w="4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 Description</w:t>
            </w:r>
          </w:p>
        </w:tc>
      </w:tr>
      <w:tr>
        <w:tc>
          <w:tcPr>
            <w:tcW w:type="dxa" w:w="11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1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20-Jun-2026</w:t>
            </w:r>
          </w:p>
        </w:tc>
        <w:tc>
          <w:tcPr>
            <w:tcW w:type="dxa" w:w="2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Anu Priya</w:t>
            </w:r>
          </w:p>
        </w:tc>
        <w:tc>
          <w:tcPr>
            <w:tcW w:type="dxa" w:w="4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draft created</w:t>
            </w:r>
          </w:p>
        </w:tc>
      </w:tr>
      <w:tr>
        <w:tc>
          <w:tcPr>
            <w:tcW w:type="dxa" w:w="11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</w:t>
            </w:r>
          </w:p>
        </w:tc>
        <w:tc>
          <w:tcPr>
            <w:tcW w:type="dxa" w:w="1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20-Jun-2026</w:t>
            </w:r>
          </w:p>
        </w:tc>
        <w:tc>
          <w:tcPr>
            <w:tcW w:type="dxa" w:w="2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Anu Priya</w:t>
            </w:r>
          </w:p>
        </w:tc>
        <w:tc>
          <w:tcPr>
            <w:tcW w:type="dxa" w:w="4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Added Defect Management &amp; Reporting Procedure, Cost/Effort Estimation, Assumptions &amp; Dependencies, Glossary</w:t>
            </w:r>
          </w:p>
        </w:tc>
      </w:tr>
    </w:tbl>
    <w:p>
      <w:pPr>
        <w:pStyle w:val="Heading1"/>
      </w:pPr>
      <w:r>
        <w:t xml:space="preserve">Glossary /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EHR</w:t>
            </w:r>
          </w:p>
        </w:tc>
        <w:tc>
          <w:tcPr>
            <w:tcW w:type="dxa" w:w="7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Electronic Health Record</w:t>
            </w:r>
          </w:p>
        </w:tc>
      </w:tr>
      <w:t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</w:t>
            </w:r>
          </w:p>
        </w:tc>
        <w:tc>
          <w:tcPr>
            <w:tcW w:type="dxa" w:w="7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Protected Health Information</w:t>
            </w:r>
          </w:p>
        </w:tc>
      </w:tr>
      <w:t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RTM</w:t>
            </w:r>
          </w:p>
        </w:tc>
        <w:tc>
          <w:tcPr>
            <w:tcW w:type="dxa" w:w="7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Requirement Traceability Matrix</w:t>
            </w:r>
          </w:p>
        </w:tc>
      </w:tr>
      <w:t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STLC</w:t>
            </w:r>
          </w:p>
        </w:tc>
        <w:tc>
          <w:tcPr>
            <w:tcW w:type="dxa" w:w="7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Software Testing Life Cycle</w:t>
            </w:r>
          </w:p>
        </w:tc>
      </w:tr>
      <w:t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BRD</w:t>
            </w:r>
          </w:p>
        </w:tc>
        <w:tc>
          <w:tcPr>
            <w:tcW w:type="dxa" w:w="7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Requirement Document</w:t>
            </w:r>
          </w:p>
        </w:tc>
      </w:tr>
      <w:t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UAT</w:t>
            </w:r>
          </w:p>
        </w:tc>
        <w:tc>
          <w:tcPr>
            <w:tcW w:type="dxa" w:w="7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Acceptance Testing</w:t>
            </w:r>
          </w:p>
        </w:tc>
      </w:tr>
    </w:tbl>
    <w:p>
      <w:pPr>
        <w:pStyle w:val="Heading1"/>
      </w:pPr>
      <w:r>
        <w:t xml:space="preserve">1. Introduction</w:t>
      </w:r>
    </w:p>
    <w:p>
      <w:pPr>
        <w:spacing w:after="160"/>
      </w:pPr>
      <w:r>
        <w:t xml:space="preserve">This Test Plan defines the scope, approach, resources, and schedule for testing the Patient Registration module of OpenEMR, an open-source Electronic Health Record (EHR) and Practice Management system. OpenEMR is used as a real-world stand-in application to demonstrate a complete, industry-standard manual testing engagement in the healthcare domain.</w:t>
      </w:r>
    </w:p>
    <w:p>
      <w:pPr>
        <w:spacing w:after="160"/>
      </w:pPr>
      <w:r>
        <w:t xml:space="preserve">As no formal Business Requirement Document (BRD) is available for this open-source application, requirements for this module are being derived through structured exploration of the live application (requirement reverse-engineering), a common real-world scenario when testing legacy or third-party systems with incomplete documentation. This plan will be updated once the Requirement Document (with REQ IDs) is finalized.</w:t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that a new patient can be registered with valid demographic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field-level input validation (mandatory fields, format checks, boundary values).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that duplicate/invalid patient data is correctly handled or flagged.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and log defects that could impact data integrity in a clinical record system (high-risk area given HIPAA/PHI sensitivity).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complete QA documentation: Requirement notes, Test Scenarios, Test Cases, RTM, Bug Reports, and Test Summary Report.</w:t>
      </w:r>
    </w:p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Patient registration form (Demographics tab) — all visible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Mandatory field validation (e.g., First Name, Last Name, DOB, Sex)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format validation (DOB format, phone number format, SSN format if present, email format)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flow: Save, Cancel, and re-open/edit a saved patient record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Negative testing: blank submission, invalid characters, boundary dates (e.g., future DOB)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UI checks: field alignment, mandatory indicators, error message clarity</w:t>
      </w:r>
    </w:p>
    <w:p>
      <w:pPr>
        <w:pStyle w:val="Heading2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 OpenEMR modules: Billing, Prescriptions, Clinical Encounters,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 Portal (separate login system)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Performance, load, and security/penetration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API-level/automation testing (this is a manual testing engagement)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Database-level verification (no direct DB access on public demo)</w:t>
      </w:r>
    </w:p>
    <w:p>
      <w:pPr>
        <w:pStyle w:val="Heading1"/>
      </w:pPr>
      <w:r>
        <w:t xml:space="preserve">4. Test Approach / Strategy</w:t>
      </w:r>
    </w:p>
    <w:p>
      <w:pPr>
        <w:spacing w:after="160"/>
      </w:pPr>
      <w:r>
        <w:t xml:space="preserve">A manual, black-box testing approach will be used, combining the following techniques: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Testing — verifying the module works as the discovered requirements specify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Boundary Value Analysis — e.g., date of birth at edge values, max character length in name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Equivalence Partitioning — grouping valid/invalid input sets for fields like Sex, Phone, Email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Negative Testing — invalid/blank/malformed inputs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Exploratory Testing — supplementary ad-hoc testing to uncover issues not covered by scripted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UI/Usability Testing — basic checks on clarity, layout, and error messaging</w:t>
      </w:r>
    </w:p>
    <w:p>
      <w:pPr>
        <w:spacing w:after="160"/>
      </w:pPr>
      <w:r>
        <w:t xml:space="preserve">Testing will proceed in two cycles: Cycle 1 (first execution pass, defects logged) and Cycle 2 (retesting fixed/clarified items + regression on related areas such as Patient Search).</w:t>
      </w:r>
    </w:p>
    <w:p>
      <w:pPr>
        <w:pStyle w:val="Heading1"/>
      </w:pPr>
      <w:r>
        <w:t xml:space="preserve">5. Test Items / Features to be Tested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 ID</w:t>
            </w:r>
          </w:p>
        </w:tc>
        <w:tc>
          <w:tcPr>
            <w:tcW w:type="dxa" w:w="63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FT_01</w:t>
            </w:r>
          </w:p>
        </w:tc>
        <w:tc>
          <w:tcPr>
            <w:tcW w:type="dxa" w:w="63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New Patient — mandatory field validation</w:t>
            </w:r>
          </w:p>
        </w:tc>
        <w:tc>
          <w:tcPr>
            <w:tcW w:type="dxa" w:w="1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FT_02</w:t>
            </w:r>
          </w:p>
        </w:tc>
        <w:tc>
          <w:tcPr>
            <w:tcW w:type="dxa" w:w="63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New Patient — data format validation (DOB, phone, email)</w:t>
            </w:r>
          </w:p>
        </w:tc>
        <w:tc>
          <w:tcPr>
            <w:tcW w:type="dxa" w:w="1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FT_03</w:t>
            </w:r>
          </w:p>
        </w:tc>
        <w:tc>
          <w:tcPr>
            <w:tcW w:type="dxa" w:w="63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 patient record and confirm data persistence</w:t>
            </w:r>
          </w:p>
        </w:tc>
        <w:tc>
          <w:tcPr>
            <w:tcW w:type="dxa" w:w="1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FT_04</w:t>
            </w:r>
          </w:p>
        </w:tc>
        <w:tc>
          <w:tcPr>
            <w:tcW w:type="dxa" w:w="63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Edit/Update an existing patient record</w:t>
            </w:r>
          </w:p>
        </w:tc>
        <w:tc>
          <w:tcPr>
            <w:tcW w:type="dxa" w:w="1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FT_05</w:t>
            </w:r>
          </w:p>
        </w:tc>
        <w:tc>
          <w:tcPr>
            <w:tcW w:type="dxa" w:w="63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 registration flow (no partial save)</w:t>
            </w:r>
          </w:p>
        </w:tc>
        <w:tc>
          <w:tcPr>
            <w:tcW w:type="dxa" w:w="1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FT_06</w:t>
            </w:r>
          </w:p>
        </w:tc>
        <w:tc>
          <w:tcPr>
            <w:tcW w:type="dxa" w:w="63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for newly created patient</w:t>
            </w:r>
          </w:p>
        </w:tc>
        <w:tc>
          <w:tcPr>
            <w:tcW w:type="dxa" w:w="1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FT_07</w:t>
            </w:r>
          </w:p>
        </w:tc>
        <w:tc>
          <w:tcPr>
            <w:tcW w:type="dxa" w:w="63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UI/UX checks on registration form</w:t>
            </w:r>
          </w:p>
        </w:tc>
        <w:tc>
          <w:tcPr>
            <w:tcW w:type="dxa" w:w="1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</w:tbl>
    <w:p>
      <w:pPr>
        <w:pStyle w:val="Heading1"/>
      </w:pPr>
      <w:r>
        <w:t xml:space="preserve">6.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Application URL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https://demo.openemr.io/openemr</w:t>
            </w:r>
          </w:p>
        </w:tc>
      </w:tr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Role / Login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receptionist / receptionist</w:t>
            </w:r>
          </w:p>
        </w:tc>
      </w:tr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Chrome (latest stable)</w:t>
            </w:r>
          </w:p>
        </w:tc>
      </w:tr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11</w:t>
            </w:r>
          </w:p>
        </w:tc>
      </w:tr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Data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Synthetic patient data only — no real PHI will be used</w:t>
            </w:r>
          </w:p>
        </w:tc>
      </w:tr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Reset Note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demo resets daily at 08:00 UTC — execution must be completed and evidence captured within a session</w:t>
            </w:r>
          </w:p>
        </w:tc>
      </w:tr>
    </w:tbl>
    <w:p>
      <w:pPr>
        <w:pStyle w:val="Heading1"/>
      </w:pPr>
      <w:r>
        <w:t xml:space="preserve">7. Entry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 notes for Patient Registration are documented and reviewed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environment (demo URL) is accessible and login credentials are working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scenarios and test cases are written and reviewed</w:t>
      </w:r>
    </w:p>
    <w:p>
      <w:pPr>
        <w:pStyle w:val="Heading1"/>
      </w:pPr>
      <w:r>
        <w:t xml:space="preserve">8. 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of planned test cases have been executed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open defects with severity Critical or High remain unresolved/unacknowledged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90% of executed test cases have a Pass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Summary Report is completed and reviewed</w:t>
      </w:r>
    </w:p>
    <w:p>
      <w:pPr>
        <w:pStyle w:val="Heading1"/>
      </w:pPr>
      <w:r>
        <w:t xml:space="preserve">9. Suspension &amp; Resumption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Suspend testing if the demo environment is down or login fails for the receptionist role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Suspend testing if a Critical defect blocks more than 50% of planned test cases from being executed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 once the environment is restored or a workaround/clarification is provided</w:t>
      </w:r>
    </w:p>
    <w:p>
      <w:pPr>
        <w:pStyle w:val="Heading1"/>
      </w:pPr>
      <w:r>
        <w:t xml:space="preserve">10. Defect Management &amp; Reporting Procedure</w:t>
      </w:r>
    </w:p>
    <w:p>
      <w:pPr>
        <w:spacing w:after="160"/>
      </w:pPr>
      <w:r>
        <w:t xml:space="preserve">Every defect identified during execution will be logged in the Bug Report Log using the following standardized procedure, mirroring how defects are tracked in tools like Jira or Azure DevOps:</w:t>
      </w:r>
    </w:p>
    <w:p>
      <w:pPr>
        <w:pStyle w:val="Heading2"/>
      </w:pPr>
      <w:r>
        <w:t xml:space="preserve">10.1 Defect Logging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Reproduce the issue at least twice to confirm it is consistent before logging.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 the defect with: Bug ID, Title, Module, related Test Case ID, Steps to Reproduce, Expected Result, Actual Result, Environment, and a screenshot/screen-recording as evidence.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Assign Severity and Priority (see 10.2) at the time of logging.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initial Status to "New."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Notify the responsible developer/team (in a real project) and move status to "Open" once acknowledged.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Once a fix is available, move status to "Retest" and verify the fix; move to "Closed" if resolved, or "Reopened" if not.</w:t>
      </w:r>
    </w:p>
    <w:p>
      <w:pPr>
        <w:pStyle w:val="Heading2"/>
      </w:pPr>
      <w:r>
        <w:t xml:space="preserve">10.2 Severity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7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7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crash, data loss/corruption, or a complete block of a core workflow (e.g., patient record cannot be saved at all).</w:t>
            </w:r>
          </w:p>
        </w:tc>
      </w:tr>
      <w:t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7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 functionality broken or incorrect, no workaround available (e.g., mandatory field validation does not work, allowing bad data to save).</w:t>
            </w:r>
          </w:p>
        </w:tc>
      </w:tr>
      <w:t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7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Functionality is impacted but a workaround exists, or the issue affects a non-critical path.</w:t>
            </w:r>
          </w:p>
        </w:tc>
      </w:tr>
      <w:t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7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Cosmetic, UI/UX, or minor inconsistency with no functional impact.</w:t>
            </w:r>
          </w:p>
        </w:tc>
      </w:tr>
    </w:tbl>
    <w:p>
      <w:pPr>
        <w:pStyle w:val="Heading2"/>
      </w:pPr>
      <w:r>
        <w:t xml:space="preserve">10.3 Priority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7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be fixed before the next release/test cycle; blocks sign-off.</w:t>
            </w:r>
          </w:p>
        </w:tc>
      </w:tr>
      <w:t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7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be fixed soon; does not block the current cycle's sign-off.</w:t>
            </w:r>
          </w:p>
        </w:tc>
      </w:tr>
      <w:t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7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be deferred to a future release/backlog.</w:t>
            </w:r>
          </w:p>
        </w:tc>
      </w:tr>
    </w:tbl>
    <w:p>
      <w:pPr>
        <w:pStyle w:val="Heading2"/>
      </w:pPr>
      <w:r>
        <w:t xml:space="preserve">10.4 Defect Lifecycle</w:t>
      </w:r>
    </w:p>
    <w:p>
      <w:pPr>
        <w:spacing w:after="160"/>
      </w:pPr>
      <w:r>
        <w:t xml:space="preserve">New → Open (Acknowledged) → In Progress (Dev fixing) → Fixed → Retest (QA verifies) → Closed (if verified fixed) or Reopened (if not fixed, returns to Open).</w:t>
      </w:r>
    </w:p>
    <w:p>
      <w:pPr>
        <w:spacing w:after="160"/>
      </w:pPr>
      <w:r>
        <w:t xml:space="preserve">Rejected status is used when the reported behavior is confirmed to be "as designed" or not reproducible, with justification noted by the reviewer.</w:t>
      </w:r>
    </w:p>
    <w:p>
      <w:pPr>
        <w:pStyle w:val="Heading1"/>
      </w:pPr>
      <w:r>
        <w:t xml:space="preserve">11.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00"/>
        <w:gridCol w:w="1460"/>
      </w:tblGrid>
      <w:tr>
        <w:trPr>
          <w:tblHeader/>
        </w:trPr>
        <w:tc>
          <w:tcPr>
            <w:tcW w:type="dxa" w:w="32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14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Lead / Manual Tester</w:t>
            </w:r>
          </w:p>
        </w:tc>
        <w:tc>
          <w:tcPr>
            <w:tcW w:type="dxa" w:w="4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Requirement analysis, test design, execution, defect logging, reporting</w:t>
            </w:r>
          </w:p>
        </w:tc>
        <w:tc>
          <w:tcPr>
            <w:tcW w:type="dxa" w:w="14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Anu Priya</w:t>
            </w:r>
          </w:p>
        </w:tc>
      </w:tr>
      <w:tr>
        <w:tc>
          <w:tcPr>
            <w:tcW w:type="dxa" w:w="32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Reviewer</w:t>
            </w:r>
          </w:p>
        </w:tc>
        <w:tc>
          <w:tcPr>
            <w:tcW w:type="dxa" w:w="4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Self-review of test artifacts (solo project) / peer review if available</w:t>
            </w:r>
          </w:p>
        </w:tc>
        <w:tc>
          <w:tcPr>
            <w:tcW w:type="dxa" w:w="14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Anu Priya</w:t>
            </w:r>
          </w:p>
        </w:tc>
      </w:tr>
      <w:tr>
        <w:tc>
          <w:tcPr>
            <w:tcW w:type="dxa" w:w="32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 (simulated)</w:t>
            </w:r>
          </w:p>
        </w:tc>
        <w:tc>
          <w:tcPr>
            <w:tcW w:type="dxa" w:w="4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OpenEMR open-source community (not directly engaged for this project)</w:t>
            </w:r>
          </w:p>
        </w:tc>
        <w:tc>
          <w:tcPr>
            <w:tcW w:type="dxa" w:w="14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</w:tr>
    </w:tbl>
    <w:p>
      <w:pPr>
        <w:pStyle w:val="Heading1"/>
      </w:pPr>
      <w:r>
        <w:t xml:space="preserve">12. Tools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Excel / Google Sheets — Test Case design, RTM, Bug Log, Summary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DevTools — inspecting field constraints, console errors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Snipping Tool / ShareX — capturing bug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— hosting and presenting the complete QA portfolio</w:t>
      </w:r>
    </w:p>
    <w:p>
      <w:pPr>
        <w:pStyle w:val="Heading1"/>
      </w:pPr>
      <w:r>
        <w:t xml:space="preserve">13. Risks &amp; Mitigation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260"/>
      </w:tblGrid>
      <w:tr>
        <w:trPr>
          <w:tblHeader/>
        </w:trPr>
        <w:tc>
          <w:tcPr>
            <w:tcW w:type="dxa" w:w="2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demo data resets daily</w:t>
            </w:r>
          </w:p>
        </w:tc>
        <w:tc>
          <w:tcPr>
            <w:tcW w:type="dxa" w:w="2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Loss of created test data / re-execution needed</w:t>
            </w:r>
          </w:p>
        </w:tc>
        <w:tc>
          <w:tcPr>
            <w:tcW w:type="dxa" w:w="32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each test cycle within a single session; capture evidence immediately</w:t>
            </w:r>
          </w:p>
        </w:tc>
      </w:tr>
      <w:tr>
        <w:tc>
          <w:tcPr>
            <w:tcW w:type="dxa" w:w="2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access to source code or DB</w:t>
            </w:r>
          </w:p>
        </w:tc>
        <w:tc>
          <w:tcPr>
            <w:tcW w:type="dxa" w:w="2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verify backend validation directly</w:t>
            </w:r>
          </w:p>
        </w:tc>
        <w:tc>
          <w:tcPr>
            <w:tcW w:type="dxa" w:w="32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Rely on UI/black-box verification only; note as a testing limitation</w:t>
            </w:r>
          </w:p>
        </w:tc>
      </w:tr>
      <w:tr>
        <w:tc>
          <w:tcPr>
            <w:tcW w:type="dxa" w:w="2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formal BRD available</w:t>
            </w:r>
          </w:p>
        </w:tc>
        <w:tc>
          <w:tcPr>
            <w:tcW w:type="dxa" w:w="2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Ambiguity in expected behavior</w:t>
            </w:r>
          </w:p>
        </w:tc>
        <w:tc>
          <w:tcPr>
            <w:tcW w:type="dxa" w:w="32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discovered behavior as the baseline requirement; flag assumptions clearly</w:t>
            </w:r>
          </w:p>
        </w:tc>
      </w:tr>
      <w:tr>
        <w:tc>
          <w:tcPr>
            <w:tcW w:type="dxa" w:w="2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public demo (multi-user)</w:t>
            </w:r>
          </w:p>
        </w:tc>
        <w:tc>
          <w:tcPr>
            <w:tcW w:type="dxa" w:w="2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 users' data may interfere with test data</w:t>
            </w:r>
          </w:p>
        </w:tc>
        <w:tc>
          <w:tcPr>
            <w:tcW w:type="dxa" w:w="32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clearly identifiable test data naming (e.g., "QATest_Patient1")</w:t>
            </w:r>
          </w:p>
        </w:tc>
      </w:tr>
    </w:tbl>
    <w:p>
      <w:pPr>
        <w:pStyle w:val="Heading1"/>
      </w:pPr>
      <w:r>
        <w:t xml:space="preserve">14. Assumptions &amp; Dependencies</w:t>
      </w:r>
    </w:p>
    <w:p>
      <w:pPr>
        <w:pStyle w:val="Heading2"/>
      </w:pPr>
      <w:r>
        <w:t xml:space="preserve">14.1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public demo's "Receptionist" role permissions accurately reflect real-world front-desk registration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 behavior observed during exploration represents the intended/expected behavior, in the absence of a formal BRD.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and OS combination (Chrome on Windows 11) is representative of the primary target environment.</w:t>
      </w:r>
    </w:p>
    <w:p>
      <w:pPr>
        <w:pStyle w:val="Heading2"/>
      </w:pPr>
      <w:r>
        <w:t xml:space="preserve">14.2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Availability and uptime of the public OpenEMR demo environment (third-party hosted, outside our control).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data reset schedule (08:00 UTC) governing how test cycles must be planned.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dependency on internal development team, since this is an independent exploratory testing project on an open-source application.</w:t>
      </w:r>
    </w:p>
    <w:p>
      <w:pPr>
        <w:pStyle w:val="Heading1"/>
      </w:pPr>
      <w:r>
        <w:t xml:space="preserve">15. Deliverables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Requirement Notes (derived from application exploration)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Plan (this document)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Scenarios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Cases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Requirement Traceability Matrix (RTM)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Bug/Defect Reports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Summary Report</w:t>
      </w:r>
    </w:p>
    <w:p>
      <w:pPr>
        <w:pStyle w:val="Heading1"/>
      </w:pPr>
      <w:r>
        <w:t xml:space="preserve">16. Schedule (Self-Paced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00"/>
        <w:gridCol w:w="2660"/>
      </w:tblGrid>
      <w:tr>
        <w:trPr>
          <w:tblHeader/>
        </w:trPr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3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2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Duration</w:t>
            </w:r>
          </w:p>
        </w:tc>
      </w:tr>
      <w:tr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53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Requirement analysis / exploration</w:t>
            </w:r>
          </w:p>
        </w:tc>
        <w:tc>
          <w:tcPr>
            <w:tcW w:type="dxa" w:w="2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1</w:t>
            </w:r>
          </w:p>
        </w:tc>
      </w:tr>
      <w:tr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53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Plan (this document)</w:t>
            </w:r>
          </w:p>
        </w:tc>
        <w:tc>
          <w:tcPr>
            <w:tcW w:type="dxa" w:w="2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1</w:t>
            </w:r>
          </w:p>
        </w:tc>
      </w:tr>
      <w:tr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53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scenario &amp; test case design + RTM</w:t>
            </w:r>
          </w:p>
        </w:tc>
        <w:tc>
          <w:tcPr>
            <w:tcW w:type="dxa" w:w="2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2</w:t>
            </w:r>
          </w:p>
        </w:tc>
      </w:tr>
      <w:tr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</w:t>
            </w:r>
          </w:p>
        </w:tc>
        <w:tc>
          <w:tcPr>
            <w:tcW w:type="dxa" w:w="53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execution — Cycle 1</w:t>
            </w:r>
          </w:p>
        </w:tc>
        <w:tc>
          <w:tcPr>
            <w:tcW w:type="dxa" w:w="2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3</w:t>
            </w:r>
          </w:p>
        </w:tc>
      </w:tr>
      <w:tr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</w:t>
            </w:r>
          </w:p>
        </w:tc>
        <w:tc>
          <w:tcPr>
            <w:tcW w:type="dxa" w:w="53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Defect logging &amp; reporting</w:t>
            </w:r>
          </w:p>
        </w:tc>
        <w:tc>
          <w:tcPr>
            <w:tcW w:type="dxa" w:w="2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3</w:t>
            </w:r>
          </w:p>
        </w:tc>
      </w:tr>
      <w:tr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6</w:t>
            </w:r>
          </w:p>
        </w:tc>
        <w:tc>
          <w:tcPr>
            <w:tcW w:type="dxa" w:w="53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Retesting / regression — Cycle 2</w:t>
            </w:r>
          </w:p>
        </w:tc>
        <w:tc>
          <w:tcPr>
            <w:tcW w:type="dxa" w:w="2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4</w:t>
            </w:r>
          </w:p>
        </w:tc>
      </w:tr>
      <w:tr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7</w:t>
            </w:r>
          </w:p>
        </w:tc>
        <w:tc>
          <w:tcPr>
            <w:tcW w:type="dxa" w:w="53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Summary Report &amp; sign-off</w:t>
            </w:r>
          </w:p>
        </w:tc>
        <w:tc>
          <w:tcPr>
            <w:tcW w:type="dxa" w:w="26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4</w:t>
            </w:r>
          </w:p>
        </w:tc>
      </w:tr>
    </w:tbl>
    <w:p>
      <w:pPr>
        <w:pStyle w:val="Heading1"/>
      </w:pPr>
      <w:r>
        <w:t xml:space="preserve">17. Cost / Effort Estimation</w:t>
      </w:r>
    </w:p>
    <w:p>
      <w:pPr>
        <w:spacing w:after="160"/>
      </w:pPr>
      <w:r>
        <w:t xml:space="preserve">For a real client engagement, effort and indicative cost for this scope of testing (one module, manual black-box testing, India-based freelance/contract QA rate) would be estimated as follows. Rates are illustrative and would be adjusted per actual contract/market rate at the time of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900"/>
        <w:gridCol w:w="1700"/>
        <w:gridCol w:w="2000"/>
      </w:tblGrid>
      <w:tr>
        <w:trPr>
          <w:tblHeader/>
        </w:trPr>
        <w:tc>
          <w:tcPr>
            <w:tcW w:type="dxa" w:w="37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1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Estimated Effort (hrs)</w:t>
            </w:r>
          </w:p>
        </w:tc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Rate (₹/hr)</w:t>
            </w:r>
          </w:p>
        </w:tc>
        <w:tc>
          <w:tcPr>
            <w:tcW w:type="dxa" w:w="2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Estimated Cost (₹)</w:t>
            </w:r>
          </w:p>
        </w:tc>
      </w:tr>
      <w:tr>
        <w:tc>
          <w:tcPr>
            <w:tcW w:type="dxa" w:w="37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Requirement analysis / exploration</w:t>
            </w:r>
          </w:p>
        </w:tc>
        <w:tc>
          <w:tcPr>
            <w:tcW w:type="dxa" w:w="1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</w:t>
            </w:r>
          </w:p>
        </w:tc>
        <w:tc>
          <w:tcPr>
            <w:tcW w:type="dxa" w:w="2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2,400</w:t>
            </w:r>
          </w:p>
        </w:tc>
      </w:tr>
      <w:tr>
        <w:tc>
          <w:tcPr>
            <w:tcW w:type="dxa" w:w="37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Plan preparation</w:t>
            </w:r>
          </w:p>
        </w:tc>
        <w:tc>
          <w:tcPr>
            <w:tcW w:type="dxa" w:w="1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</w:t>
            </w:r>
          </w:p>
        </w:tc>
        <w:tc>
          <w:tcPr>
            <w:tcW w:type="dxa" w:w="2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1,800</w:t>
            </w:r>
          </w:p>
        </w:tc>
      </w:tr>
      <w:tr>
        <w:tc>
          <w:tcPr>
            <w:tcW w:type="dxa" w:w="37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scenario &amp; test case design + RTM</w:t>
            </w:r>
          </w:p>
        </w:tc>
        <w:tc>
          <w:tcPr>
            <w:tcW w:type="dxa" w:w="1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</w:t>
            </w:r>
          </w:p>
        </w:tc>
        <w:tc>
          <w:tcPr>
            <w:tcW w:type="dxa" w:w="2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3,600</w:t>
            </w:r>
          </w:p>
        </w:tc>
      </w:tr>
      <w:tr>
        <w:tc>
          <w:tcPr>
            <w:tcW w:type="dxa" w:w="37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execution — Cycle 1</w:t>
            </w:r>
          </w:p>
        </w:tc>
        <w:tc>
          <w:tcPr>
            <w:tcW w:type="dxa" w:w="1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</w:t>
            </w:r>
          </w:p>
        </w:tc>
        <w:tc>
          <w:tcPr>
            <w:tcW w:type="dxa" w:w="2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3,000</w:t>
            </w:r>
          </w:p>
        </w:tc>
      </w:tr>
      <w:tr>
        <w:tc>
          <w:tcPr>
            <w:tcW w:type="dxa" w:w="37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Defect logging &amp; reporting</w:t>
            </w:r>
          </w:p>
        </w:tc>
        <w:tc>
          <w:tcPr>
            <w:tcW w:type="dxa" w:w="1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</w:t>
            </w:r>
          </w:p>
        </w:tc>
        <w:tc>
          <w:tcPr>
            <w:tcW w:type="dxa" w:w="2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1,800</w:t>
            </w:r>
          </w:p>
        </w:tc>
      </w:tr>
      <w:tr>
        <w:tc>
          <w:tcPr>
            <w:tcW w:type="dxa" w:w="37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Retesting / regression — Cycle 2</w:t>
            </w:r>
          </w:p>
        </w:tc>
        <w:tc>
          <w:tcPr>
            <w:tcW w:type="dxa" w:w="1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</w:t>
            </w:r>
          </w:p>
        </w:tc>
        <w:tc>
          <w:tcPr>
            <w:tcW w:type="dxa" w:w="2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2,400</w:t>
            </w:r>
          </w:p>
        </w:tc>
      </w:tr>
      <w:tr>
        <w:tc>
          <w:tcPr>
            <w:tcW w:type="dxa" w:w="37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Summary Report &amp; sign-off</w:t>
            </w:r>
          </w:p>
        </w:tc>
        <w:tc>
          <w:tcPr>
            <w:tcW w:type="dxa" w:w="1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</w:t>
            </w:r>
          </w:p>
        </w:tc>
        <w:tc>
          <w:tcPr>
            <w:tcW w:type="dxa" w:w="2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1,200</w:t>
            </w:r>
          </w:p>
        </w:tc>
      </w:tr>
      <w:tr>
        <w:tc>
          <w:tcPr>
            <w:tcW w:type="dxa" w:w="37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1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</w:t>
            </w:r>
          </w:p>
        </w:tc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16,200</w:t>
            </w:r>
          </w:p>
        </w:tc>
      </w:tr>
    </w:tbl>
    <w:p>
      <w:pPr>
        <w:spacing w:after="160"/>
      </w:pPr>
      <w:r>
        <w:t xml:space="preserve">Note: This estimation is for illustrative/portfolio purposes to demonstrate cost-awareness as a QA skill. Actual client pricing depends on team rates, contract type (fixed-bid vs. time &amp; material), and SLA terms.</w:t>
      </w:r>
    </w:p>
    <w:p>
      <w:pPr>
        <w:pStyle w:val="Heading1"/>
      </w:pPr>
      <w:r>
        <w:t xml:space="preserve">18.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Anu Priya — Manual QA Engineer</w:t>
            </w:r>
          </w:p>
        </w:tc>
      </w:tr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Self-reviewed (solo portfolio project)</w:t>
            </w:r>
          </w:p>
        </w:tc>
      </w:tr>
      <w:tr>
        <w:tc>
          <w:tcPr>
            <w:tcW w:type="dxa" w:w="3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Approval Date</w:t>
            </w:r>
          </w:p>
        </w:tc>
        <w:tc>
          <w:tcPr>
            <w:tcW w:type="dxa" w:w="6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20-Jun-2026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2026-06-20T06:27:36.332Z</dcterms:created>
  <dcterms:modified xsi:type="dcterms:W3CDTF">2026-06-20T06:27:36.345Z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