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Quantum-Evolutionary Synergies: A Mobility Initiative for Collaborative Research in Quantum Computation and Evolutionary Algorithms</w:t>
      </w:r>
    </w:p>
    <w:p/>
    <w:p>
      <w:pPr>
        <w:pStyle w:val="Heading1"/>
      </w:pPr>
      <w:r>
        <w:t>1. Background and Motivation</w:t>
      </w:r>
    </w:p>
    <w:p>
      <w:pPr>
        <w:pStyle w:val="Heading2"/>
      </w:pPr>
      <w:r>
        <w:t>1.1 Quantum Computation</w:t>
      </w:r>
    </w:p>
    <w:p>
      <w:r>
        <w:t>Quantum computation leverages the principles of quantum mechanics—superposition, entanglement, and interference—to process information in fundamentally new ways. Quantum computers hold the promise of solving certain classes of problems exponentially faster than classical counterparts, including combinatorial optimization, cryptography, simulation of quantum systems, and machine learning tasks. With recent advances in quantum hardware from both academic and industrial laboratories, the field is rapidly transitioning from theoretical exploration to practical implementation on noisy intermediate-scale quantum (NISQ) devices.</w:t>
      </w:r>
    </w:p>
    <w:p>
      <w:pPr>
        <w:pStyle w:val="Heading2"/>
      </w:pPr>
      <w:r>
        <w:t>1.2 Evolutionary Algorithms</w:t>
      </w:r>
    </w:p>
    <w:p>
      <w:r>
        <w:t>Evolutionary Algorithms (EAs) are a family of population-based metaheuristic optimization techniques inspired by biological evolution. These include Genetic Algorithms, Evolutionary Strategies, Genetic Programming, and Differential Evolution, among others. EAs are widely used to solve complex optimization and search problems where traditional gradient-based methods fail, particularly in high-dimensional, multimodal, and dynamic landscapes. Their inherent parallelism and adaptability make them versatile tools for a broad range of scientific and engineering applications.</w:t>
      </w:r>
    </w:p>
    <w:p>
      <w:pPr>
        <w:pStyle w:val="Heading2"/>
      </w:pPr>
      <w:r>
        <w:t>1.3 Interdisciplinary Opportunity</w:t>
      </w:r>
    </w:p>
    <w:p>
      <w:r>
        <w:t>The intersection of Quantum Computation and Evolutionary Algorithms presents a compelling frontier for interdisciplinary research. Two primary directions of synergy exist:</w:t>
      </w:r>
    </w:p>
    <w:p>
      <w:pPr>
        <w:pStyle w:val="ListBullet"/>
      </w:pPr>
      <w:r>
        <w:t>Quantum-Inspired Evolutionary Algorithms (QIEAs): Classical evolutionary algorithms enhanced with quantum-mechanical concepts such as superposition and quantum gates to improve exploration and convergence properties.</w:t>
      </w:r>
    </w:p>
    <w:p>
      <w:pPr>
        <w:pStyle w:val="ListBullet"/>
      </w:pPr>
      <w:r>
        <w:t>Evolutionary Methods for Quantum Computing: The application of evolutionary techniques to address key challenges in quantum computing, including quantum circuit design and optimization, variational parameter tuning, quantum error correction code discovery, and quantum architecture search.</w:t>
      </w:r>
    </w:p>
    <w:p>
      <w:r>
        <w:t>Recent literature demonstrates growing interest in these hybrid approaches. Quantum-inspired algorithms have shown improved performance on benchmark optimization problems, while evolutionary methods have been successfully applied to optimize parameterized quantum circuits in variational quantum eigensolvers (VQE) and quantum approximate optimization algorithms (QAOA). The convergence of these two fields offers substantial potential for advancing both domains through collaborative investigation.</w:t>
      </w:r>
    </w:p>
    <w:p>
      <w:pPr>
        <w:pStyle w:val="Heading2"/>
      </w:pPr>
      <w:r>
        <w:t>1.4 Rationale for Collaboration</w:t>
      </w:r>
    </w:p>
    <w:p>
      <w:r>
        <w:t>Establishing a formal partnership between research groups specializing in Quantum Computation and Evolutionary Algorithms enables the exchange of complementary expertise that neither group possesses independently. This mobility initiative will facilitate the transfer of theoretical knowledge, computational tools, and methodological approaches between the two communities, thereby laying the foundation for sustained, high-impact collaborative research.</w:t>
      </w:r>
    </w:p>
    <w:p>
      <w:pPr>
        <w:pStyle w:val="Heading1"/>
      </w:pPr>
      <w:r>
        <w:t>2. Objectives</w:t>
      </w:r>
    </w:p>
    <w:p>
      <w:r>
        <w:t>The primary objectives of this mobility initiative are:</w:t>
      </w:r>
    </w:p>
    <w:p>
      <w:r>
        <w:t>1. Establish a Collaborative Framework: Create a structured partnership between the two research groups, including formal agreements on knowledge sharing, joint supervision of students, and coordinated research planning.</w:t>
      </w:r>
    </w:p>
    <w:p>
      <w:r>
        <w:t>2. Exchange Knowledge and Expertise: Facilitate bidirectional knowledge transfer on quantum optimization methods (variational algorithms, quantum annealing, gate-based optimization) and evolutionary computation techniques (multi-objective optimization, adaptive operator selection, fitness landscape analysis).</w:t>
      </w:r>
    </w:p>
    <w:p>
      <w:r>
        <w:t>3. Investigate Feasibility of Quantum-Inspired Evolutionary Algorithms: Conduct preliminary studies to assess the potential of integrating quantum-mechanical principles into evolutionary optimization frameworks, identifying promising algorithmic variants and benchmark problems.</w:t>
      </w:r>
    </w:p>
    <w:p>
      <w:r>
        <w:t>4. Explore Evolutionary Methods for Quantum Circuit Optimization: Evaluate the applicability of evolutionary strategies for quantum circuit design, parameter optimization in variational quantum algorithms, and quantum machine learning model architecture search.</w:t>
      </w:r>
    </w:p>
    <w:p>
      <w:r>
        <w:t>5. Identify Future Research Directions and Funding Opportunities: Map the landscape of open problems at the intersection of quantum computing and evolutionary computation, and identify appropriate funding mechanisms for larger-scale collaborative projects.</w:t>
      </w:r>
    </w:p>
    <w:p>
      <w:pPr>
        <w:pStyle w:val="Heading1"/>
      </w:pPr>
      <w:r>
        <w:t>3. Research Activities</w:t>
      </w:r>
    </w:p>
    <w:p>
      <w:pPr>
        <w:pStyle w:val="Heading2"/>
      </w:pPr>
      <w:r>
        <w:t>3.1 Researcher Mobility and Exchanges</w:t>
      </w:r>
    </w:p>
    <w:p>
      <w:pPr>
        <w:pStyle w:val="ListBullet"/>
      </w:pPr>
      <w:r>
        <w:t>Short-term research visits (2–4 weeks each) by senior researchers and postdoctoral fellows between the partner institutions.</w:t>
      </w:r>
    </w:p>
    <w:p>
      <w:pPr>
        <w:pStyle w:val="ListBullet"/>
      </w:pPr>
      <w:r>
        <w:t>Extended visits (4–8 weeks) by doctoral students to gain hands-on experience in the complementary research domain.</w:t>
      </w:r>
    </w:p>
    <w:p>
      <w:pPr>
        <w:pStyle w:val="ListBullet"/>
      </w:pPr>
      <w:r>
        <w:t>At least four mobility exchanges during the project period, with reciprocal visits in both directions.</w:t>
      </w:r>
    </w:p>
    <w:p>
      <w:pPr>
        <w:pStyle w:val="Heading2"/>
      </w:pPr>
      <w:r>
        <w:t>3.2 Joint Seminars and Workshops</w:t>
      </w:r>
    </w:p>
    <w:p>
      <w:pPr>
        <w:pStyle w:val="ListBullet"/>
      </w:pPr>
      <w:r>
        <w:t>Organization of two joint workshops (one at each partner institution) bringing together members of both research groups for intensive technical discussions.</w:t>
      </w:r>
    </w:p>
    <w:p>
      <w:pPr>
        <w:pStyle w:val="ListBullet"/>
      </w:pPr>
      <w:r>
        <w:t>Regular online seminars (monthly) to maintain momentum and discuss ongoing work.</w:t>
      </w:r>
    </w:p>
    <w:p>
      <w:pPr>
        <w:pStyle w:val="ListBullet"/>
      </w:pPr>
      <w:r>
        <w:t>Invited talks by external experts at the intersection of quantum computing and evolutionary algorithms.</w:t>
      </w:r>
    </w:p>
    <w:p>
      <w:pPr>
        <w:pStyle w:val="Heading2"/>
      </w:pPr>
      <w:r>
        <w:t>3.3 Knowledge and Resource Sharing</w:t>
      </w:r>
    </w:p>
    <w:p>
      <w:pPr>
        <w:pStyle w:val="ListBullet"/>
      </w:pPr>
      <w:r>
        <w:t>Exchange of software tools, including evolutionary algorithm libraries and quantum computing simulators/frameworks.</w:t>
      </w:r>
    </w:p>
    <w:p>
      <w:pPr>
        <w:pStyle w:val="ListBullet"/>
      </w:pPr>
      <w:r>
        <w:t>Sharing of benchmark datasets and problem instances for comparative studies.</w:t>
      </w:r>
    </w:p>
    <w:p>
      <w:pPr>
        <w:pStyle w:val="ListBullet"/>
      </w:pPr>
      <w:r>
        <w:t>Joint access to quantum computing resources (cloud-based quantum processors and simulators).</w:t>
      </w:r>
    </w:p>
    <w:p>
      <w:pPr>
        <w:pStyle w:val="Heading2"/>
      </w:pPr>
      <w:r>
        <w:t>3.4 Preliminary Feasibility Studies</w:t>
      </w:r>
    </w:p>
    <w:p>
      <w:pPr>
        <w:pStyle w:val="ListBullet"/>
      </w:pPr>
      <w:r>
        <w:t>Implementation and benchmarking of selected quantum-inspired evolutionary algorithms on standard optimization test suites.</w:t>
      </w:r>
    </w:p>
    <w:p>
      <w:pPr>
        <w:pStyle w:val="ListBullet"/>
      </w:pPr>
      <w:r>
        <w:t>Proof-of-concept experiments applying evolutionary optimization to small-scale quantum circuits.</w:t>
      </w:r>
    </w:p>
    <w:p>
      <w:pPr>
        <w:pStyle w:val="ListBullet"/>
      </w:pPr>
      <w:r>
        <w:t>Literature survey and position paper on the state of the art at the intersection of both fields.</w:t>
      </w:r>
    </w:p>
    <w:p>
      <w:pPr>
        <w:pStyle w:val="Heading1"/>
      </w:pPr>
      <w:r>
        <w:t>4. Expected Outcomes</w:t>
      </w:r>
    </w:p>
    <w:p>
      <w:r>
        <w:t>The following outcomes are anticipated upon completion of the mobility project:</w:t>
      </w:r>
    </w:p>
    <w:p>
      <w:r>
        <w:t>1. Strengthened International Collaboration: A well-established research partnership with clear communication channels, shared research agenda, and mutual understanding of each group's capabilities.</w:t>
      </w:r>
    </w:p>
    <w:p>
      <w:r>
        <w:t>2. Joint Publications: At least 1–2 joint publications (conference papers or journal articles) reporting preliminary findings, survey results, or position papers on the integration of quantum computing and evolutionary algorithms.</w:t>
      </w:r>
    </w:p>
    <w:p>
      <w:r>
        <w:t>3. Technical Reports: Internal technical reports documenting feasibility assessments, benchmark results, and identified research gaps.</w:t>
      </w:r>
    </w:p>
    <w:p>
      <w:r>
        <w:t>4. Identification of Promising Research Problems: A curated list of open problems and research questions suitable for larger-scale collaborative investigation.</w:t>
      </w:r>
    </w:p>
    <w:p>
      <w:r>
        <w:t>5. Preparation of Larger Grant Proposals: At least one joint application submitted to national or international funding agencies for a full-scale collaborative research project.</w:t>
      </w:r>
    </w:p>
    <w:p>
      <w:r>
        <w:t>6. Training and Capacity Building: Enhanced research skills for participating students and early-career researchers through exposure to interdisciplinary methodologies, international collaboration practices, and cutting-edge research topics.</w:t>
      </w:r>
    </w:p>
    <w:p>
      <w:r>
        <w:t>7. Shared Expertise Development: Creation of tutorial materials, reading lists, and training modules accessible to both research groups for continued education and onboarding of new members.</w:t>
      </w:r>
    </w:p>
    <w:p>
      <w:pPr>
        <w:pStyle w:val="Heading1"/>
      </w:pPr>
      <w:r>
        <w:t>5. Work Plan and Timeline</w:t>
      </w:r>
    </w:p>
    <w:p>
      <w:r>
        <w:t>The project is structured over a 24-month period with the following milestones:</w:t>
      </w:r>
    </w:p>
    <w:p>
      <w:pPr>
        <w:pStyle w:val="Heading2"/>
      </w:pPr>
      <w:r>
        <w:t>Phase 1: Initiation and Planning (Months 1–6)</w:t>
      </w:r>
    </w:p>
    <w:tbl>
      <w:tblPr>
        <w:tblStyle w:val="TableGrid"/>
        <w:tblW w:type="auto" w:w="0"/>
        <w:tblLook w:firstColumn="1" w:firstRow="1" w:lastColumn="0" w:lastRow="0" w:noHBand="0" w:noVBand="1" w:val="04A0"/>
      </w:tblPr>
      <w:tblGrid>
        <w:gridCol w:w="4680"/>
        <w:gridCol w:w="4680"/>
      </w:tblGrid>
      <w:tr>
        <w:tc>
          <w:tcPr>
            <w:tcW w:type="dxa" w:w="4680"/>
          </w:tcPr>
          <w:p>
            <w:r>
              <w:t>Month</w:t>
            </w:r>
          </w:p>
        </w:tc>
        <w:tc>
          <w:tcPr>
            <w:tcW w:type="dxa" w:w="4680"/>
          </w:tcPr>
          <w:p>
            <w:r>
              <w:t>Activity</w:t>
            </w:r>
          </w:p>
        </w:tc>
      </w:tr>
      <w:tr>
        <w:tc>
          <w:tcPr>
            <w:tcW w:type="dxa" w:w="4680"/>
          </w:tcPr>
          <w:p>
            <w:r>
              <w:t>1–2</w:t>
            </w:r>
          </w:p>
        </w:tc>
        <w:tc>
          <w:tcPr>
            <w:tcW w:type="dxa" w:w="4680"/>
          </w:tcPr>
          <w:p>
            <w:r>
              <w:t>Kick-off meeting (virtual); define detailed work plan and communication protocols</w:t>
            </w:r>
          </w:p>
        </w:tc>
      </w:tr>
      <w:tr>
        <w:tc>
          <w:tcPr>
            <w:tcW w:type="dxa" w:w="4680"/>
          </w:tcPr>
          <w:p>
            <w:r>
              <w:t>3–4</w:t>
            </w:r>
          </w:p>
        </w:tc>
        <w:tc>
          <w:tcPr>
            <w:tcW w:type="dxa" w:w="4680"/>
          </w:tcPr>
          <w:p>
            <w:r>
              <w:t>First mobility visit: Senior researcher from Group A visits Group B (2 weeks)</w:t>
            </w:r>
          </w:p>
        </w:tc>
      </w:tr>
      <w:tr>
        <w:tc>
          <w:tcPr>
            <w:tcW w:type="dxa" w:w="4680"/>
          </w:tcPr>
          <w:p>
            <w:r>
              <w:t>5–6</w:t>
            </w:r>
          </w:p>
        </w:tc>
        <w:tc>
          <w:tcPr>
            <w:tcW w:type="dxa" w:w="4680"/>
          </w:tcPr>
          <w:p>
            <w:r>
              <w:t>Literature review and identification of candidate algorithms for feasibility studies</w:t>
            </w:r>
          </w:p>
        </w:tc>
      </w:tr>
    </w:tbl>
    <w:p/>
    <w:p>
      <w:pPr>
        <w:pStyle w:val="Heading2"/>
      </w:pPr>
      <w:r>
        <w:t>Phase 2: Active Collaboration (Months 7–18)</w:t>
      </w:r>
    </w:p>
    <w:tbl>
      <w:tblPr>
        <w:tblStyle w:val="TableGrid"/>
        <w:tblW w:type="auto" w:w="0"/>
        <w:tblLook w:firstColumn="1" w:firstRow="1" w:lastColumn="0" w:lastRow="0" w:noHBand="0" w:noVBand="1" w:val="04A0"/>
      </w:tblPr>
      <w:tblGrid>
        <w:gridCol w:w="4680"/>
        <w:gridCol w:w="4680"/>
      </w:tblGrid>
      <w:tr>
        <w:tc>
          <w:tcPr>
            <w:tcW w:type="dxa" w:w="4680"/>
          </w:tcPr>
          <w:p>
            <w:r>
              <w:t>Month</w:t>
            </w:r>
          </w:p>
        </w:tc>
        <w:tc>
          <w:tcPr>
            <w:tcW w:type="dxa" w:w="4680"/>
          </w:tcPr>
          <w:p>
            <w:r>
              <w:t>Activity</w:t>
            </w:r>
          </w:p>
        </w:tc>
      </w:tr>
      <w:tr>
        <w:tc>
          <w:tcPr>
            <w:tcW w:type="dxa" w:w="4680"/>
          </w:tcPr>
          <w:p>
            <w:r>
              <w:t>7–8</w:t>
            </w:r>
          </w:p>
        </w:tc>
        <w:tc>
          <w:tcPr>
            <w:tcW w:type="dxa" w:w="4680"/>
          </w:tcPr>
          <w:p>
            <w:r>
              <w:t>First joint workshop at Partner Institution A</w:t>
            </w:r>
          </w:p>
        </w:tc>
      </w:tr>
      <w:tr>
        <w:tc>
          <w:tcPr>
            <w:tcW w:type="dxa" w:w="4680"/>
          </w:tcPr>
          <w:p>
            <w:r>
              <w:t>9–10</w:t>
            </w:r>
          </w:p>
        </w:tc>
        <w:tc>
          <w:tcPr>
            <w:tcW w:type="dxa" w:w="4680"/>
          </w:tcPr>
          <w:p>
            <w:r>
              <w:t>Doctoral student exchange: Student from Group B visits Group A (6 weeks)</w:t>
            </w:r>
          </w:p>
        </w:tc>
      </w:tr>
      <w:tr>
        <w:tc>
          <w:tcPr>
            <w:tcW w:type="dxa" w:w="4680"/>
          </w:tcPr>
          <w:p>
            <w:r>
              <w:t>11–12</w:t>
            </w:r>
          </w:p>
        </w:tc>
        <w:tc>
          <w:tcPr>
            <w:tcW w:type="dxa" w:w="4680"/>
          </w:tcPr>
          <w:p>
            <w:r>
              <w:t>Preliminary feasibility experiments; mid-project review meeting (virtual)</w:t>
            </w:r>
          </w:p>
        </w:tc>
      </w:tr>
      <w:tr>
        <w:tc>
          <w:tcPr>
            <w:tcW w:type="dxa" w:w="4680"/>
          </w:tcPr>
          <w:p>
            <w:r>
              <w:t>13–14</w:t>
            </w:r>
          </w:p>
        </w:tc>
        <w:tc>
          <w:tcPr>
            <w:tcW w:type="dxa" w:w="4680"/>
          </w:tcPr>
          <w:p>
            <w:r>
              <w:t>Second mobility visit: Senior researcher from Group B visits Group A (2 weeks)</w:t>
            </w:r>
          </w:p>
        </w:tc>
      </w:tr>
      <w:tr>
        <w:tc>
          <w:tcPr>
            <w:tcW w:type="dxa" w:w="4680"/>
          </w:tcPr>
          <w:p>
            <w:r>
              <w:t>15–16</w:t>
            </w:r>
          </w:p>
        </w:tc>
        <w:tc>
          <w:tcPr>
            <w:tcW w:type="dxa" w:w="4680"/>
          </w:tcPr>
          <w:p>
            <w:r>
              <w:t>Second joint workshop at Partner Institution B</w:t>
            </w:r>
          </w:p>
        </w:tc>
      </w:tr>
      <w:tr>
        <w:tc>
          <w:tcPr>
            <w:tcW w:type="dxa" w:w="4680"/>
          </w:tcPr>
          <w:p>
            <w:r>
              <w:t>17–18</w:t>
            </w:r>
          </w:p>
        </w:tc>
        <w:tc>
          <w:tcPr>
            <w:tcW w:type="dxa" w:w="4680"/>
          </w:tcPr>
          <w:p>
            <w:r>
              <w:t>Doctoral student exchange: Student from Group A visits Group B (6 weeks)</w:t>
            </w:r>
          </w:p>
        </w:tc>
      </w:tr>
    </w:tbl>
    <w:p/>
    <w:p>
      <w:pPr>
        <w:pStyle w:val="Heading2"/>
      </w:pPr>
      <w:r>
        <w:t>Phase 3: Consolidation and Future Planning (Months 19–24)</w:t>
      </w:r>
    </w:p>
    <w:tbl>
      <w:tblPr>
        <w:tblStyle w:val="TableGrid"/>
        <w:tblW w:type="auto" w:w="0"/>
        <w:tblLook w:firstColumn="1" w:firstRow="1" w:lastColumn="0" w:lastRow="0" w:noHBand="0" w:noVBand="1" w:val="04A0"/>
      </w:tblPr>
      <w:tblGrid>
        <w:gridCol w:w="4680"/>
        <w:gridCol w:w="4680"/>
      </w:tblGrid>
      <w:tr>
        <w:tc>
          <w:tcPr>
            <w:tcW w:type="dxa" w:w="4680"/>
          </w:tcPr>
          <w:p>
            <w:r>
              <w:t>Month</w:t>
            </w:r>
          </w:p>
        </w:tc>
        <w:tc>
          <w:tcPr>
            <w:tcW w:type="dxa" w:w="4680"/>
          </w:tcPr>
          <w:p>
            <w:r>
              <w:t>Activity</w:t>
            </w:r>
          </w:p>
        </w:tc>
      </w:tr>
      <w:tr>
        <w:tc>
          <w:tcPr>
            <w:tcW w:type="dxa" w:w="4680"/>
          </w:tcPr>
          <w:p>
            <w:r>
              <w:t>19–20</w:t>
            </w:r>
          </w:p>
        </w:tc>
        <w:tc>
          <w:tcPr>
            <w:tcW w:type="dxa" w:w="4680"/>
          </w:tcPr>
          <w:p>
            <w:r>
              <w:t>Preparation of joint publications and technical reports</w:t>
            </w:r>
          </w:p>
        </w:tc>
      </w:tr>
      <w:tr>
        <w:tc>
          <w:tcPr>
            <w:tcW w:type="dxa" w:w="4680"/>
          </w:tcPr>
          <w:p>
            <w:r>
              <w:t>21–22</w:t>
            </w:r>
          </w:p>
        </w:tc>
        <w:tc>
          <w:tcPr>
            <w:tcW w:type="dxa" w:w="4680"/>
          </w:tcPr>
          <w:p>
            <w:r>
              <w:t>Drafting of larger collaborative grant proposal</w:t>
            </w:r>
          </w:p>
        </w:tc>
      </w:tr>
      <w:tr>
        <w:tc>
          <w:tcPr>
            <w:tcW w:type="dxa" w:w="4680"/>
          </w:tcPr>
          <w:p>
            <w:r>
              <w:t>23–24</w:t>
            </w:r>
          </w:p>
        </w:tc>
        <w:tc>
          <w:tcPr>
            <w:tcW w:type="dxa" w:w="4680"/>
          </w:tcPr>
          <w:p>
            <w:r>
              <w:t>Final project meeting; dissemination of results; strategic planning for continuation</w:t>
            </w:r>
          </w:p>
        </w:tc>
      </w:tr>
    </w:tbl>
    <w:p/>
    <w:p>
      <w:pPr>
        <w:pStyle w:val="ListBullet"/>
      </w:pPr>
      <w:r>
        <w:t>Continuous Activities (throughout the project):</w:t>
      </w:r>
    </w:p>
    <w:p>
      <w:pPr>
        <w:pStyle w:val="ListBullet"/>
      </w:pPr>
      <w:r>
        <w:t>Monthly online seminars</w:t>
      </w:r>
    </w:p>
    <w:p>
      <w:pPr>
        <w:pStyle w:val="ListBullet"/>
      </w:pPr>
      <w:r>
        <w:t>Regular communication and coordination</w:t>
      </w:r>
    </w:p>
    <w:p>
      <w:pPr>
        <w:pStyle w:val="ListBullet"/>
      </w:pPr>
      <w:r>
        <w:t>Sharing of resources and tools</w:t>
      </w:r>
    </w:p>
    <w:p>
      <w:pPr>
        <w:pStyle w:val="Heading1"/>
      </w:pPr>
      <w:r>
        <w:t>6. Impact</w:t>
      </w:r>
    </w:p>
    <w:p>
      <w:pPr>
        <w:pStyle w:val="Heading2"/>
      </w:pPr>
      <w:r>
        <w:t>6.1 Scientific Impact</w:t>
      </w:r>
    </w:p>
    <w:p>
      <w:r>
        <w:t>This mobility initiative will contribute to the advancement of knowledge at the intersection of quantum computing and evolutionary computation—a rapidly growing area with significant untapped potential. By bringing together complementary expertise, the collaboration will accelerate the identification of viable research directions that neither group could pursue independently. The preliminary results obtained during this project will inform the design of larger, more ambitious research programs.</w:t>
      </w:r>
    </w:p>
    <w:p>
      <w:pPr>
        <w:pStyle w:val="Heading2"/>
      </w:pPr>
      <w:r>
        <w:t>6.2 Capacity Building and Knowledge Transfer</w:t>
      </w:r>
    </w:p>
    <w:p>
      <w:r>
        <w:t>The project will directly enhance the research capabilities of both groups through:</w:t>
      </w:r>
    </w:p>
    <w:p>
      <w:pPr>
        <w:pStyle w:val="ListBullet"/>
      </w:pPr>
      <w:r>
        <w:t>Cross-training of researchers in quantum computing and evolutionary algorithm methodologies.</w:t>
      </w:r>
    </w:p>
    <w:p>
      <w:pPr>
        <w:pStyle w:val="ListBullet"/>
      </w:pPr>
      <w:r>
        <w:t>Development of interdisciplinary skills among doctoral students and early-career researchers.</w:t>
      </w:r>
    </w:p>
    <w:p>
      <w:pPr>
        <w:pStyle w:val="ListBullet"/>
      </w:pPr>
      <w:r>
        <w:t>Creation of lasting professional networks that extend beyond the project duration.</w:t>
      </w:r>
    </w:p>
    <w:p>
      <w:pPr>
        <w:pStyle w:val="Heading2"/>
      </w:pPr>
      <w:r>
        <w:t>6.3 Societal Impact</w:t>
      </w:r>
    </w:p>
    <w:p>
      <w:r>
        <w:t>In the longer term, the integration of quantum computing and evolutionary algorithms has the potential to yield transformative advances in optimization, logistics, drug discovery, materials science, and artificial intelligence. By establishing the collaborative foundation now, this mobility project positions both groups to contribute meaningfully to these advances as quantum technologies mature.</w:t>
      </w:r>
    </w:p>
    <w:p>
      <w:pPr>
        <w:pStyle w:val="Heading2"/>
      </w:pPr>
      <w:r>
        <w:t>6.4 Sustainability</w:t>
      </w:r>
    </w:p>
    <w:p>
      <w:r>
        <w:t>The partnership established through this mobility grant is designed to be self-sustaining beyond the funding period. The joint grant proposals developed during the project, combined with the personal relationships and shared infrastructure built during the collaboration, will ensure continuity and growth of the research partnership.</w:t>
      </w:r>
    </w:p>
    <w:p>
      <w:pPr>
        <w:pStyle w:val="Heading1"/>
      </w:pPr>
      <w:r>
        <w:t>References</w:t>
      </w:r>
    </w:p>
    <w:p>
      <w:r>
        <w:t>[1] Nielsen, M.A., &amp; Chuang, I.L. (2010). Quantum Computation and Quantum Information. Cambridge University Press.</w:t>
      </w:r>
    </w:p>
    <w:p>
      <w:r>
        <w:t>[2] Eiben, A.E., &amp; Smith, J.E. (2015). Introduction to Evolutionary Computing. Springer.</w:t>
      </w:r>
    </w:p>
    <w:p>
      <w:r>
        <w:t>[3] Zhang, G. (2011). Quantum-inspired evolutionary algorithms: a survey and empirical study. Journal of Heuristics, 17(3), 303–351.</w:t>
      </w:r>
    </w:p>
    <w:p>
      <w:r>
        <w:t>[4] Preskill, J. (2018). Quantum Computing in the NISQ era and beyond. Quantum, 2, 79.</w:t>
      </w:r>
    </w:p>
    <w:p>
      <w:r>
        <w:t>[5] Cerezo, M., et al. (2021). Variational quantum algorithms. Nature Reviews Physics, 3(9), 625–644.</w:t>
      </w:r>
    </w:p>
    <w:p>
      <w:r>
        <w:t>[6] Lu, Z., et al. (2022). Quantum-inspired evolutionary algorithms for optimization: a survey. Soft Computing, 26, 9467–9490.</w:t>
      </w:r>
    </w:p>
    <w:p/>
    <w:p>
      <w:pPr>
        <w:jc w:val="center"/>
      </w:pPr>
      <w:r>
        <w:rPr>
          <w:i/>
        </w:rPr>
        <w:t>This research proposal has been prepared for submission as a mobility grant application to initiate collaborative research between partner institutions specializing in Quantum Computation and Evolutionary Algorithms.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