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 Proposed Methodology</w:t>
      </w:r>
    </w:p>
    <w:p>
      <w:pPr/>
      <w:r>
        <w:rPr>
          <w:rFonts w:ascii="Times New Roman" w:hAnsi="Times New Roman"/>
          <w:b w:val="0"/>
          <w:i w:val="0"/>
          <w:sz w:val="22"/>
        </w:rPr>
        <w:t>The proposed Multi-Level Optimization (MLO) architecture is organized into three vertically integrated levels. Each level receives signals from lower levels (actuation feedback) and sends commands downward, while simultaneously sharing information horizontally with adjacent levels through a shared context representation.</w:t>
      </w:r>
    </w:p>
    <w:p>
      <w:pPr>
        <w:pStyle w:val="Heading2"/>
      </w:pPr>
      <w:r>
        <w:t>9(A) High-Level Optimization: Perception and Intention Recognition</w:t>
      </w:r>
    </w:p>
    <w:p>
      <w:pPr>
        <w:pStyle w:val="Heading3"/>
      </w:pPr>
      <w:r>
        <w:t>Sensing Architecture</w:t>
      </w:r>
    </w:p>
    <w:p>
      <w:pPr/>
      <w:r>
        <w:rPr>
          <w:rFonts w:ascii="Times New Roman" w:hAnsi="Times New Roman"/>
          <w:b w:val="0"/>
          <w:i w:val="0"/>
          <w:sz w:val="22"/>
        </w:rPr>
        <w:t>The sensing subsystem comprises six degree-of-freedom IMUs (MEMS) placed at shank, thigh, and trunk segments (6 units per leg), capturing 3-axis linear accelerations a(t) ∈ ℝ³ and angular velocities ω(t) ∈ ℝ³ at 200 Hz, alongside plantar pressure insoles with 16 sensing elements per foot measuring spatiotemporal plantar pressure P(x,y,t) ∈ ℝ¹⁶ at 100 Hz. The fused sensor vector is:</w:t>
      </w:r>
    </w:p>
    <w:p>
      <w:pPr>
        <w:spacing w:before="80" w:after="80"/>
        <w:ind w:left="720"/>
      </w:pPr>
      <w:r>
        <w:rPr>
          <w:rFonts w:ascii="Cambria Math" w:hAnsi="Cambria Math"/>
          <w:i/>
          <w:sz w:val="22"/>
        </w:rPr>
        <w:t>x(t) = [a_L(t), ω_L(t), a_R(t), ω_R(t), a_T(t), ω_T(t), P_L(t), P_R(t)]ᵀ ∈ ℝᵈ, where d = 6×6 + 2×16 = 68.</w:t>
      </w:r>
    </w:p>
    <w:p>
      <w:pPr>
        <w:pStyle w:val="Heading3"/>
      </w:pPr>
      <w:r>
        <w:t>Fuzzy-CNN-GRU Architecture</w:t>
      </w:r>
    </w:p>
    <w:p>
      <w:pPr/>
      <w:r>
        <w:rPr>
          <w:rFonts w:ascii="Times New Roman" w:hAnsi="Times New Roman"/>
          <w:b w:val="0"/>
          <w:i w:val="0"/>
          <w:sz w:val="22"/>
        </w:rPr>
        <w:t>The core perception model processes the multivariate time-series x(t) in a sliding window of W = 100 timesteps. A bank of K fuzzy kernel functions transforms raw data:</w:t>
      </w:r>
    </w:p>
    <w:p>
      <w:pPr>
        <w:spacing w:before="80" w:after="80"/>
        <w:ind w:left="720"/>
      </w:pPr>
      <w:r>
        <w:rPr>
          <w:rFonts w:ascii="Cambria Math" w:hAnsi="Cambria Math"/>
          <w:i/>
          <w:sz w:val="22"/>
        </w:rPr>
        <w:t>φ_k(x(t)) = exp(−‖x(t) − c_k‖² / 2σ_k²),  k = 1,…,K.</w:t>
      </w:r>
    </w:p>
    <w:p>
      <w:pPr/>
      <w:r>
        <w:rPr>
          <w:rFonts w:ascii="Times New Roman" w:hAnsi="Times New Roman"/>
          <w:b w:val="0"/>
          <w:i w:val="0"/>
          <w:sz w:val="22"/>
        </w:rPr>
        <w:t>The fuzzy feature vector φ(t) = [φ₁(t),…,φ_K(t)]ᵀ is processed through N_c 1D convolutional layers extracting local temporal patterns, followed by two stacked GRU layers capturing long-range temporal dependencies with standard reset, update, and candidate gate equations. A softmax classification head produces posterior probabilities over M = 8 gait phases:</w:t>
      </w:r>
    </w:p>
    <w:p>
      <w:pPr>
        <w:spacing w:before="80" w:after="80"/>
        <w:ind w:left="720"/>
      </w:pPr>
      <w:r>
        <w:rPr>
          <w:rFonts w:ascii="Cambria Math" w:hAnsi="Cambria Math"/>
          <w:i/>
          <w:sz w:val="22"/>
        </w:rPr>
        <w:t>p(m|t) = exp(w_mᵀ h_T + b_m) / Σ_{j=1}^{M} exp(w_jᵀ h_T + b_j).</w:t>
      </w:r>
    </w:p>
    <w:p>
      <w:pPr>
        <w:pStyle w:val="Heading3"/>
      </w:pPr>
      <w:r>
        <w:t>Evolutionary Neural Architecture Search (Evo-NAS)</w:t>
      </w:r>
    </w:p>
    <w:p>
      <w:pPr/>
      <w:r>
        <w:rPr>
          <w:rFonts w:ascii="Times New Roman" w:hAnsi="Times New Roman"/>
          <w:b w:val="0"/>
          <w:i w:val="0"/>
          <w:sz w:val="22"/>
        </w:rPr>
        <w:t>Rather than manual design, a multi-objective evolutionary NAS problem searches over architecture parameters (fuzzy kernels K, CNN layers, filter sizes, GRU units, dropout rates, window length). Each candidate α ∈ A is encoded as a chromosome and evaluated via bi-objective optimization:</w:t>
      </w:r>
    </w:p>
    <w:p>
      <w:pPr>
        <w:spacing w:before="80" w:after="80"/>
        <w:ind w:left="720"/>
      </w:pPr>
      <w:r>
        <w:rPr>
          <w:rFonts w:ascii="Cambria Math" w:hAnsi="Cambria Math"/>
          <w:i/>
          <w:sz w:val="22"/>
        </w:rPr>
        <w:t>min_{α∈A} F(α) = [L_val(α), C(α)],</w:t>
      </w:r>
    </w:p>
    <w:p>
      <w:pPr/>
      <w:r>
        <w:rPr>
          <w:rFonts w:ascii="Times New Roman" w:hAnsi="Times New Roman"/>
          <w:b w:val="0"/>
          <w:i w:val="0"/>
          <w:sz w:val="22"/>
        </w:rPr>
        <w:t>where L_val is the validation cross-entropy loss and C(α) is computational cost (FLOPs). A Pareto-optimal set is obtained using NSGA-II selection. Continuous hyperparameters λ = (η, β₁, β₂, λ_wd, γ_lr) are refined via PSO with velocity and position updates:</w:t>
      </w:r>
    </w:p>
    <w:p>
      <w:pPr>
        <w:spacing w:before="80" w:after="80"/>
        <w:ind w:left="720"/>
      </w:pPr>
      <w:r>
        <w:rPr>
          <w:rFonts w:ascii="Cambria Math" w:hAnsi="Cambria Math"/>
          <w:i/>
          <w:sz w:val="22"/>
        </w:rPr>
        <w:t>v_i^(t+1) = ω v_i^(t) + c₁ r₁ (p_i − λ_i^(t)) + c₂ r₂ (g − λ_i^(t)),   λ_i^(t+1) = λ_i^(t) + v_i^(t+1).</w:t>
      </w:r>
    </w:p>
    <w:p>
      <w:pPr>
        <w:pStyle w:val="Heading3"/>
      </w:pPr>
      <w:r>
        <w:t>Intra-Subject Variability Modeling</w:t>
      </w:r>
    </w:p>
    <w:p>
      <w:pPr/>
      <w:r>
        <w:rPr>
          <w:rFonts w:ascii="Times New Roman" w:hAnsi="Times New Roman"/>
          <w:b w:val="0"/>
          <w:i w:val="0"/>
          <w:sz w:val="22"/>
        </w:rPr>
        <w:t>Gait cycles are clustered into C variability modes using a Gaussian Mixture Model:</w:t>
      </w:r>
    </w:p>
    <w:p>
      <w:pPr>
        <w:spacing w:before="80" w:after="80"/>
        <w:ind w:left="720"/>
      </w:pPr>
      <w:r>
        <w:rPr>
          <w:rFonts w:ascii="Cambria Math" w:hAnsi="Cambria Math"/>
          <w:i/>
          <w:sz w:val="22"/>
        </w:rPr>
        <w:t>p(x) = Σ_{c=1}^{C} π_c  Ν(x; μ_c, Σ_c).</w:t>
      </w:r>
    </w:p>
    <w:p>
      <w:pPr/>
      <w:r>
        <w:rPr>
          <w:rFonts w:ascii="Times New Roman" w:hAnsi="Times New Roman"/>
          <w:b w:val="0"/>
          <w:i w:val="0"/>
          <w:sz w:val="22"/>
        </w:rPr>
        <w:t>Parameters are estimated via EM on a per-subject basis, and online Bayesian updating propagates evidence from new gait cycles:</w:t>
      </w:r>
    </w:p>
    <w:p>
      <w:pPr>
        <w:spacing w:before="80" w:after="80"/>
        <w:ind w:left="720"/>
      </w:pPr>
      <w:r>
        <w:rPr>
          <w:rFonts w:ascii="Cambria Math" w:hAnsi="Cambria Math"/>
          <w:i/>
          <w:sz w:val="22"/>
        </w:rPr>
        <w:t>p(θ_c | x_{1:t}) ∝ p(x(t) | θ_c)  p(θ_c | x_{1:t−1}).</w:t>
      </w:r>
    </w:p>
    <w:p>
      <w:pPr/>
      <w:r>
        <w:rPr>
          <w:rFonts w:ascii="Times New Roman" w:hAnsi="Times New Roman"/>
          <w:b w:val="0"/>
          <w:i w:val="0"/>
          <w:sz w:val="22"/>
        </w:rPr>
        <w:t>This feeds an anticipatory mechanism that pre-adjusts trajectory and controller parameters.</w:t>
      </w:r>
    </w:p>
    <w:p>
      <w:pPr>
        <w:pStyle w:val="Heading2"/>
      </w:pPr>
      <w:r>
        <w:t>9(B) Mid-Level Optimization: Trajectory Generation</w:t>
      </w:r>
    </w:p>
    <w:p>
      <w:pPr>
        <w:pStyle w:val="Heading3"/>
      </w:pPr>
      <w:r>
        <w:t>NvGRF Modeling</w:t>
      </w:r>
    </w:p>
    <w:p>
      <w:pPr/>
      <w:r>
        <w:rPr>
          <w:rFonts w:ascii="Times New Roman" w:hAnsi="Times New Roman"/>
          <w:b w:val="0"/>
          <w:i w:val="0"/>
          <w:sz w:val="22"/>
        </w:rPr>
        <w:t>Vertical ground reaction forces provide the canonical biomechanical gait signature. From plantar insoles, the discrete vGRF proxy is:</w:t>
      </w:r>
    </w:p>
    <w:p>
      <w:pPr>
        <w:spacing w:before="80" w:after="80"/>
        <w:ind w:left="720"/>
      </w:pPr>
      <w:r>
        <w:rPr>
          <w:rFonts w:ascii="Cambria Math" w:hAnsi="Cambria Math"/>
          <w:i/>
          <w:sz w:val="22"/>
        </w:rPr>
        <w:t>F_v(t) = Σ_{j=1}^{16} A_j · P_j(t),</w:t>
      </w:r>
    </w:p>
    <w:p>
      <w:pPr/>
      <w:r>
        <w:rPr>
          <w:rFonts w:ascii="Times New Roman" w:hAnsi="Times New Roman"/>
          <w:b w:val="0"/>
          <w:i w:val="0"/>
          <w:sz w:val="22"/>
        </w:rPr>
        <w:t>normalized by body weight:</w:t>
      </w:r>
    </w:p>
    <w:p>
      <w:pPr>
        <w:spacing w:before="80" w:after="80"/>
        <w:ind w:left="720"/>
      </w:pPr>
      <w:r>
        <w:rPr>
          <w:rFonts w:ascii="Cambria Math" w:hAnsi="Cambria Math"/>
          <w:i/>
          <w:sz w:val="22"/>
        </w:rPr>
        <w:t>F̃_v(t) = F_v(t) / W_b.</w:t>
      </w:r>
    </w:p>
    <w:p>
      <w:pPr/>
      <w:r>
        <w:rPr>
          <w:rFonts w:ascii="Times New Roman" w:hAnsi="Times New Roman"/>
          <w:b w:val="0"/>
          <w:i w:val="0"/>
          <w:sz w:val="22"/>
        </w:rPr>
        <w:t>A lightweight neural network f_ψ estimates F̃_v from IMU data when plantar sensors are unavailable, enabling graceful degradation. Sub-phases are detected via threshold crossings on F̃_v and its first derivative.</w:t>
      </w:r>
    </w:p>
    <w:p>
      <w:pPr>
        <w:pStyle w:val="Heading3"/>
      </w:pPr>
      <w:r>
        <w:t>Optimal Transport for Domain Adaptation</w:t>
      </w:r>
    </w:p>
    <w:p>
      <w:pPr/>
      <w:r>
        <w:rPr>
          <w:rFonts w:ascii="Times New Roman" w:hAnsi="Times New Roman"/>
          <w:b w:val="0"/>
          <w:i w:val="0"/>
          <w:sz w:val="22"/>
        </w:rPr>
        <w:t>Let μ_s and μ_t be empirical gait distributions of source subject s and target subject t. The Wasserstein-2 distance is:</w:t>
      </w:r>
    </w:p>
    <w:p>
      <w:pPr>
        <w:spacing w:before="80" w:after="80"/>
        <w:ind w:left="720"/>
      </w:pPr>
      <w:r>
        <w:rPr>
          <w:rFonts w:ascii="Cambria Math" w:hAnsi="Cambria Math"/>
          <w:i/>
          <w:sz w:val="22"/>
        </w:rPr>
        <w:t>W₂(μ_s, μ_t) = [inf_{γ∈Γ(μ_s,μ_t)} ∫ ‖qˢ − qᵗ‖² dγ(qˢ, qᵗ)]^{1/2}.</w:t>
      </w:r>
    </w:p>
    <w:p>
      <w:pPr/>
      <w:r>
        <w:rPr>
          <w:rFonts w:ascii="Times New Roman" w:hAnsi="Times New Roman"/>
          <w:b w:val="0"/>
          <w:i w:val="0"/>
          <w:sz w:val="22"/>
        </w:rPr>
        <w:t>The optimal transport map is obtained via the Sinkhorn algorithm:</w:t>
      </w:r>
    </w:p>
    <w:p>
      <w:pPr>
        <w:spacing w:before="80" w:after="80"/>
        <w:ind w:left="720"/>
      </w:pPr>
      <w:r>
        <w:rPr>
          <w:rFonts w:ascii="Cambria Math" w:hAnsi="Cambria Math"/>
          <w:i/>
          <w:sz w:val="22"/>
        </w:rPr>
        <w:t>P* = argmin_{P∈U(a,b)} ⟨C, P⟩ − ε H(P),</w:t>
      </w:r>
    </w:p>
    <w:p>
      <w:pPr/>
      <w:r>
        <w:rPr>
          <w:rFonts w:ascii="Times New Roman" w:hAnsi="Times New Roman"/>
          <w:b w:val="0"/>
          <w:i w:val="0"/>
          <w:sz w:val="22"/>
        </w:rPr>
        <w:t>where C_{ij} = ‖q_iˢ − q_jᵗ‖² and H(P) = −Σ_{ij} P_{ij} log P_{ij}. For multi-subject personalization, the Wasserstein barycenter is computed:</w:t>
      </w:r>
    </w:p>
    <w:p>
      <w:pPr>
        <w:spacing w:before="80" w:after="80"/>
        <w:ind w:left="720"/>
      </w:pPr>
      <w:r>
        <w:rPr>
          <w:rFonts w:ascii="Cambria Math" w:hAnsi="Cambria Math"/>
          <w:i/>
          <w:sz w:val="22"/>
        </w:rPr>
        <w:t>μ̄ = argmin_μ Σ_{s=1}^{S} λ_s W₂²(μ, μ_s),</w:t>
      </w:r>
    </w:p>
    <w:p>
      <w:pPr/>
      <w:r>
        <w:rPr>
          <w:rFonts w:ascii="Times New Roman" w:hAnsi="Times New Roman"/>
          <w:b w:val="0"/>
          <w:i w:val="0"/>
          <w:sz w:val="22"/>
        </w:rPr>
        <w:t>with weights λ_s set inversely proportional to anthropometric distance. This yields a personalized reference trajectory respecting the Riemannian geometry of probability distributions.</w:t>
      </w:r>
    </w:p>
    <w:p>
      <w:pPr>
        <w:pStyle w:val="Heading3"/>
      </w:pPr>
      <w:r>
        <w:t>Concept Drift Handling</w:t>
      </w:r>
    </w:p>
    <w:p>
      <w:pPr/>
      <w:r>
        <w:rPr>
          <w:rFonts w:ascii="Times New Roman" w:hAnsi="Times New Roman"/>
          <w:b w:val="0"/>
          <w:i w:val="0"/>
          <w:sz w:val="22"/>
        </w:rPr>
        <w:t>A sliding-window Kolmogorov–Smirnov test monitors gait stationarity:</w:t>
      </w:r>
    </w:p>
    <w:p>
      <w:pPr>
        <w:spacing w:before="80" w:after="80"/>
        <w:ind w:left="720"/>
      </w:pPr>
      <w:r>
        <w:rPr>
          <w:rFonts w:ascii="Cambria Math" w:hAnsi="Cambria Math"/>
          <w:i/>
          <w:sz w:val="22"/>
        </w:rPr>
        <w:t>KS = sup_q |F_{1:t}(q) − F_{t−W:t}(q)|.</w:t>
      </w:r>
    </w:p>
    <w:p>
      <w:pPr/>
      <w:r>
        <w:rPr>
          <w:rFonts w:ascii="Times New Roman" w:hAnsi="Times New Roman"/>
          <w:b w:val="0"/>
          <w:i w:val="0"/>
          <w:sz w:val="22"/>
        </w:rPr>
        <w:t>When the statistic exceeds threshold τ_KS, the transport map is re-estimated from recent data.</w:t>
      </w:r>
    </w:p>
    <w:p>
      <w:pPr>
        <w:pStyle w:val="Heading2"/>
      </w:pPr>
      <w:r>
        <w:t>9(C) Low-Level Optimization: Robust Control</w:t>
      </w:r>
    </w:p>
    <w:p>
      <w:pPr>
        <w:pStyle w:val="Heading3"/>
      </w:pPr>
      <w:r>
        <w:t>System Model</w:t>
      </w:r>
    </w:p>
    <w:p>
      <w:pPr/>
      <w:r>
        <w:rPr>
          <w:rFonts w:ascii="Times New Roman" w:hAnsi="Times New Roman"/>
          <w:b w:val="0"/>
          <w:i w:val="0"/>
          <w:sz w:val="22"/>
        </w:rPr>
        <w:t>The n-DOF exoskeleton Lagrangian dynamics are:</w:t>
      </w:r>
    </w:p>
    <w:p>
      <w:pPr>
        <w:spacing w:before="80" w:after="80"/>
        <w:ind w:left="720"/>
      </w:pPr>
      <w:r>
        <w:rPr>
          <w:rFonts w:ascii="Cambria Math" w:hAnsi="Cambria Math"/>
          <w:i/>
          <w:sz w:val="22"/>
        </w:rPr>
        <w:t>M(q) q̈ + C(q, q̇) q̇ + G(q) + τ_h + d(t) = τ_c.</w:t>
      </w:r>
    </w:p>
    <w:p>
      <w:pPr/>
      <w:r>
        <w:rPr>
          <w:rFonts w:ascii="Times New Roman" w:hAnsi="Times New Roman"/>
          <w:b w:val="0"/>
          <w:i w:val="0"/>
          <w:sz w:val="22"/>
        </w:rPr>
        <w:t>Rewritten in ADRC canonical form per joint:</w:t>
      </w:r>
    </w:p>
    <w:p>
      <w:pPr>
        <w:spacing w:before="80" w:after="80"/>
        <w:ind w:left="720"/>
      </w:pPr>
      <w:r>
        <w:rPr>
          <w:rFonts w:ascii="Cambria Math" w:hAnsi="Cambria Math"/>
          <w:i/>
          <w:sz w:val="22"/>
        </w:rPr>
        <w:t>q̈ = (1/M₀) τ_c + f(q, q̇, d, t),</w:t>
      </w:r>
    </w:p>
    <w:p>
      <w:pPr/>
      <w:r>
        <w:rPr>
          <w:rFonts w:ascii="Times New Roman" w:hAnsi="Times New Roman"/>
          <w:b w:val="0"/>
          <w:i w:val="0"/>
          <w:sz w:val="22"/>
        </w:rPr>
        <w:t>where f(·) is the total disturbance aggregating modeling errors, Coriolis/centrifugal effects, gravity, human torques, and external perturbations.</w:t>
      </w:r>
    </w:p>
    <w:p>
      <w:pPr>
        <w:pStyle w:val="Heading3"/>
      </w:pPr>
      <w:r>
        <w:t>Extended State Observer (ESO)</w:t>
      </w:r>
    </w:p>
    <w:p>
      <w:pPr/>
      <w:r>
        <w:rPr>
          <w:rFonts w:ascii="Times New Roman" w:hAnsi="Times New Roman"/>
          <w:b w:val="0"/>
          <w:i w:val="0"/>
          <w:sz w:val="22"/>
        </w:rPr>
        <w:t>A third-order ESO estimates state and total disturbance with bandwidth parameters β₁, β₂, β₃ = 3ω_o, 3ω_o², ω_o³ placed at characteristic root −ω_o. Under bounded disturbance rate ḟ ≤ Δ_f, the ESO error is uniformly ultimately bounded:</w:t>
      </w:r>
    </w:p>
    <w:p>
      <w:pPr>
        <w:spacing w:before="80" w:after="80"/>
        <w:ind w:left="720"/>
      </w:pPr>
      <w:r>
        <w:rPr>
          <w:rFonts w:ascii="Cambria Math" w:hAnsi="Cambria Math"/>
          <w:i/>
          <w:sz w:val="22"/>
        </w:rPr>
        <w:t>lim sup_{t→∞} ‖e_o(t)‖ ≤ c Δ_f / ω_o.</w:t>
      </w:r>
    </w:p>
    <w:p>
      <w:pPr>
        <w:pStyle w:val="Heading3"/>
      </w:pPr>
      <w:r>
        <w:t>σ-Modified Adaptive ADRC (σ-AADRC)</w:t>
      </w:r>
    </w:p>
    <w:p>
      <w:pPr/>
      <w:r>
        <w:rPr>
          <w:rFonts w:ascii="Times New Roman" w:hAnsi="Times New Roman"/>
          <w:b w:val="0"/>
          <w:i w:val="0"/>
          <w:sz w:val="22"/>
        </w:rPr>
        <w:t>For time-varying disturbance spectra, an adaptive law updates observer bandwidth:</w:t>
      </w:r>
    </w:p>
    <w:p>
      <w:pPr>
        <w:spacing w:before="80" w:after="80"/>
        <w:ind w:left="720"/>
      </w:pPr>
      <w:r>
        <w:rPr>
          <w:rFonts w:ascii="Cambria Math" w:hAnsi="Cambria Math"/>
          <w:i/>
          <w:sz w:val="22"/>
        </w:rPr>
        <w:t>ω̇_o = −γ_o e_oᵀ P_o B_o (q̂ − q) − σ_o ω_o.</w:t>
      </w:r>
    </w:p>
    <w:p>
      <w:pPr/>
      <w:r>
        <w:rPr>
          <w:rFonts w:ascii="Times New Roman" w:hAnsi="Times New Roman"/>
          <w:b w:val="0"/>
          <w:i w:val="0"/>
          <w:sz w:val="22"/>
        </w:rPr>
        <w:t>The σ-modification term −σ_o ω_o prevents parameter drift, ensuring ω_o(t) ∈ [ω_min, ω_max]. The control law performs feedback linearization with disturbance compensation:</w:t>
      </w:r>
    </w:p>
    <w:p>
      <w:pPr>
        <w:spacing w:before="80" w:after="80"/>
        <w:ind w:left="720"/>
      </w:pPr>
      <w:r>
        <w:rPr>
          <w:rFonts w:ascii="Cambria Math" w:hAnsi="Cambria Math"/>
          <w:i/>
          <w:sz w:val="22"/>
        </w:rPr>
        <w:t>τ_c = M₀ [k_p (q_ref − q̂) + k_d (q̇_ref − q̂̇) + q̈_ref − f̂],</w:t>
      </w:r>
    </w:p>
    <w:p>
      <w:pPr/>
      <w:r>
        <w:rPr>
          <w:rFonts w:ascii="Times New Roman" w:hAnsi="Times New Roman"/>
          <w:b w:val="0"/>
          <w:i w:val="0"/>
          <w:sz w:val="22"/>
        </w:rPr>
        <w:t>with bounded control modification:</w:t>
      </w:r>
    </w:p>
    <w:p>
      <w:pPr>
        <w:spacing w:before="80" w:after="80"/>
        <w:ind w:left="720"/>
      </w:pPr>
      <w:r>
        <w:rPr>
          <w:rFonts w:ascii="Cambria Math" w:hAnsi="Cambria Math"/>
          <w:i/>
          <w:sz w:val="22"/>
        </w:rPr>
        <w:t>τ_c^{sat} = τ_max · sign(τ_c)  if |τ_c| &gt; τ_max,  else τ_c.</w:t>
      </w:r>
    </w:p>
    <w:p>
      <w:pPr>
        <w:pStyle w:val="Heading3"/>
      </w:pPr>
      <w:r>
        <w:t>Lyapunov Stability Analysis</w:t>
      </w:r>
    </w:p>
    <w:p>
      <w:pPr/>
      <w:r>
        <w:rPr>
          <w:rFonts w:ascii="Times New Roman" w:hAnsi="Times New Roman"/>
          <w:b w:val="0"/>
          <w:i w:val="0"/>
          <w:sz w:val="22"/>
        </w:rPr>
        <w:t>Under conditions k_p &gt; 0, k_d &gt; 0, k_p k_d &gt; Δ_f / f_max, the closed-loop system is uniformly ultimately bounded with bound:</w:t>
      </w:r>
    </w:p>
    <w:p>
      <w:pPr>
        <w:spacing w:before="80" w:after="80"/>
        <w:ind w:left="720"/>
      </w:pPr>
      <w:r>
        <w:rPr>
          <w:rFonts w:ascii="Cambria Math" w:hAnsi="Cambria Math"/>
          <w:i/>
          <w:sz w:val="22"/>
        </w:rPr>
        <w:t>‖[e_q, ė_q]ᵀ‖ ≤ ((k_p + k_d) / min(k_p, k_d)) · c Δ_f / ω_o + ε,</w:t>
      </w:r>
    </w:p>
    <w:p>
      <w:pPr/>
      <w:r>
        <w:rPr>
          <w:rFonts w:ascii="Times New Roman" w:hAnsi="Times New Roman"/>
          <w:b w:val="0"/>
          <w:i w:val="0"/>
          <w:sz w:val="22"/>
        </w:rPr>
        <w:t>where ε → 0 as ω_o → ∞. The proof uses a composite Lyapunov function:</w:t>
      </w:r>
    </w:p>
    <w:p>
      <w:pPr>
        <w:spacing w:before="80" w:after="80"/>
        <w:ind w:left="720"/>
      </w:pPr>
      <w:r>
        <w:rPr>
          <w:rFonts w:ascii="Cambria Math" w:hAnsi="Cambria Math"/>
          <w:i/>
          <w:sz w:val="22"/>
        </w:rPr>
        <w:t>V(t) = e_cᵀ P_c e_c + e_oᵀ P_o e_o + (1/2γ_o)(ω_o − ω_o*)².</w:t>
      </w:r>
    </w:p>
    <w:p>
      <w:pPr>
        <w:pStyle w:val="Heading3"/>
      </w:pPr>
      <w:r>
        <w:t>Metaheuristic Online Parameter Tuning</w:t>
      </w:r>
    </w:p>
    <w:p>
      <w:pPr/>
      <w:r>
        <w:rPr>
          <w:rFonts w:ascii="Times New Roman" w:hAnsi="Times New Roman"/>
          <w:b w:val="0"/>
          <w:i w:val="0"/>
          <w:sz w:val="22"/>
        </w:rPr>
        <w:t>The control parameter vector θ_c = [k_p, k_d, ω_o, σ_o, M₀]ᵀ is optimized online via Differential Evolution (population N_p = 10) on a 200 ms sliding window:</w:t>
      </w:r>
    </w:p>
    <w:p>
      <w:pPr>
        <w:spacing w:before="80" w:after="80"/>
        <w:ind w:left="720"/>
      </w:pPr>
      <w:r>
        <w:rPr>
          <w:rFonts w:ascii="Cambria Math" w:hAnsi="Cambria Math"/>
          <w:i/>
          <w:sz w:val="22"/>
        </w:rPr>
        <w:t>min_{θ_c} J(θ_c) = w₁‖e_q‖₂² + w₂‖ė_q‖₂² + w₃‖τ_c‖₁ + w₄ 𝟙(|τ_c| &gt; τ_thresh),</w:t>
      </w:r>
    </w:p>
    <w:p>
      <w:pPr/>
      <w:r>
        <w:rPr>
          <w:rFonts w:ascii="Times New Roman" w:hAnsi="Times New Roman"/>
          <w:b w:val="0"/>
          <w:i w:val="0"/>
          <w:sz w:val="22"/>
        </w:rPr>
        <w:t>penalizing torque magnitude and actuator saturation for safety and metabolic efficiency.</w:t>
      </w:r>
    </w:p>
    <w:p>
      <w:pPr>
        <w:pStyle w:val="Heading2"/>
      </w:pPr>
      <w:r>
        <w:t>9(D) Work Plan and Activity Mapping</w:t>
      </w:r>
    </w:p>
    <w:p>
      <w:pPr/>
      <w:r>
        <w:rPr>
          <w:rFonts w:ascii="Times New Roman" w:hAnsi="Times New Roman"/>
          <w:b w:val="0"/>
          <w:i w:val="0"/>
          <w:sz w:val="22"/>
        </w:rPr>
        <w:t>The three optimization levels are developed in parallel across Indian and French partner institutions, with defined milestones for integration testing at 12-month intervals, progressing from simulation to hardware-in-the-loop validation to clinical trials.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4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