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a="http://schemas.openxmlformats.org/drawingml/2006/main" xmlns:ns6="http://schemas.openxmlformats.org/markup-compatibility/2006" xmlns:ns7="http://schemas.microsoft.com/office/word/2010/wordprocessingShape"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before="2" w:lineRule="auto"/>
        <w:ind w:right="30"/>
        <w:rPr>
          <w:color w:val="000000"/>
          <w:sz w:val="16"/>
          <w:szCs w:val="16"/>
        </w:rPr>
      </w:pPr>
      <w:r w:rsidDel="00000000" w:rsidR="00000000" w:rsidRPr="00000000">
        <w:rPr>
          <w:rtl w:val="0"/>
        </w:rPr>
      </w:r>
    </w:p>
    <w:p w:rsidR="00000000" w:rsidDel="00000000" w:rsidP="00000000" w:rsidRDefault="00000000" w:rsidRPr="00000000" w14:paraId="00000002">
      <w:pPr>
        <w:spacing w:before="90" w:lineRule="auto"/>
        <w:ind w:right="30"/>
        <w:jc w:val="center"/>
        <w:rPr>
          <w:i w:val="1"/>
          <w:iCs w:val="1"/>
          <w:sz w:val="24"/>
          <w:szCs w:val="24"/>
        </w:rPr>
      </w:pPr>
      <w:r w:rsidDel="00000000" w:rsidR="00000000" w:rsidRPr="00000000">
        <w:rPr>
          <w:i w:val="1"/>
          <w:iCs w:val="1"/>
          <w:sz w:val="24"/>
          <w:szCs w:val="24"/>
          <w:rtl w:val="0"/>
        </w:rPr>
        <w:t xml:space="preserve">A Software Group Project Report</w:t>
      </w:r>
    </w:p>
    <w:p w:rsidR="00000000" w:rsidDel="00000000" w:rsidP="00000000" w:rsidRDefault="00000000" w:rsidRPr="00000000" w14:paraId="00000003">
      <w:pPr>
        <w:spacing w:before="90" w:lineRule="auto"/>
        <w:ind w:right="30"/>
        <w:jc w:val="center"/>
        <w:rPr>
          <w:i w:val="1"/>
          <w:iCs w:val="1"/>
          <w:sz w:val="24"/>
          <w:szCs w:val="24"/>
        </w:rPr>
      </w:pPr>
      <w:r w:rsidDel="00000000" w:rsidR="00000000" w:rsidRPr="00000000">
        <w:rPr>
          <w:rtl w:val="0"/>
        </w:rPr>
      </w:r>
    </w:p>
    <w:p w:rsidR="00000000" w:rsidDel="00000000" w:rsidP="00000000" w:rsidRDefault="00000000" w:rsidRPr="00000000" w14:paraId="00000004">
      <w:pPr>
        <w:spacing w:before="90" w:lineRule="auto"/>
        <w:ind w:right="30"/>
        <w:jc w:val="center"/>
        <w:rPr>
          <w:i w:val="1"/>
          <w:iCs w:val="1"/>
          <w:sz w:val="24"/>
          <w:szCs w:val="24"/>
        </w:rPr>
      </w:pPr>
      <w:r w:rsidDel="00000000" w:rsidR="00000000" w:rsidRPr="00000000">
        <w:rPr>
          <w:i w:val="1"/>
          <w:iCs w:val="1"/>
          <w:sz w:val="24"/>
          <w:szCs w:val="24"/>
          <w:rtl w:val="0"/>
        </w:rPr>
        <w:t xml:space="preserve">On</w:t>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before="1" w:lineRule="auto"/>
        <w:ind w:right="30"/>
        <w:jc w:val="center"/>
        <w:rPr>
          <w:i w:val="1"/>
          <w:iCs w:val="1"/>
          <w:color w:val="000000"/>
          <w:sz w:val="24"/>
          <w:szCs w:val="24"/>
        </w:rPr>
      </w:pPr>
      <w:r w:rsidDel="00000000" w:rsidR="00000000" w:rsidRPr="00000000">
        <w:rPr>
          <w:rtl w:val="0"/>
        </w:rPr>
      </w:r>
    </w:p>
    <w:p w:rsidR="00000000" w:rsidDel="00000000" w:rsidP="00000000" w:rsidRDefault="00000000" w:rsidRPr="00000000" w14:paraId="00000006">
      <w:pPr>
        <w:ind w:right="30"/>
        <w:jc w:val="center"/>
        <w:rPr>
          <w:b w:val="1"/>
          <w:bCs w:val="1"/>
          <w:sz w:val="36"/>
          <w:szCs w:val="36"/>
        </w:rPr>
      </w:pPr>
      <w:r w:rsidDel="00000000" w:rsidR="00000000" w:rsidRPr="00000000">
        <w:rPr>
          <w:b w:val="1"/>
          <w:bCs w:val="1"/>
          <w:sz w:val="36"/>
          <w:szCs w:val="36"/>
          <w:rtl w:val="0"/>
        </w:rPr>
        <w:t xml:space="preserve">BiteLens: AI &amp; Telemetry-Powered Packaged Food Scanner &amp; Nutrition Transparency Engine</w:t>
      </w:r>
    </w:p>
    <w:p w:rsidR="00000000" w:rsidDel="00000000" w:rsidP="00000000" w:rsidRDefault="00000000" w:rsidRPr="00000000" w14:paraId="00000007">
      <w:pPr>
        <w:spacing w:before="274" w:lineRule="auto"/>
        <w:ind w:right="30"/>
        <w:jc w:val="center"/>
        <w:rPr>
          <w:i w:val="1"/>
          <w:iCs w:val="1"/>
          <w:sz w:val="24"/>
          <w:szCs w:val="24"/>
        </w:rPr>
      </w:pPr>
      <w:r w:rsidDel="00000000" w:rsidR="00000000" w:rsidRPr="00000000">
        <w:rPr>
          <w:i w:val="1"/>
          <w:iCs w:val="1"/>
          <w:sz w:val="24"/>
          <w:szCs w:val="24"/>
          <w:rtl w:val="0"/>
        </w:rPr>
        <w:t xml:space="preserve">Submitted by</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before="2" w:lineRule="auto"/>
        <w:ind w:right="30"/>
        <w:jc w:val="center"/>
        <w:rPr>
          <w:i w:val="1"/>
          <w:iCs w:val="1"/>
          <w:color w:val="000000"/>
          <w:sz w:val="28"/>
          <w:szCs w:val="28"/>
        </w:rPr>
      </w:pPr>
      <w:r w:rsidDel="00000000" w:rsidR="00000000" w:rsidRPr="00000000">
        <w:rPr>
          <w:rtl w:val="0"/>
        </w:rPr>
      </w:r>
    </w:p>
    <w:p w:rsidR="00000000" w:rsidDel="00000000" w:rsidP="00000000" w:rsidRDefault="00000000" w:rsidRPr="00000000" w14:paraId="00000009">
      <w:pPr>
        <w:ind w:right="30"/>
        <w:jc w:val="center"/>
        <w:rPr>
          <w:b w:val="1"/>
          <w:bCs w:val="1"/>
          <w:sz w:val="32"/>
          <w:szCs w:val="32"/>
        </w:rPr>
      </w:pPr>
      <w:r w:rsidDel="00000000" w:rsidR="00000000" w:rsidRPr="00000000">
        <w:rPr>
          <w:b w:val="1"/>
          <w:bCs w:val="1"/>
          <w:sz w:val="32"/>
          <w:szCs w:val="32"/>
          <w:rtl w:val="0"/>
        </w:rPr>
        <w:t xml:space="preserve">Pinak Pipaliya (Enrollment: IU22CE001)</w:t>
      </w:r>
    </w:p>
    <w:p w:rsidR="00000000" w:rsidDel="00000000" w:rsidP="00000000" w:rsidRDefault="00000000" w:rsidRPr="00000000" w14:paraId="0000000A">
      <w:pPr>
        <w:ind w:right="30"/>
        <w:jc w:val="center"/>
        <w:rPr>
          <w:b w:val="1"/>
          <w:bCs w:val="1"/>
          <w:sz w:val="32"/>
          <w:szCs w:val="32"/>
        </w:rPr>
      </w:pPr>
      <w:r w:rsidDel="00000000" w:rsidR="00000000" w:rsidRPr="00000000">
        <w:rPr>
          <w:b w:val="1"/>
          <w:bCs w:val="1"/>
          <w:sz w:val="32"/>
          <w:szCs w:val="32"/>
          <w:rtl w:val="0"/>
        </w:rPr>
        <w:t xml:space="preserve">Anuraag Sharma (Enrollment: IU22CE002)</w:t>
      </w:r>
    </w:p>
    <w:p w:rsidR="00000000" w:rsidDel="00000000" w:rsidP="00000000" w:rsidRDefault="00000000" w:rsidRPr="00000000" w14:paraId="0000000B">
      <w:pPr>
        <w:ind w:right="30"/>
        <w:jc w:val="center"/>
        <w:rPr>
          <w:b w:val="1"/>
          <w:bCs w:val="1"/>
          <w:sz w:val="32"/>
          <w:szCs w:val="32"/>
        </w:rPr>
      </w:pPr>
      <w:r w:rsidDel="00000000" w:rsidR="00000000" w:rsidRPr="00000000">
        <w:rPr>
          <w:b w:val="1"/>
          <w:bCs w:val="1"/>
          <w:sz w:val="32"/>
          <w:szCs w:val="32"/>
          <w:rtl w:val="0"/>
        </w:rPr>
        <w:t xml:space="preserve">Harshil Mehta (Enrollment: IU22CE003)</w:t>
      </w:r>
    </w:p>
    <w:p>
      <w:pPr>
        <w:ind w:right="30"/>
        <w:jc w:val="center"/>
        <w:rPr>
          <w:rFonts w:ascii="Georgia" w:hAnsi="Georgia"/>
          <w:b w:val="1"/>
          <w:sz w:val="32"/>
        </w:rPr>
      </w:pPr>
      <w:r>
        <w:rPr>
          <w:rFonts w:ascii="Georgia" w:hAnsi="Georgia"/>
          <w:b w:val="1"/>
          <w:sz w:val="32"/>
        </w:rPr>
        <w:t xml:space="preserve">Vedant Kundaliya (Enrollment: IU22CE004)</w:t>
      </w:r>
    </w:p>
    <w:p w:rsidR="00000000" w:rsidDel="00000000" w:rsidP="00000000" w:rsidRDefault="00000000" w:rsidRPr="00000000" w14:paraId="0000000C">
      <w:pPr>
        <w:spacing w:before="274" w:lineRule="auto"/>
        <w:ind w:right="30"/>
        <w:jc w:val="center"/>
        <w:rPr>
          <w:i w:val="1"/>
          <w:iCs w:val="1"/>
          <w:sz w:val="24"/>
          <w:szCs w:val="24"/>
        </w:rPr>
      </w:pPr>
      <w:r w:rsidDel="00000000" w:rsidR="00000000" w:rsidRPr="00000000">
        <w:rPr>
          <w:i w:val="1"/>
          <w:iCs w:val="1"/>
          <w:sz w:val="24"/>
          <w:szCs w:val="24"/>
          <w:rtl w:val="0"/>
        </w:rPr>
        <w:t xml:space="preserve">Guided by</w:t>
      </w:r>
    </w:p>
    <w:p w:rsidR="00000000" w:rsidDel="00000000" w:rsidP="00000000" w:rsidRDefault="00000000" w:rsidRPr="00000000" w14:paraId="0000000D">
      <w:pPr>
        <w:ind w:right="30"/>
        <w:jc w:val="center"/>
        <w:rPr>
          <w:b w:val="1"/>
          <w:bCs w:val="1"/>
          <w:sz w:val="32"/>
          <w:szCs w:val="32"/>
        </w:rPr>
      </w:pPr>
      <w:r w:rsidDel="00000000" w:rsidR="00000000" w:rsidRPr="00000000">
        <w:rPr>
          <w:b w:val="1"/>
          <w:bCs w:val="1"/>
          <w:sz w:val="32"/>
          <w:szCs w:val="32"/>
          <w:rtl w:val="0"/>
        </w:rPr>
        <w:t xml:space="preserve">Prof. / Dr. Guide Name, Department of Computer Engineering</w:t>
      </w:r>
    </w:p>
    <w:p w:rsidR="00000000" w:rsidDel="00000000" w:rsidP="00000000" w:rsidRDefault="00000000" w:rsidRPr="00000000" w14:paraId="0000000E">
      <w:pPr>
        <w:pBdr>
          <w:top w:space="0" w:sz="0" w:val="nil"/>
          <w:left w:space="0" w:sz="0" w:val="nil"/>
          <w:bottom w:space="0" w:sz="0" w:val="nil"/>
          <w:right w:space="0" w:sz="0" w:val="nil"/>
          <w:between w:space="0" w:sz="0" w:val="nil"/>
        </w:pBdr>
        <w:ind w:right="30"/>
        <w:jc w:val="center"/>
        <w:rPr>
          <w:b w:val="1"/>
          <w:bCs w:val="1"/>
          <w:color w:val="000000"/>
          <w:sz w:val="34"/>
          <w:szCs w:val="34"/>
        </w:rPr>
      </w:pPr>
      <w:r w:rsidDel="00000000" w:rsidR="00000000" w:rsidRPr="00000000">
        <w:rPr>
          <w:rtl w:val="0"/>
        </w:rPr>
      </w:r>
    </w:p>
    <w:p w:rsidR="00000000" w:rsidDel="00000000" w:rsidP="00000000" w:rsidRDefault="00000000" w:rsidRPr="00000000" w14:paraId="0000000F">
      <w:pPr>
        <w:spacing w:before="206" w:line="480" w:lineRule="auto"/>
        <w:ind w:right="30"/>
        <w:jc w:val="center"/>
        <w:rPr>
          <w:i w:val="1"/>
          <w:iCs w:val="1"/>
          <w:sz w:val="24"/>
          <w:szCs w:val="24"/>
        </w:rPr>
      </w:pPr>
      <w:r w:rsidDel="00000000" w:rsidR="00000000" w:rsidRPr="00000000">
        <w:rPr>
          <w:i w:val="1"/>
          <w:iCs w:val="1"/>
          <w:sz w:val="24"/>
          <w:szCs w:val="24"/>
          <w:rtl w:val="0"/>
        </w:rPr>
        <w:t xml:space="preserve">In partial fulfillment for the award of the degree Of</w:t>
      </w:r>
    </w:p>
    <w:p w:rsidR="00000000" w:rsidDel="00000000" w:rsidP="00000000" w:rsidRDefault="00000000" w:rsidRPr="00000000" w14:paraId="00000010">
      <w:pPr>
        <w:pStyle w:val="Heading4"/>
        <w:ind w:left="0" w:right="30" w:firstLine="0"/>
        <w:jc w:val="center"/>
        <w:rPr/>
      </w:pPr>
      <w:r w:rsidDel="00000000" w:rsidR="00000000" w:rsidRPr="00000000">
        <w:rPr>
          <w:rtl w:val="0"/>
        </w:rPr>
        <w:t xml:space="preserve">BACHELOR OF TECHNOLOGY</w:t>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before="10" w:lineRule="auto"/>
        <w:ind w:right="30"/>
        <w:jc w:val="center"/>
        <w:rPr>
          <w:i w:val="1"/>
          <w:iCs w:val="1"/>
          <w:color w:val="000000"/>
          <w:sz w:val="23"/>
          <w:szCs w:val="23"/>
        </w:rPr>
      </w:pPr>
      <w:r w:rsidDel="00000000" w:rsidR="00000000" w:rsidRPr="00000000">
        <w:rPr>
          <w:rtl w:val="0"/>
        </w:rPr>
      </w:r>
    </w:p>
    <w:p w:rsidR="00000000" w:rsidDel="00000000" w:rsidP="00000000" w:rsidRDefault="00000000" w:rsidRPr="00000000" w14:paraId="00000012">
      <w:pPr>
        <w:spacing w:line="480" w:lineRule="auto"/>
        <w:ind w:right="30" w:firstLine="90"/>
        <w:jc w:val="center"/>
        <w:rPr>
          <w:i w:val="1"/>
          <w:iCs w:val="1"/>
          <w:sz w:val="24"/>
          <w:szCs w:val="24"/>
        </w:rPr>
      </w:pPr>
      <w:r w:rsidDel="00000000" w:rsidR="00000000" w:rsidRPr="00000000">
        <w:rPr>
          <w:i w:val="1"/>
          <w:iCs w:val="1"/>
          <w:sz w:val="24"/>
          <w:szCs w:val="24"/>
          <w:rtl w:val="0"/>
        </w:rPr>
        <w:t xml:space="preserve">In</w:t>
      </w:r>
    </w:p>
    <w:p w:rsidR="00000000" w:rsidDel="00000000" w:rsidP="00000000" w:rsidRDefault="00000000" w:rsidRPr="00000000" w14:paraId="00000013">
      <w:pPr>
        <w:spacing w:line="480" w:lineRule="auto"/>
        <w:ind w:right="30"/>
        <w:jc w:val="center"/>
        <w:rPr>
          <w:i w:val="1"/>
          <w:iCs w:val="1"/>
          <w:sz w:val="24"/>
          <w:szCs w:val="24"/>
        </w:rPr>
      </w:pPr>
      <w:r w:rsidDel="00000000" w:rsidR="00000000" w:rsidRPr="00000000">
        <w:rPr>
          <w:i w:val="1"/>
          <w:iCs w:val="1"/>
          <w:sz w:val="24"/>
          <w:szCs w:val="24"/>
          <w:rtl w:val="0"/>
        </w:rPr>
        <w:t xml:space="preserve">Computer Engineering</w:t>
      </w:r>
    </w:p>
    <w:p w:rsidR="00000000" w:rsidDel="00000000" w:rsidP="00000000" w:rsidRDefault="00000000" w:rsidRPr="00000000" w14:paraId="00000014">
      <w:pPr>
        <w:pBdr>
          <w:top w:space="0" w:sz="0" w:val="nil"/>
          <w:left w:space="0" w:sz="0" w:val="nil"/>
          <w:bottom w:space="0" w:sz="0" w:val="nil"/>
          <w:right w:space="0" w:sz="0" w:val="nil"/>
          <w:between w:space="0" w:sz="0" w:val="nil"/>
        </w:pBdr>
        <w:ind w:right="30"/>
        <w:rPr>
          <w:i w:val="1"/>
          <w:iCs w:val="1"/>
          <w:color w:val="000000"/>
          <w:sz w:val="20"/>
          <w:szCs w:val="20"/>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ind w:right="30"/>
        <w:rPr>
          <w:i w:val="1"/>
          <w:iCs w:val="1"/>
          <w:color w:val="000000"/>
          <w:sz w:val="20"/>
          <w:szCs w:val="20"/>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before="5" w:lineRule="auto"/>
        <w:ind w:right="30"/>
        <w:rPr>
          <w:i w:val="1"/>
          <w:iCs w:val="1"/>
          <w:color w:val="00000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1652905</wp:posOffset>
            </wp:positionH>
            <wp:positionV relativeFrom="paragraph">
              <wp:posOffset>187960</wp:posOffset>
            </wp:positionV>
            <wp:extent cx="2649116" cy="787908"/>
            <wp:effectExtent b="0" l="0" r="0" t="0"/>
            <wp:wrapTopAndBottom distB="0" distT="0"/>
            <wp:docPr descr="indus" id="3" name="image1.png"/>
            <a:graphic>
              <a:graphicData uri="http://schemas.openxmlformats.org/drawingml/2006/picture">
                <pic:pic>
                  <pic:nvPicPr>
                    <pic:cNvPr descr="indus" id="0" name="image1.png"/>
                    <pic:cNvPicPr preferRelativeResize="0"/>
                  </pic:nvPicPr>
                  <pic:blipFill>
                    <a:blip r:embed="rId6"/>
                    <a:srcRect b="0" l="0" r="0" t="0"/>
                    <a:stretch>
                      <a:fillRect/>
                    </a:stretch>
                  </pic:blipFill>
                  <pic:spPr>
                    <a:xfrm>
                      <a:off x="0" y="0"/>
                      <a:ext cx="2649116" cy="787908"/>
                    </a:xfrm>
                    <a:prstGeom prst="rect"/>
                    <a:ln/>
                  </pic:spPr>
                </pic:pic>
              </a:graphicData>
            </a:graphic>
          </wp:anchor>
        </w:drawing>
      </w:r>
    </w:p>
    <w:p w:rsidR="00000000" w:rsidDel="00000000" w:rsidP="00000000" w:rsidRDefault="00000000" w:rsidRPr="00000000" w14:paraId="00000017">
      <w:pPr>
        <w:pBdr>
          <w:top w:space="0" w:sz="0" w:val="nil"/>
          <w:left w:space="0" w:sz="0" w:val="nil"/>
          <w:bottom w:space="0" w:sz="0" w:val="nil"/>
          <w:right w:space="0" w:sz="0" w:val="nil"/>
          <w:between w:space="0" w:sz="0" w:val="nil"/>
        </w:pBdr>
        <w:ind w:right="30"/>
        <w:rPr>
          <w:i w:val="1"/>
          <w:iCs w:val="1"/>
          <w:color w:val="000000"/>
          <w:sz w:val="26"/>
          <w:szCs w:val="26"/>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ind w:right="30"/>
        <w:rPr>
          <w:i w:val="1"/>
          <w:iCs w:val="1"/>
          <w:color w:val="000000"/>
          <w:sz w:val="26"/>
          <w:szCs w:val="26"/>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ind w:right="30"/>
        <w:rPr>
          <w:i w:val="1"/>
          <w:iCs w:val="1"/>
          <w:color w:val="000000"/>
          <w:sz w:val="26"/>
          <w:szCs w:val="26"/>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before="1" w:lineRule="auto"/>
        <w:ind w:right="30"/>
        <w:rPr>
          <w:i w:val="1"/>
          <w:iCs w:val="1"/>
          <w:color w:val="000000"/>
          <w:sz w:val="29"/>
          <w:szCs w:val="29"/>
        </w:rPr>
      </w:pPr>
      <w:r w:rsidDel="00000000" w:rsidR="00000000" w:rsidRPr="00000000">
        <w:rPr>
          <w:rtl w:val="0"/>
        </w:rPr>
      </w:r>
    </w:p>
    <w:p w:rsidR="00000000" w:rsidDel="00000000" w:rsidP="00000000" w:rsidRDefault="00000000" w:rsidRPr="00000000" w14:paraId="0000001B">
      <w:pPr>
        <w:spacing w:line="360" w:lineRule="auto"/>
        <w:ind w:right="30"/>
        <w:jc w:val="center"/>
        <w:rPr>
          <w:b w:val="1"/>
          <w:bCs w:val="1"/>
          <w:sz w:val="28"/>
          <w:szCs w:val="28"/>
        </w:rPr>
      </w:pPr>
      <w:r w:rsidDel="00000000" w:rsidR="00000000" w:rsidRPr="00000000">
        <w:rPr>
          <w:b w:val="1"/>
          <w:bCs w:val="1"/>
          <w:sz w:val="28"/>
          <w:szCs w:val="28"/>
          <w:rtl w:val="0"/>
        </w:rPr>
        <w:t xml:space="preserve">INSTITUTE OF TECHNOLOGY AND ENGINEERING INDUS UNIVERSITY CAMPUS, RANCHARDA, VIA-THALTEJ</w:t>
      </w:r>
    </w:p>
    <w:p w:rsidR="00000000" w:rsidDel="00000000" w:rsidP="00000000" w:rsidRDefault="00000000" w:rsidRPr="00000000" w14:paraId="0000001C">
      <w:pPr>
        <w:spacing w:line="360" w:lineRule="auto"/>
        <w:ind w:right="30"/>
        <w:jc w:val="center"/>
        <w:rPr>
          <w:b w:val="1"/>
          <w:bCs w:val="1"/>
          <w:sz w:val="28"/>
          <w:szCs w:val="28"/>
        </w:rPr>
      </w:pPr>
      <w:r w:rsidDel="00000000" w:rsidR="00000000" w:rsidRPr="00000000">
        <w:rPr>
          <w:b w:val="1"/>
          <w:bCs w:val="1"/>
          <w:sz w:val="28"/>
          <w:szCs w:val="28"/>
          <w:rtl w:val="0"/>
        </w:rPr>
        <w:t xml:space="preserve">AHMEDABAD-382115, GUJARAT, INDIA,</w:t>
      </w:r>
    </w:p>
    <w:p w:rsidR="00000000" w:rsidDel="00000000" w:rsidP="00000000" w:rsidRDefault="00000000" w:rsidRPr="00000000" w14:paraId="0000001D">
      <w:pPr>
        <w:pStyle w:val="Heading3"/>
        <w:spacing w:line="360" w:lineRule="auto"/>
        <w:ind w:left="0" w:right="30" w:firstLine="0"/>
        <w:rPr>
          <w:b w:val="1"/>
          <w:bCs w:val="1"/>
        </w:rPr>
      </w:pPr>
      <w:r w:rsidDel="00000000" w:rsidR="00000000" w:rsidRPr="00000000">
        <w:rPr>
          <w:b w:val="1"/>
          <w:bCs w:val="1"/>
          <w:rtl w:val="0"/>
        </w:rPr>
        <w:t xml:space="preserve">WEB: </w:t>
      </w:r>
      <w:hyperlink r:id="rId7">
        <w:r w:rsidDel="00000000" w:rsidR="00000000" w:rsidRPr="00000000">
          <w:rPr>
            <w:b w:val="1"/>
            <w:bCs w:val="1"/>
            <w:rtl w:val="0"/>
          </w:rPr>
          <w:t xml:space="preserve">www.indusuni.ac.in</w:t>
        </w:r>
      </w:hyperlink>
      <w:r w:rsidDel="00000000" w:rsidR="00000000" w:rsidRPr="00000000">
        <w:rPr>
          <w:b w:val="1"/>
          <w:bCs w:val="1"/>
          <w:rtl w:val="0"/>
        </w:rPr>
        <w:t xml:space="preserve"> </w:t>
      </w:r>
    </w:p>
    <w:p w:rsidR="00000000" w:rsidDel="00000000" w:rsidP="00000000" w:rsidRDefault="00000000" w:rsidRPr="00000000" w14:paraId="0000001E">
      <w:pPr>
        <w:spacing w:line="360" w:lineRule="auto"/>
        <w:jc w:val="center"/>
        <w:rPr>
          <w:b w:val="1"/>
          <w:bCs w:val="1"/>
          <w:sz w:val="28"/>
          <w:szCs w:val="28"/>
        </w:rPr>
        <w:sectPr>
          <w:pgSz w:h="16840" w:w="11910" w:orient="portrait"/>
          <w:pgMar w:bottom="280" w:top="1700" w:left="1460" w:right="620" w:header="1449" w:footer="720"/>
          <w:pgNumType w:start="1"/>
        </w:sectPr>
      </w:pPr>
      <w:bookmarkStart w:colFirst="0" w:colLast="0" w:name="_xa1ble9mvdef" w:id="0"/>
      <w:bookmarkEnd w:id="0"/>
      <w:r w:rsidDel="00000000" w:rsidR="00000000" w:rsidRPr="00000000">
        <w:rPr>
          <w:b w:val="1"/>
          <w:bCs w:val="1"/>
          <w:sz w:val="28"/>
          <w:szCs w:val="28"/>
          <w:rtl w:val="0"/>
        </w:rPr>
        <w:t xml:space="preserve">Academic Session: Nov-Dec 2025 / 2026</w:t>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before="7" w:lineRule="auto"/>
        <w:ind w:right="30"/>
        <w:jc w:val="center"/>
        <w:rPr>
          <w:b w:val="1"/>
          <w:bCs w:val="1"/>
          <w:sz w:val="32"/>
          <w:szCs w:val="32"/>
          <w:u w:val="single"/>
        </w:rPr>
      </w:pPr>
      <w:r w:rsidDel="00000000" w:rsidR="00000000" w:rsidRPr="00000000">
        <w:rPr>
          <w:b w:val="1"/>
          <w:bCs w:val="1"/>
          <w:sz w:val="32"/>
          <w:szCs w:val="32"/>
          <w:u w:val="single"/>
          <w:rtl w:val="0"/>
        </w:rPr>
        <w:t xml:space="preserve">Table of Content</w:t>
      </w:r>
      <w:r w:rsidDel="00000000" w:rsidR="00000000" w:rsidRPr="00000000">
        <ns6:AlternateContent>
          <ns6:Choice Requires="wps">
            <w:drawing>
              <wp:anchor allowOverlap="1" behindDoc="0" distB="0" distT="0" distL="114300" distR="114300" hidden="0" layoutInCell="1" locked="0" relativeHeight="0" simplePos="0">
                <wp:simplePos x="0" y="0"/>
                <wp:positionH relativeFrom="column">
                  <wp:posOffset>3086100</wp:posOffset>
                </wp:positionH>
                <wp:positionV relativeFrom="paragraph">
                  <wp:posOffset>101600</wp:posOffset>
                </wp:positionV>
                <wp:extent cx="2438400" cy="1270"/>
                <wp:effectExtent b="0" l="0" r="0" t="0"/>
                <wp:wrapTopAndBottom distB="0" distT="0"/>
                <wp:docPr id="1" name=""/>
                <a:graphic>
                  <a:graphicData uri="http://schemas.microsoft.com/office/word/2010/wordprocessingShape">
                    <ns7:wsp>
                      <ns7:cNvSpPr/>
                      <ns7:spPr>
                        <a:xfrm>
                          <a:off x="0" y="0"/>
                          <a:ext cx="2438400" cy="1270"/>
                        </a:xfrm>
                        <a:custGeom>
                          <a:avLst/>
                          <a:gdLst/>
                          <a:ahLst/>
                          <a:cxnLst/>
                          <a:rect b="b" l="l" r="r" t="t"/>
                          <a:pathLst>
                            <a:path extrusionOk="0" h="1270" w="2438400">
                              <a:moveTo>
                                <a:pt x="0" y="0"/>
                              </a:moveTo>
                              <a:lnTo>
                                <a:pt x="2438400" y="0"/>
                              </a:lnTo>
                            </a:path>
                          </a:pathLst>
                        </a:custGeom>
                        <a:noFill/>
                        <a:ln cap="flat" cmpd="sng" w="9525">
                          <a:solidFill>
                            <a:srgbClr val="000000"/>
                          </a:solidFill>
                          <a:prstDash val="solid"/>
                          <a:round/>
                          <a:headEnd len="sm" w="sm" type="none"/>
                          <a:tailEnd len="sm" w="sm" type="none"/>
                        </a:ln>
                      </ns7:spPr>
                      <ns7:bodyPr anchorCtr="0" anchor="ctr" bIns="91425" lIns="91425" spcFirstLastPara="1" rIns="91425" wrap="square" tIns="91425">
                        <a:noAutofit/>
                      </ns7:bodyPr>
                    </ns7:wsp>
                  </a:graphicData>
                </a:graphic>
              </wp:anchor>
            </w:drawing>
          </ns6:Choice>
          <ns6:Fallback>
            <w:drawing>
              <wp:anchor allowOverlap="1" behindDoc="0" distB="0" distT="0" distL="114300" distR="114300" hidden="0" layoutInCell="1" locked="0" relativeHeight="0" simplePos="0">
                <wp:simplePos x="0" y="0"/>
                <wp:positionH relativeFrom="column">
                  <wp:posOffset>3086100</wp:posOffset>
                </wp:positionH>
                <wp:positionV relativeFrom="paragraph">
                  <wp:posOffset>101600</wp:posOffset>
                </wp:positionV>
                <wp:extent cx="2438400" cy="1270"/>
                <wp:effectExtent b="0" l="0" r="0" t="0"/>
                <wp:wrapTopAndBottom distB="0" dist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438400" cy="1270"/>
                        </a:xfrm>
                        <a:prstGeom prst="rect"/>
                        <a:ln/>
                      </pic:spPr>
                    </pic:pic>
                  </a:graphicData>
                </a:graphic>
              </wp:anchor>
            </w:drawing>
          </ns6:Fallback>
        </ns6:AlternateContent>
      </w:r>
      <w:r w:rsidDel="00000000" w:rsidR="00000000" w:rsidRPr="00000000">
        <ns6:AlternateContent>
          <ns6:Choice Requires="wps">
            <w:drawing>
              <wp:anchor allowOverlap="1" behindDoc="0" distB="0" distT="0" distL="114300" distR="114300" hidden="0" layoutInCell="1" locked="0" relativeHeight="0" simplePos="0">
                <wp:simplePos x="0" y="0"/>
                <wp:positionH relativeFrom="column">
                  <wp:posOffset>304800</wp:posOffset>
                </wp:positionH>
                <wp:positionV relativeFrom="paragraph">
                  <wp:posOffset>101600</wp:posOffset>
                </wp:positionV>
                <wp:extent cx="2057400" cy="1270"/>
                <wp:effectExtent b="0" l="0" r="0" t="0"/>
                <wp:wrapTopAndBottom distB="0" distT="0"/>
                <wp:docPr id="2" name=""/>
                <a:graphic>
                  <a:graphicData uri="http://schemas.microsoft.com/office/word/2010/wordprocessingShape">
                    <ns7:wsp>
                      <ns7:cNvSpPr/>
                      <ns7:spPr>
                        <a:xfrm>
                          <a:off x="0" y="0"/>
                          <a:ext cx="2057400" cy="1270"/>
                        </a:xfrm>
                        <a:custGeom>
                          <a:avLst/>
                          <a:gdLst/>
                          <a:ahLst/>
                          <a:cxnLst/>
                          <a:rect b="b" l="l" r="r" t="t"/>
                          <a:pathLst>
                            <a:path extrusionOk="0" h="1270" w="2057400">
                              <a:moveTo>
                                <a:pt x="0" y="0"/>
                              </a:moveTo>
                              <a:lnTo>
                                <a:pt x="2057400" y="0"/>
                              </a:lnTo>
                            </a:path>
                          </a:pathLst>
                        </a:custGeom>
                        <a:noFill/>
                        <a:ln cap="flat" cmpd="sng" w="9525">
                          <a:solidFill>
                            <a:srgbClr val="000000"/>
                          </a:solidFill>
                          <a:prstDash val="solid"/>
                          <a:round/>
                          <a:headEnd len="sm" w="sm" type="none"/>
                          <a:tailEnd len="sm" w="sm" type="none"/>
                        </a:ln>
                      </ns7:spPr>
                      <ns7:bodyPr anchorCtr="0" anchor="ctr" bIns="91425" lIns="91425" spcFirstLastPara="1" rIns="91425" wrap="square" tIns="91425">
                        <a:noAutofit/>
                      </ns7:bodyPr>
                    </ns7:wsp>
                  </a:graphicData>
                </a:graphic>
              </wp:anchor>
            </w:drawing>
          </ns6:Choice>
          <ns6:Fallback>
            <w:drawing>
              <wp:anchor allowOverlap="1" behindDoc="0" distB="0" distT="0" distL="114300" distR="114300" hidden="0" layoutInCell="1" locked="0" relativeHeight="0" simplePos="0">
                <wp:simplePos x="0" y="0"/>
                <wp:positionH relativeFrom="column">
                  <wp:posOffset>304800</wp:posOffset>
                </wp:positionH>
                <wp:positionV relativeFrom="paragraph">
                  <wp:posOffset>101600</wp:posOffset>
                </wp:positionV>
                <wp:extent cx="2057400" cy="1270"/>
                <wp:effectExtent b="0" l="0" r="0" t="0"/>
                <wp:wrapTopAndBottom distB="0" dist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057400" cy="1270"/>
                        </a:xfrm>
                        <a:prstGeom prst="rect"/>
                        <a:ln/>
                      </pic:spPr>
                    </pic:pic>
                  </a:graphicData>
                </a:graphic>
              </wp:anchor>
            </w:drawing>
          </ns6:Fallback>
        </ns6:AlternateContent>
      </w:r>
    </w:p>
    <w:p w:rsidR="00000000" w:rsidDel="00000000" w:rsidP="00000000" w:rsidRDefault="00000000" w:rsidRPr="00000000" w14:paraId="00000020">
      <w:pPr>
        <w:pBdr>
          <w:top w:space="0" w:sz="0" w:val="nil"/>
          <w:left w:space="0" w:sz="0" w:val="nil"/>
          <w:bottom w:space="0" w:sz="0" w:val="nil"/>
          <w:right w:space="0" w:sz="0" w:val="nil"/>
          <w:between w:space="0" w:sz="0" w:val="nil"/>
        </w:pBdr>
        <w:ind w:right="30"/>
        <w:jc w:val="center"/>
        <w:rPr>
          <w:b w:val="1"/>
          <w:bCs w:val="1"/>
          <w:color w:val="000000"/>
          <w:sz w:val="32"/>
          <w:szCs w:val="32"/>
        </w:rPr>
      </w:pPr>
      <w:r w:rsidDel="00000000" w:rsidR="00000000" w:rsidRPr="00000000">
        <w:rPr>
          <w:rtl w:val="0"/>
        </w:rPr>
      </w:r>
    </w:p>
    <w:tbl>
      <w:tblPr>
        <w:tblStyle w:val="Table1"/>
        <w:tblW w:w="9830.000000000002" w:type="dxa"/>
        <w:jc w:val="left"/>
        <w:tblLayout w:type="fixed"/>
        <w:tblLook w:val="0400"/>
      </w:tblPr>
      <w:tblGrid>
        <w:gridCol w:w="1742"/>
        <w:gridCol w:w="7387"/>
        <w:gridCol w:w="701"/>
        <w:tblGridChange w:id="0">
          <w:tblGrid>
            <w:gridCol w:w="1742"/>
            <w:gridCol w:w="7387"/>
            <w:gridCol w:w="701"/>
          </w:tblGrid>
        </w:tblGridChange>
      </w:tblGrid>
      <w:tr>
        <w:trPr>
          <w:cantSplit w:val="0"/>
          <w:tblHeader w:val="1"/>
        </w:trPr>
        <w:tc>
          <w:tcPr>
            <w:tcBorders>
              <w:top w:color="000000" w:space="0" w:sz="4" w:val="single"/>
              <w:bottom w:color="000000" w:space="0" w:sz="4" w:val="single"/>
            </w:tcBorders>
            <w:vAlign w:val="center"/>
          </w:tcPr>
          <w:p w:rsidR="00000000" w:rsidDel="00000000" w:rsidP="00000000" w:rsidRDefault="00000000" w:rsidRPr="00000000" w14:paraId="00000021">
            <w:pPr>
              <w:widowControl w:val="1"/>
              <w:rPr>
                <w:b w:val="1"/>
                <w:bCs w:val="1"/>
                <w:sz w:val="24"/>
                <w:szCs w:val="24"/>
              </w:rPr>
            </w:pPr>
            <w:r w:rsidDel="00000000" w:rsidR="00000000" w:rsidRPr="00000000">
              <w:rPr>
                <w:b w:val="1"/>
                <w:bCs w:val="1"/>
                <w:sz w:val="24"/>
                <w:szCs w:val="24"/>
                <w:rtl w:val="0"/>
              </w:rPr>
              <w:t xml:space="preserve">Chapter/Section</w:t>
            </w:r>
          </w:p>
        </w:tc>
        <w:tc>
          <w:tcPr>
            <w:tcBorders>
              <w:top w:color="000000" w:space="0" w:sz="4" w:val="single"/>
              <w:bottom w:color="000000" w:space="0" w:sz="4" w:val="single"/>
            </w:tcBorders>
            <w:vAlign w:val="center"/>
          </w:tcPr>
          <w:p w:rsidR="00000000" w:rsidDel="00000000" w:rsidP="00000000" w:rsidRDefault="00000000" w:rsidRPr="00000000" w14:paraId="00000022">
            <w:pPr>
              <w:widowControl w:val="1"/>
              <w:jc w:val="center"/>
              <w:rPr>
                <w:b w:val="1"/>
                <w:bCs w:val="1"/>
                <w:sz w:val="24"/>
                <w:szCs w:val="24"/>
              </w:rPr>
            </w:pPr>
            <w:r w:rsidDel="00000000" w:rsidR="00000000" w:rsidRPr="00000000">
              <w:rPr>
                <w:b w:val="1"/>
                <w:bCs w:val="1"/>
                <w:sz w:val="24"/>
                <w:szCs w:val="24"/>
                <w:rtl w:val="0"/>
              </w:rPr>
              <w:t xml:space="preserve">Title</w:t>
            </w:r>
          </w:p>
        </w:tc>
        <w:tc>
          <w:tcPr>
            <w:tcBorders>
              <w:top w:color="000000" w:space="0" w:sz="4" w:val="single"/>
              <w:bottom w:color="000000" w:space="0" w:sz="4" w:val="single"/>
            </w:tcBorders>
            <w:vAlign w:val="center"/>
          </w:tcPr>
          <w:p w:rsidR="00000000" w:rsidDel="00000000" w:rsidP="00000000" w:rsidRDefault="00000000" w:rsidRPr="00000000" w14:paraId="00000023">
            <w:pPr>
              <w:widowControl w:val="1"/>
              <w:jc w:val="center"/>
              <w:rPr>
                <w:b w:val="1"/>
                <w:bCs w:val="1"/>
                <w:sz w:val="24"/>
                <w:szCs w:val="24"/>
              </w:rPr>
            </w:pPr>
            <w:r w:rsidDel="00000000" w:rsidR="00000000" w:rsidRPr="00000000">
              <w:rPr>
                <w:b w:val="1"/>
                <w:bCs w:val="1"/>
                <w:sz w:val="24"/>
                <w:szCs w:val="24"/>
                <w:rtl w:val="0"/>
              </w:rPr>
              <w:t xml:space="preserve">Page No.</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024">
            <w:pPr>
              <w:spacing w:line="276" w:lineRule="auto"/>
              <w:jc w:val="center"/>
              <w:rPr>
                <w:sz w:val="24"/>
                <w:szCs w:val="24"/>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25">
            <w:pPr>
              <w:spacing w:line="276" w:lineRule="auto"/>
              <w:rPr>
                <w:sz w:val="24"/>
                <w:szCs w:val="24"/>
              </w:rPr>
            </w:pPr>
            <w:r w:rsidDel="00000000" w:rsidR="00000000" w:rsidRPr="00000000">
              <w:rPr>
                <w:sz w:val="24"/>
                <w:szCs w:val="24"/>
                <w:rtl w:val="0"/>
              </w:rPr>
              <w:t xml:space="preserve">ABSTRACT</w:t>
            </w:r>
          </w:p>
        </w:tc>
        <w:tc>
          <w:tcPr>
            <w:tcMar>
              <w:top w:w="40.0" w:type="dxa"/>
              <w:left w:w="40.0" w:type="dxa"/>
              <w:bottom w:w="40.0" w:type="dxa"/>
              <w:right w:w="40.0" w:type="dxa"/>
            </w:tcMar>
            <w:vAlign w:val="bottom"/>
          </w:tcPr>
          <w:p w:rsidR="00000000" w:rsidDel="00000000" w:rsidP="00000000" w:rsidRDefault="00000000" w:rsidRPr="00000000" w14:paraId="00000026">
            <w:pPr>
              <w:spacing w:line="276" w:lineRule="auto"/>
              <w:jc w:val="center"/>
              <w:rPr>
                <w:sz w:val="24"/>
                <w:szCs w:val="24"/>
              </w:rPr>
            </w:pPr>
            <w:r w:rsidDel="00000000" w:rsidR="00000000" w:rsidRPr="00000000">
              <w:rPr>
                <w:sz w:val="24"/>
                <w:szCs w:val="24"/>
                <w:rtl w:val="0"/>
              </w:rPr>
              <w:t xml:space="preserve">i</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027">
            <w:pPr>
              <w:spacing w:line="276" w:lineRule="auto"/>
              <w:jc w:val="center"/>
              <w:rPr>
                <w:sz w:val="24"/>
                <w:szCs w:val="24"/>
              </w:rPr>
            </w:pPr>
            <w:r w:rsidDel="00000000" w:rsidR="00000000" w:rsidRPr="00000000">
              <w:rPr>
                <w:sz w:val="24"/>
                <w:szCs w:val="24"/>
                <w:rtl w:val="0"/>
              </w:rPr>
              <w:t xml:space="preserve">CHAPTER 1</w:t>
            </w:r>
          </w:p>
        </w:tc>
        <w:tc>
          <w:tcPr>
            <w:tcMar>
              <w:top w:w="40.0" w:type="dxa"/>
              <w:left w:w="40.0" w:type="dxa"/>
              <w:bottom w:w="40.0" w:type="dxa"/>
              <w:right w:w="40.0" w:type="dxa"/>
            </w:tcMar>
            <w:vAlign w:val="bottom"/>
          </w:tcPr>
          <w:p w:rsidR="00000000" w:rsidDel="00000000" w:rsidP="00000000" w:rsidRDefault="00000000" w:rsidRPr="00000000" w14:paraId="00000028">
            <w:pPr>
              <w:spacing w:line="276" w:lineRule="auto"/>
              <w:rPr>
                <w:sz w:val="24"/>
                <w:szCs w:val="24"/>
              </w:rPr>
            </w:pPr>
            <w:r w:rsidDel="00000000" w:rsidR="00000000" w:rsidRPr="00000000">
              <w:rPr>
                <w:sz w:val="24"/>
                <w:szCs w:val="24"/>
                <w:rtl w:val="0"/>
              </w:rPr>
              <w:t xml:space="preserve">INTRODUCTION</w:t>
            </w:r>
          </w:p>
        </w:tc>
        <w:tc>
          <w:tcPr>
            <w:tcMar>
              <w:top w:w="40.0" w:type="dxa"/>
              <w:left w:w="40.0" w:type="dxa"/>
              <w:bottom w:w="40.0" w:type="dxa"/>
              <w:right w:w="40.0" w:type="dxa"/>
            </w:tcMar>
            <w:vAlign w:val="bottom"/>
          </w:tcPr>
          <w:p w:rsidR="00000000" w:rsidDel="00000000" w:rsidP="00000000" w:rsidRDefault="00000000" w:rsidRPr="00000000" w14:paraId="00000029">
            <w:pPr>
              <w:spacing w:line="276" w:lineRule="auto"/>
              <w:jc w:val="center"/>
              <w:rPr>
                <w:sz w:val="24"/>
                <w:szCs w:val="24"/>
              </w:rPr>
            </w:pPr>
            <w:r w:rsidDel="00000000" w:rsidR="00000000" w:rsidRPr="00000000">
              <w:rPr>
                <w:sz w:val="24"/>
                <w:szCs w:val="24"/>
                <w:rtl w:val="0"/>
              </w:rPr>
              <w:t xml:space="preserve">1</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02A">
            <w:pPr>
              <w:spacing w:line="276" w:lineRule="auto"/>
              <w:jc w:val="center"/>
              <w:rPr>
                <w:sz w:val="24"/>
                <w:szCs w:val="24"/>
              </w:rPr>
            </w:pPr>
            <w:r w:rsidDel="00000000" w:rsidR="00000000" w:rsidRPr="00000000">
              <w:rPr>
                <w:sz w:val="24"/>
                <w:szCs w:val="24"/>
                <w:rtl w:val="0"/>
              </w:rPr>
              <w:t xml:space="preserve">1.1</w:t>
            </w:r>
          </w:p>
        </w:tc>
        <w:tc>
          <w:tcPr>
            <w:tcMar>
              <w:top w:w="40.0" w:type="dxa"/>
              <w:left w:w="40.0" w:type="dxa"/>
              <w:bottom w:w="40.0" w:type="dxa"/>
              <w:right w:w="40.0" w:type="dxa"/>
            </w:tcMar>
            <w:vAlign w:val="bottom"/>
          </w:tcPr>
          <w:p w:rsidR="00000000" w:rsidDel="00000000" w:rsidP="00000000" w:rsidRDefault="00000000" w:rsidRPr="00000000" w14:paraId="0000002B">
            <w:pPr>
              <w:spacing w:line="276" w:lineRule="auto"/>
              <w:rPr>
                <w:sz w:val="24"/>
                <w:szCs w:val="24"/>
              </w:rPr>
            </w:pPr>
            <w:r w:rsidDel="00000000" w:rsidR="00000000" w:rsidRPr="00000000">
              <w:rPr>
                <w:sz w:val="24"/>
                <w:szCs w:val="24"/>
                <w:rtl w:val="0"/>
              </w:rPr>
              <w:t xml:space="preserve">Brief Overview of the Project Topic</w:t>
            </w:r>
          </w:p>
        </w:tc>
        <w:tc>
          <w:tcPr>
            <w:tcMar>
              <w:top w:w="40.0" w:type="dxa"/>
              <w:left w:w="40.0" w:type="dxa"/>
              <w:bottom w:w="40.0" w:type="dxa"/>
              <w:right w:w="40.0" w:type="dxa"/>
            </w:tcMar>
            <w:vAlign w:val="bottom"/>
          </w:tcPr>
          <w:p w:rsidR="00000000" w:rsidDel="00000000" w:rsidP="00000000" w:rsidRDefault="00000000" w:rsidRPr="00000000" w14:paraId="0000002C">
            <w:pPr>
              <w:spacing w:line="276" w:lineRule="auto"/>
              <w:jc w:val="center"/>
              <w:rPr>
                <w:sz w:val="24"/>
                <w:szCs w:val="24"/>
              </w:rPr>
            </w:pPr>
            <w:r w:rsidDel="00000000" w:rsidR="00000000" w:rsidRPr="00000000">
              <w:rPr>
                <w:sz w:val="24"/>
                <w:szCs w:val="24"/>
                <w:rtl w:val="0"/>
              </w:rPr>
              <w:t xml:space="preserve">2</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02D">
            <w:pPr>
              <w:spacing w:line="276" w:lineRule="auto"/>
              <w:jc w:val="center"/>
              <w:rPr>
                <w:sz w:val="24"/>
                <w:szCs w:val="24"/>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2E">
            <w:pPr>
              <w:spacing w:line="276" w:lineRule="auto"/>
              <w:rPr>
                <w:sz w:val="24"/>
                <w:szCs w:val="24"/>
              </w:rPr>
            </w:pPr>
            <w:r w:rsidDel="00000000" w:rsidR="00000000" w:rsidRPr="00000000">
              <w:rPr>
                <w:sz w:val="24"/>
                <w:szCs w:val="24"/>
                <w:rtl w:val="0"/>
              </w:rPr>
              <w:t xml:space="preserve">- Introduction to the topic</w:t>
            </w:r>
          </w:p>
        </w:tc>
        <w:tc>
          <w:tcPr>
            <w:tcMar>
              <w:top w:w="40.0" w:type="dxa"/>
              <w:left w:w="40.0" w:type="dxa"/>
              <w:bottom w:w="40.0" w:type="dxa"/>
              <w:right w:w="40.0" w:type="dxa"/>
            </w:tcMar>
            <w:vAlign w:val="bottom"/>
          </w:tcPr>
          <w:p w:rsidR="00000000" w:rsidDel="00000000" w:rsidP="00000000" w:rsidRDefault="00000000" w:rsidRPr="00000000" w14:paraId="0000002F">
            <w:pPr>
              <w:spacing w:line="276" w:lineRule="auto"/>
              <w:jc w:val="center"/>
              <w:rPr>
                <w:sz w:val="24"/>
                <w:szCs w:val="24"/>
              </w:rPr>
            </w:pPr>
            <w:r w:rsidDel="00000000" w:rsidR="00000000" w:rsidRPr="00000000">
              <w:rPr>
                <w:sz w:val="24"/>
                <w:szCs w:val="24"/>
                <w:rtl w:val="0"/>
              </w:rPr>
              <w:t xml:space="preserve">2</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030">
            <w:pPr>
              <w:spacing w:line="276" w:lineRule="auto"/>
              <w:jc w:val="center"/>
              <w:rPr>
                <w:sz w:val="24"/>
                <w:szCs w:val="24"/>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31">
            <w:pPr>
              <w:spacing w:line="276" w:lineRule="auto"/>
              <w:rPr>
                <w:sz w:val="24"/>
                <w:szCs w:val="24"/>
              </w:rPr>
            </w:pPr>
            <w:r w:rsidDel="00000000" w:rsidR="00000000" w:rsidRPr="00000000">
              <w:rPr>
                <w:sz w:val="24"/>
                <w:szCs w:val="24"/>
                <w:rtl w:val="0"/>
              </w:rPr>
              <w:t xml:space="preserve">- Relevance / Need of the project</w:t>
            </w:r>
          </w:p>
        </w:tc>
        <w:tc>
          <w:tcPr>
            <w:tcMar>
              <w:top w:w="40.0" w:type="dxa"/>
              <w:left w:w="40.0" w:type="dxa"/>
              <w:bottom w:w="40.0" w:type="dxa"/>
              <w:right w:w="40.0" w:type="dxa"/>
            </w:tcMar>
            <w:vAlign w:val="bottom"/>
          </w:tcPr>
          <w:p w:rsidR="00000000" w:rsidDel="00000000" w:rsidP="00000000" w:rsidRDefault="00000000" w:rsidRPr="00000000" w14:paraId="00000032">
            <w:pPr>
              <w:spacing w:line="276" w:lineRule="auto"/>
              <w:jc w:val="center"/>
              <w:rPr>
                <w:sz w:val="24"/>
                <w:szCs w:val="24"/>
              </w:rPr>
            </w:pPr>
            <w:r w:rsidDel="00000000" w:rsidR="00000000" w:rsidRPr="00000000">
              <w:rPr>
                <w:sz w:val="24"/>
                <w:szCs w:val="24"/>
                <w:rtl w:val="0"/>
              </w:rPr>
              <w:t xml:space="preserve">2</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033">
            <w:pPr>
              <w:spacing w:line="276" w:lineRule="auto"/>
              <w:jc w:val="center"/>
              <w:rPr>
                <w:sz w:val="24"/>
                <w:szCs w:val="24"/>
              </w:rPr>
            </w:pPr>
            <w:r w:rsidDel="00000000" w:rsidR="00000000" w:rsidRPr="00000000">
              <w:rPr>
                <w:sz w:val="24"/>
                <w:szCs w:val="24"/>
                <w:rtl w:val="0"/>
              </w:rPr>
              <w:t xml:space="preserve">1.2</w:t>
            </w:r>
          </w:p>
        </w:tc>
        <w:tc>
          <w:tcPr>
            <w:tcMar>
              <w:top w:w="40.0" w:type="dxa"/>
              <w:left w:w="40.0" w:type="dxa"/>
              <w:bottom w:w="40.0" w:type="dxa"/>
              <w:right w:w="40.0" w:type="dxa"/>
            </w:tcMar>
            <w:vAlign w:val="bottom"/>
          </w:tcPr>
          <w:p w:rsidR="00000000" w:rsidDel="00000000" w:rsidP="00000000" w:rsidRDefault="00000000" w:rsidRPr="00000000" w14:paraId="00000034">
            <w:pPr>
              <w:spacing w:line="276" w:lineRule="auto"/>
              <w:rPr>
                <w:sz w:val="24"/>
                <w:szCs w:val="24"/>
              </w:rPr>
            </w:pPr>
            <w:r w:rsidDel="00000000" w:rsidR="00000000" w:rsidRPr="00000000">
              <w:rPr>
                <w:sz w:val="24"/>
                <w:szCs w:val="24"/>
                <w:rtl w:val="0"/>
              </w:rPr>
              <w:t xml:space="preserve">Purpose / Problem Statement</w:t>
            </w:r>
          </w:p>
        </w:tc>
        <w:tc>
          <w:tcPr>
            <w:tcMar>
              <w:top w:w="40.0" w:type="dxa"/>
              <w:left w:w="40.0" w:type="dxa"/>
              <w:bottom w:w="40.0" w:type="dxa"/>
              <w:right w:w="40.0" w:type="dxa"/>
            </w:tcMar>
            <w:vAlign w:val="bottom"/>
          </w:tcPr>
          <w:p w:rsidR="00000000" w:rsidDel="00000000" w:rsidP="00000000" w:rsidRDefault="00000000" w:rsidRPr="00000000" w14:paraId="00000035">
            <w:pPr>
              <w:spacing w:line="276" w:lineRule="auto"/>
              <w:jc w:val="center"/>
              <w:rPr>
                <w:sz w:val="24"/>
                <w:szCs w:val="24"/>
              </w:rPr>
            </w:pPr>
            <w:r w:rsidDel="00000000" w:rsidR="00000000" w:rsidRPr="00000000">
              <w:rPr>
                <w:sz w:val="24"/>
                <w:szCs w:val="24"/>
                <w:rtl w:val="0"/>
              </w:rPr>
              <w:t xml:space="preserve">3</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036">
            <w:pPr>
              <w:spacing w:line="276" w:lineRule="auto"/>
              <w:jc w:val="center"/>
              <w:rPr>
                <w:sz w:val="24"/>
                <w:szCs w:val="24"/>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37">
            <w:pPr>
              <w:spacing w:line="276" w:lineRule="auto"/>
              <w:rPr>
                <w:sz w:val="24"/>
                <w:szCs w:val="24"/>
              </w:rPr>
            </w:pPr>
            <w:r w:rsidDel="00000000" w:rsidR="00000000" w:rsidRPr="00000000">
              <w:rPr>
                <w:sz w:val="24"/>
                <w:szCs w:val="24"/>
                <w:rtl w:val="0"/>
              </w:rPr>
              <w:t xml:space="preserve">- Problem identification</w:t>
            </w:r>
          </w:p>
        </w:tc>
        <w:tc>
          <w:tcPr>
            <w:tcMar>
              <w:top w:w="40.0" w:type="dxa"/>
              <w:left w:w="40.0" w:type="dxa"/>
              <w:bottom w:w="40.0" w:type="dxa"/>
              <w:right w:w="40.0" w:type="dxa"/>
            </w:tcMar>
            <w:vAlign w:val="bottom"/>
          </w:tcPr>
          <w:p w:rsidR="00000000" w:rsidDel="00000000" w:rsidP="00000000" w:rsidRDefault="00000000" w:rsidRPr="00000000" w14:paraId="00000038">
            <w:pPr>
              <w:spacing w:line="276" w:lineRule="auto"/>
              <w:jc w:val="center"/>
              <w:rPr>
                <w:sz w:val="24"/>
                <w:szCs w:val="24"/>
              </w:rPr>
            </w:pPr>
            <w:r w:rsidDel="00000000" w:rsidR="00000000" w:rsidRPr="00000000">
              <w:rPr>
                <w:sz w:val="24"/>
                <w:szCs w:val="24"/>
                <w:rtl w:val="0"/>
              </w:rPr>
              <w:t xml:space="preserve">3</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039">
            <w:pPr>
              <w:spacing w:line="276" w:lineRule="auto"/>
              <w:jc w:val="center"/>
              <w:rPr>
                <w:sz w:val="24"/>
                <w:szCs w:val="24"/>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3A">
            <w:pPr>
              <w:spacing w:line="276" w:lineRule="auto"/>
              <w:rPr>
                <w:sz w:val="24"/>
                <w:szCs w:val="24"/>
              </w:rPr>
            </w:pPr>
            <w:r w:rsidDel="00000000" w:rsidR="00000000" w:rsidRPr="00000000">
              <w:rPr>
                <w:sz w:val="24"/>
                <w:szCs w:val="24"/>
                <w:rtl w:val="0"/>
              </w:rPr>
              <w:t xml:space="preserve">- Objectives</w:t>
            </w:r>
          </w:p>
        </w:tc>
        <w:tc>
          <w:tcPr>
            <w:tcMar>
              <w:top w:w="40.0" w:type="dxa"/>
              <w:left w:w="40.0" w:type="dxa"/>
              <w:bottom w:w="40.0" w:type="dxa"/>
              <w:right w:w="40.0" w:type="dxa"/>
            </w:tcMar>
            <w:vAlign w:val="bottom"/>
          </w:tcPr>
          <w:p w:rsidR="00000000" w:rsidDel="00000000" w:rsidP="00000000" w:rsidRDefault="00000000" w:rsidRPr="00000000" w14:paraId="0000003B">
            <w:pPr>
              <w:spacing w:line="276" w:lineRule="auto"/>
              <w:jc w:val="center"/>
              <w:rPr>
                <w:sz w:val="24"/>
                <w:szCs w:val="24"/>
              </w:rPr>
            </w:pPr>
            <w:r w:rsidDel="00000000" w:rsidR="00000000" w:rsidRPr="00000000">
              <w:rPr>
                <w:sz w:val="24"/>
                <w:szCs w:val="24"/>
                <w:rtl w:val="0"/>
              </w:rPr>
              <w:t xml:space="preserve">3</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03C">
            <w:pPr>
              <w:spacing w:line="276" w:lineRule="auto"/>
              <w:jc w:val="center"/>
              <w:rPr>
                <w:sz w:val="24"/>
                <w:szCs w:val="24"/>
              </w:rPr>
            </w:pPr>
            <w:r w:rsidDel="00000000" w:rsidR="00000000" w:rsidRPr="00000000">
              <w:rPr>
                <w:sz w:val="24"/>
                <w:szCs w:val="24"/>
                <w:rtl w:val="0"/>
              </w:rPr>
              <w:t xml:space="preserve">1.5</w:t>
            </w:r>
          </w:p>
        </w:tc>
        <w:tc>
          <w:tcPr>
            <w:tcMar>
              <w:top w:w="40.0" w:type="dxa"/>
              <w:left w:w="40.0" w:type="dxa"/>
              <w:bottom w:w="40.0" w:type="dxa"/>
              <w:right w:w="40.0" w:type="dxa"/>
            </w:tcMar>
            <w:vAlign w:val="bottom"/>
          </w:tcPr>
          <w:p w:rsidR="00000000" w:rsidDel="00000000" w:rsidP="00000000" w:rsidRDefault="00000000" w:rsidRPr="00000000" w14:paraId="0000003D">
            <w:pPr>
              <w:spacing w:line="276" w:lineRule="auto"/>
              <w:rPr>
                <w:sz w:val="24"/>
                <w:szCs w:val="24"/>
              </w:rPr>
            </w:pPr>
            <w:r w:rsidDel="00000000" w:rsidR="00000000" w:rsidRPr="00000000">
              <w:rPr>
                <w:sz w:val="24"/>
                <w:szCs w:val="24"/>
                <w:rtl w:val="0"/>
              </w:rPr>
              <w:t xml:space="preserve">Technology Overview</w:t>
            </w:r>
          </w:p>
        </w:tc>
        <w:tc>
          <w:tcPr>
            <w:tcMar>
              <w:top w:w="40.0" w:type="dxa"/>
              <w:left w:w="40.0" w:type="dxa"/>
              <w:bottom w:w="40.0" w:type="dxa"/>
              <w:right w:w="40.0" w:type="dxa"/>
            </w:tcMar>
            <w:vAlign w:val="bottom"/>
          </w:tcPr>
          <w:p w:rsidR="00000000" w:rsidDel="00000000" w:rsidP="00000000" w:rsidRDefault="00000000" w:rsidRPr="00000000" w14:paraId="0000003E">
            <w:pPr>
              <w:spacing w:line="276" w:lineRule="auto"/>
              <w:jc w:val="center"/>
              <w:rPr>
                <w:sz w:val="24"/>
                <w:szCs w:val="24"/>
              </w:rPr>
            </w:pPr>
            <w:r w:rsidDel="00000000" w:rsidR="00000000" w:rsidRPr="00000000">
              <w:rPr>
                <w:sz w:val="24"/>
                <w:szCs w:val="24"/>
                <w:rtl w:val="0"/>
              </w:rPr>
              <w:t xml:space="preserve">6</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03F">
            <w:pPr>
              <w:spacing w:line="276" w:lineRule="auto"/>
              <w:jc w:val="center"/>
              <w:rPr>
                <w:sz w:val="24"/>
                <w:szCs w:val="24"/>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40">
            <w:pPr>
              <w:spacing w:line="276" w:lineRule="auto"/>
              <w:rPr>
                <w:sz w:val="24"/>
                <w:szCs w:val="24"/>
              </w:rPr>
            </w:pPr>
            <w:r w:rsidDel="00000000" w:rsidR="00000000" w:rsidRPr="00000000">
              <w:rPr>
                <w:sz w:val="24"/>
                <w:szCs w:val="24"/>
                <w:rtl w:val="0"/>
              </w:rPr>
              <w:t xml:space="preserve">- Overview of relevant technologies</w:t>
            </w:r>
          </w:p>
        </w:tc>
        <w:tc>
          <w:tcPr>
            <w:tcMar>
              <w:top w:w="40.0" w:type="dxa"/>
              <w:left w:w="40.0" w:type="dxa"/>
              <w:bottom w:w="40.0" w:type="dxa"/>
              <w:right w:w="40.0" w:type="dxa"/>
            </w:tcMar>
            <w:vAlign w:val="bottom"/>
          </w:tcPr>
          <w:p w:rsidR="00000000" w:rsidDel="00000000" w:rsidP="00000000" w:rsidRDefault="00000000" w:rsidRPr="00000000" w14:paraId="00000041">
            <w:pPr>
              <w:spacing w:line="276" w:lineRule="auto"/>
              <w:jc w:val="center"/>
              <w:rPr>
                <w:sz w:val="24"/>
                <w:szCs w:val="24"/>
              </w:rPr>
            </w:pPr>
            <w:r w:rsidDel="00000000" w:rsidR="00000000" w:rsidRPr="00000000">
              <w:rPr>
                <w:sz w:val="24"/>
                <w:szCs w:val="24"/>
                <w:rtl w:val="0"/>
              </w:rPr>
              <w:t xml:space="preserve">6</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042">
            <w:pPr>
              <w:spacing w:line="276" w:lineRule="auto"/>
              <w:jc w:val="center"/>
              <w:rPr>
                <w:sz w:val="24"/>
                <w:szCs w:val="24"/>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43">
            <w:pPr>
              <w:spacing w:line="276" w:lineRule="auto"/>
              <w:rPr>
                <w:sz w:val="24"/>
                <w:szCs w:val="24"/>
              </w:rPr>
            </w:pPr>
            <w:r w:rsidDel="00000000" w:rsidR="00000000" w:rsidRPr="00000000">
              <w:rPr>
                <w:sz w:val="24"/>
                <w:szCs w:val="24"/>
                <w:rtl w:val="0"/>
              </w:rPr>
              <w:t xml:space="preserve">- Tools and platforms used</w:t>
            </w:r>
          </w:p>
        </w:tc>
        <w:tc>
          <w:tcPr>
            <w:tcMar>
              <w:top w:w="40.0" w:type="dxa"/>
              <w:left w:w="40.0" w:type="dxa"/>
              <w:bottom w:w="40.0" w:type="dxa"/>
              <w:right w:w="40.0" w:type="dxa"/>
            </w:tcMar>
            <w:vAlign w:val="bottom"/>
          </w:tcPr>
          <w:p w:rsidR="00000000" w:rsidDel="00000000" w:rsidP="00000000" w:rsidRDefault="00000000" w:rsidRPr="00000000" w14:paraId="00000044">
            <w:pPr>
              <w:spacing w:line="276" w:lineRule="auto"/>
              <w:jc w:val="center"/>
              <w:rPr>
                <w:sz w:val="24"/>
                <w:szCs w:val="24"/>
              </w:rPr>
            </w:pPr>
            <w:r w:rsidDel="00000000" w:rsidR="00000000" w:rsidRPr="00000000">
              <w:rPr>
                <w:sz w:val="24"/>
                <w:szCs w:val="24"/>
                <w:rtl w:val="0"/>
              </w:rPr>
              <w:t xml:space="preserve">6</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045">
            <w:pPr>
              <w:spacing w:line="276" w:lineRule="auto"/>
              <w:jc w:val="center"/>
              <w:rPr>
                <w:sz w:val="24"/>
                <w:szCs w:val="24"/>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46">
            <w:pPr>
              <w:spacing w:line="276" w:lineRule="auto"/>
              <w:rPr>
                <w:sz w:val="24"/>
                <w:szCs w:val="24"/>
              </w:rPr>
            </w:pPr>
            <w:r w:rsidDel="00000000" w:rsidR="00000000" w:rsidRPr="00000000">
              <w:rPr>
                <w:sz w:val="24"/>
                <w:szCs w:val="24"/>
                <w:rtl w:val="0"/>
              </w:rPr>
              <w:t xml:space="preserve">- Justification for technology selection</w:t>
            </w:r>
          </w:p>
        </w:tc>
        <w:tc>
          <w:tcPr>
            <w:tcMar>
              <w:top w:w="40.0" w:type="dxa"/>
              <w:left w:w="40.0" w:type="dxa"/>
              <w:bottom w:w="40.0" w:type="dxa"/>
              <w:right w:w="40.0" w:type="dxa"/>
            </w:tcMar>
            <w:vAlign w:val="bottom"/>
          </w:tcPr>
          <w:p w:rsidR="00000000" w:rsidDel="00000000" w:rsidP="00000000" w:rsidRDefault="00000000" w:rsidRPr="00000000" w14:paraId="00000047">
            <w:pPr>
              <w:spacing w:line="276" w:lineRule="auto"/>
              <w:jc w:val="center"/>
              <w:rPr>
                <w:sz w:val="24"/>
                <w:szCs w:val="24"/>
              </w:rPr>
            </w:pPr>
            <w:r w:rsidDel="00000000" w:rsidR="00000000" w:rsidRPr="00000000">
              <w:rPr>
                <w:sz w:val="24"/>
                <w:szCs w:val="24"/>
                <w:rtl w:val="0"/>
              </w:rPr>
              <w:t xml:space="preserve">6</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048">
            <w:pPr>
              <w:spacing w:line="276" w:lineRule="auto"/>
              <w:jc w:val="center"/>
              <w:rPr>
                <w:sz w:val="24"/>
                <w:szCs w:val="24"/>
              </w:rPr>
            </w:pPr>
            <w:r w:rsidDel="00000000" w:rsidR="00000000" w:rsidRPr="00000000">
              <w:rPr>
                <w:sz w:val="24"/>
                <w:szCs w:val="24"/>
                <w:rtl w:val="0"/>
              </w:rPr>
              <w:t xml:space="preserve">CHAPTER 2</w:t>
            </w:r>
          </w:p>
        </w:tc>
        <w:tc>
          <w:tcPr>
            <w:tcMar>
              <w:top w:w="40.0" w:type="dxa"/>
              <w:left w:w="40.0" w:type="dxa"/>
              <w:bottom w:w="40.0" w:type="dxa"/>
              <w:right w:w="40.0" w:type="dxa"/>
            </w:tcMar>
            <w:vAlign w:val="bottom"/>
          </w:tcPr>
          <w:p w:rsidR="00000000" w:rsidDel="00000000" w:rsidP="00000000" w:rsidRDefault="00000000" w:rsidRPr="00000000" w14:paraId="00000049">
            <w:pPr>
              <w:spacing w:line="276" w:lineRule="auto"/>
              <w:rPr>
                <w:sz w:val="24"/>
                <w:szCs w:val="24"/>
              </w:rPr>
            </w:pPr>
            <w:r w:rsidDel="00000000" w:rsidR="00000000" w:rsidRPr="00000000">
              <w:rPr>
                <w:sz w:val="24"/>
                <w:szCs w:val="24"/>
                <w:rtl w:val="0"/>
              </w:rPr>
              <w:t xml:space="preserve">LITERATURE REVIEW</w:t>
            </w:r>
          </w:p>
        </w:tc>
        <w:tc>
          <w:tcPr>
            <w:tcMar>
              <w:top w:w="40.0" w:type="dxa"/>
              <w:left w:w="40.0" w:type="dxa"/>
              <w:bottom w:w="40.0" w:type="dxa"/>
              <w:right w:w="40.0" w:type="dxa"/>
            </w:tcMar>
            <w:vAlign w:val="bottom"/>
          </w:tcPr>
          <w:p w:rsidR="00000000" w:rsidDel="00000000" w:rsidP="00000000" w:rsidRDefault="00000000" w:rsidRPr="00000000" w14:paraId="0000004A">
            <w:pPr>
              <w:spacing w:line="276" w:lineRule="auto"/>
              <w:jc w:val="center"/>
              <w:rPr>
                <w:sz w:val="24"/>
                <w:szCs w:val="24"/>
              </w:rPr>
            </w:pPr>
            <w:r w:rsidDel="00000000" w:rsidR="00000000" w:rsidRPr="00000000">
              <w:rPr>
                <w:sz w:val="24"/>
                <w:szCs w:val="24"/>
                <w:rtl w:val="0"/>
              </w:rPr>
              <w:t xml:space="preserve">7</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04B">
            <w:pPr>
              <w:spacing w:line="276" w:lineRule="auto"/>
              <w:jc w:val="center"/>
              <w:rPr>
                <w:sz w:val="24"/>
                <w:szCs w:val="24"/>
              </w:rPr>
            </w:pPr>
            <w:r w:rsidDel="00000000" w:rsidR="00000000" w:rsidRPr="00000000">
              <w:rPr>
                <w:sz w:val="24"/>
                <w:szCs w:val="24"/>
                <w:rtl w:val="0"/>
              </w:rPr>
              <w:t xml:space="preserve">2.1</w:t>
            </w:r>
          </w:p>
        </w:tc>
        <w:tc>
          <w:tcPr>
            <w:tcMar>
              <w:top w:w="40.0" w:type="dxa"/>
              <w:left w:w="40.0" w:type="dxa"/>
              <w:bottom w:w="40.0" w:type="dxa"/>
              <w:right w:w="40.0" w:type="dxa"/>
            </w:tcMar>
            <w:vAlign w:val="bottom"/>
          </w:tcPr>
          <w:p w:rsidR="00000000" w:rsidDel="00000000" w:rsidP="00000000" w:rsidRDefault="00000000" w:rsidRPr="00000000" w14:paraId="0000004C">
            <w:pPr>
              <w:spacing w:line="276" w:lineRule="auto"/>
              <w:rPr>
                <w:sz w:val="24"/>
                <w:szCs w:val="24"/>
              </w:rPr>
            </w:pPr>
            <w:r w:rsidDel="00000000" w:rsidR="00000000" w:rsidRPr="00000000">
              <w:rPr>
                <w:sz w:val="24"/>
                <w:szCs w:val="24"/>
                <w:rtl w:val="0"/>
              </w:rPr>
              <w:t xml:space="preserve">Literature Review</w:t>
            </w:r>
          </w:p>
        </w:tc>
        <w:tc>
          <w:tcPr>
            <w:tcMar>
              <w:top w:w="40.0" w:type="dxa"/>
              <w:left w:w="40.0" w:type="dxa"/>
              <w:bottom w:w="40.0" w:type="dxa"/>
              <w:right w:w="40.0" w:type="dxa"/>
            </w:tcMar>
            <w:vAlign w:val="bottom"/>
          </w:tcPr>
          <w:p w:rsidR="00000000" w:rsidDel="00000000" w:rsidP="00000000" w:rsidRDefault="00000000" w:rsidRPr="00000000" w14:paraId="0000004D">
            <w:pPr>
              <w:spacing w:line="276" w:lineRule="auto"/>
              <w:jc w:val="center"/>
              <w:rPr>
                <w:sz w:val="24"/>
                <w:szCs w:val="24"/>
              </w:rPr>
            </w:pPr>
            <w:r w:rsidDel="00000000" w:rsidR="00000000" w:rsidRPr="00000000">
              <w:rPr>
                <w:sz w:val="24"/>
                <w:szCs w:val="24"/>
                <w:rtl w:val="0"/>
              </w:rPr>
              <w:t xml:space="preserve">8</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04E">
            <w:pPr>
              <w:spacing w:line="276" w:lineRule="auto"/>
              <w:jc w:val="center"/>
              <w:rPr>
                <w:sz w:val="24"/>
                <w:szCs w:val="24"/>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4F">
            <w:pPr>
              <w:spacing w:line="276" w:lineRule="auto"/>
              <w:rPr>
                <w:sz w:val="24"/>
                <w:szCs w:val="24"/>
              </w:rPr>
            </w:pPr>
            <w:r w:rsidDel="00000000" w:rsidR="00000000" w:rsidRPr="00000000">
              <w:rPr>
                <w:sz w:val="24"/>
                <w:szCs w:val="24"/>
                <w:rtl w:val="0"/>
              </w:rPr>
              <w:t xml:space="preserve">- Summary of existing research</w:t>
            </w:r>
          </w:p>
        </w:tc>
        <w:tc>
          <w:tcPr>
            <w:tcMar>
              <w:top w:w="40.0" w:type="dxa"/>
              <w:left w:w="40.0" w:type="dxa"/>
              <w:bottom w:w="40.0" w:type="dxa"/>
              <w:right w:w="40.0" w:type="dxa"/>
            </w:tcMar>
            <w:vAlign w:val="bottom"/>
          </w:tcPr>
          <w:p w:rsidR="00000000" w:rsidDel="00000000" w:rsidP="00000000" w:rsidRDefault="00000000" w:rsidRPr="00000000" w14:paraId="00000050">
            <w:pPr>
              <w:spacing w:line="276" w:lineRule="auto"/>
              <w:jc w:val="center"/>
              <w:rPr>
                <w:sz w:val="24"/>
                <w:szCs w:val="24"/>
              </w:rPr>
            </w:pPr>
            <w:r w:rsidDel="00000000" w:rsidR="00000000" w:rsidRPr="00000000">
              <w:rPr>
                <w:sz w:val="24"/>
                <w:szCs w:val="24"/>
                <w:rtl w:val="0"/>
              </w:rPr>
              <w:t xml:space="preserve">8</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051">
            <w:pPr>
              <w:spacing w:line="276" w:lineRule="auto"/>
              <w:jc w:val="center"/>
              <w:rPr>
                <w:sz w:val="24"/>
                <w:szCs w:val="24"/>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52">
            <w:pPr>
              <w:spacing w:line="276" w:lineRule="auto"/>
              <w:rPr>
                <w:sz w:val="24"/>
                <w:szCs w:val="24"/>
              </w:rPr>
            </w:pPr>
            <w:r w:rsidDel="00000000" w:rsidR="00000000" w:rsidRPr="00000000">
              <w:rPr>
                <w:sz w:val="24"/>
                <w:szCs w:val="24"/>
                <w:rtl w:val="0"/>
              </w:rPr>
              <w:t xml:space="preserve">- Key findings and gaps</w:t>
            </w:r>
          </w:p>
        </w:tc>
        <w:tc>
          <w:tcPr>
            <w:tcMar>
              <w:top w:w="40.0" w:type="dxa"/>
              <w:left w:w="40.0" w:type="dxa"/>
              <w:bottom w:w="40.0" w:type="dxa"/>
              <w:right w:w="40.0" w:type="dxa"/>
            </w:tcMar>
            <w:vAlign w:val="bottom"/>
          </w:tcPr>
          <w:p w:rsidR="00000000" w:rsidDel="00000000" w:rsidP="00000000" w:rsidRDefault="00000000" w:rsidRPr="00000000" w14:paraId="00000053">
            <w:pPr>
              <w:spacing w:line="276" w:lineRule="auto"/>
              <w:jc w:val="center"/>
              <w:rPr>
                <w:sz w:val="24"/>
                <w:szCs w:val="24"/>
              </w:rPr>
            </w:pPr>
            <w:r w:rsidDel="00000000" w:rsidR="00000000" w:rsidRPr="00000000">
              <w:rPr>
                <w:sz w:val="24"/>
                <w:szCs w:val="24"/>
                <w:rtl w:val="0"/>
              </w:rPr>
              <w:t xml:space="preserve">8</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054">
            <w:pPr>
              <w:spacing w:line="276" w:lineRule="auto"/>
              <w:jc w:val="center"/>
              <w:rPr>
                <w:sz w:val="24"/>
                <w:szCs w:val="24"/>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55">
            <w:pPr>
              <w:spacing w:line="276" w:lineRule="auto"/>
              <w:rPr>
                <w:sz w:val="24"/>
                <w:szCs w:val="24"/>
              </w:rPr>
            </w:pPr>
            <w:r w:rsidDel="00000000" w:rsidR="00000000" w:rsidRPr="00000000">
              <w:rPr>
                <w:sz w:val="24"/>
                <w:szCs w:val="24"/>
                <w:rtl w:val="0"/>
              </w:rPr>
              <w:t xml:space="preserve">- How the project addresses these gaps</w:t>
            </w:r>
          </w:p>
        </w:tc>
        <w:tc>
          <w:tcPr>
            <w:tcMar>
              <w:top w:w="40.0" w:type="dxa"/>
              <w:left w:w="40.0" w:type="dxa"/>
              <w:bottom w:w="40.0" w:type="dxa"/>
              <w:right w:w="40.0" w:type="dxa"/>
            </w:tcMar>
            <w:vAlign w:val="bottom"/>
          </w:tcPr>
          <w:p w:rsidR="00000000" w:rsidDel="00000000" w:rsidP="00000000" w:rsidRDefault="00000000" w:rsidRPr="00000000" w14:paraId="00000056">
            <w:pPr>
              <w:spacing w:line="276" w:lineRule="auto"/>
              <w:jc w:val="center"/>
              <w:rPr>
                <w:sz w:val="24"/>
                <w:szCs w:val="24"/>
              </w:rPr>
            </w:pPr>
            <w:r w:rsidDel="00000000" w:rsidR="00000000" w:rsidRPr="00000000">
              <w:rPr>
                <w:sz w:val="24"/>
                <w:szCs w:val="24"/>
                <w:rtl w:val="0"/>
              </w:rPr>
              <w:t xml:space="preserve">8</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057">
            <w:pPr>
              <w:spacing w:line="276" w:lineRule="auto"/>
              <w:jc w:val="center"/>
              <w:rPr>
                <w:sz w:val="24"/>
                <w:szCs w:val="24"/>
              </w:rPr>
            </w:pPr>
            <w:r w:rsidDel="00000000" w:rsidR="00000000" w:rsidRPr="00000000">
              <w:rPr>
                <w:sz w:val="24"/>
                <w:szCs w:val="24"/>
                <w:rtl w:val="0"/>
              </w:rPr>
              <w:t xml:space="preserve">CHAPTER 3</w:t>
            </w:r>
          </w:p>
        </w:tc>
        <w:tc>
          <w:tcPr>
            <w:tcMar>
              <w:top w:w="40.0" w:type="dxa"/>
              <w:left w:w="40.0" w:type="dxa"/>
              <w:bottom w:w="40.0" w:type="dxa"/>
              <w:right w:w="40.0" w:type="dxa"/>
            </w:tcMar>
            <w:vAlign w:val="bottom"/>
          </w:tcPr>
          <w:p w:rsidR="00000000" w:rsidDel="00000000" w:rsidP="00000000" w:rsidRDefault="00000000" w:rsidRPr="00000000" w14:paraId="00000058">
            <w:pPr>
              <w:spacing w:line="276" w:lineRule="auto"/>
              <w:rPr>
                <w:sz w:val="24"/>
                <w:szCs w:val="24"/>
              </w:rPr>
            </w:pPr>
            <w:r w:rsidDel="00000000" w:rsidR="00000000" w:rsidRPr="00000000">
              <w:rPr>
                <w:sz w:val="24"/>
                <w:szCs w:val="24"/>
                <w:rtl w:val="0"/>
              </w:rPr>
              <w:t xml:space="preserve">SYSTEM DESIGN &amp; MODULE DESCRIPTION</w:t>
            </w:r>
          </w:p>
        </w:tc>
        <w:tc>
          <w:tcPr>
            <w:tcMar>
              <w:top w:w="40.0" w:type="dxa"/>
              <w:left w:w="40.0" w:type="dxa"/>
              <w:bottom w:w="40.0" w:type="dxa"/>
              <w:right w:w="40.0" w:type="dxa"/>
            </w:tcMar>
            <w:vAlign w:val="bottom"/>
          </w:tcPr>
          <w:p w:rsidR="00000000" w:rsidDel="00000000" w:rsidP="00000000" w:rsidRDefault="00000000" w:rsidRPr="00000000" w14:paraId="00000059">
            <w:pPr>
              <w:spacing w:line="276" w:lineRule="auto"/>
              <w:jc w:val="center"/>
              <w:rPr>
                <w:sz w:val="24"/>
                <w:szCs w:val="24"/>
              </w:rPr>
            </w:pPr>
            <w:r w:rsidDel="00000000" w:rsidR="00000000" w:rsidRPr="00000000">
              <w:rPr>
                <w:sz w:val="24"/>
                <w:szCs w:val="24"/>
                <w:rtl w:val="0"/>
              </w:rPr>
              <w:t xml:space="preserve">10</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05A">
            <w:pPr>
              <w:spacing w:line="276" w:lineRule="auto"/>
              <w:jc w:val="center"/>
              <w:rPr>
                <w:sz w:val="24"/>
                <w:szCs w:val="24"/>
              </w:rPr>
            </w:pPr>
            <w:r w:rsidDel="00000000" w:rsidR="00000000" w:rsidRPr="00000000">
              <w:rPr>
                <w:sz w:val="24"/>
                <w:szCs w:val="24"/>
                <w:rtl w:val="0"/>
              </w:rPr>
              <w:t xml:space="preserve">3.1</w:t>
            </w:r>
          </w:p>
        </w:tc>
        <w:tc>
          <w:tcPr>
            <w:tcMar>
              <w:top w:w="40.0" w:type="dxa"/>
              <w:left w:w="40.0" w:type="dxa"/>
              <w:bottom w:w="40.0" w:type="dxa"/>
              <w:right w:w="40.0" w:type="dxa"/>
            </w:tcMar>
            <w:vAlign w:val="bottom"/>
          </w:tcPr>
          <w:p w:rsidR="00000000" w:rsidDel="00000000" w:rsidP="00000000" w:rsidRDefault="00000000" w:rsidRPr="00000000" w14:paraId="0000005B">
            <w:pPr>
              <w:spacing w:line="276" w:lineRule="auto"/>
              <w:rPr>
                <w:sz w:val="24"/>
                <w:szCs w:val="24"/>
              </w:rPr>
            </w:pPr>
            <w:r w:rsidDel="00000000" w:rsidR="00000000" w:rsidRPr="00000000">
              <w:rPr>
                <w:sz w:val="24"/>
                <w:szCs w:val="24"/>
                <w:rtl w:val="0"/>
              </w:rPr>
              <w:t xml:space="preserve">System Architecture</w:t>
            </w:r>
          </w:p>
        </w:tc>
        <w:tc>
          <w:tcPr>
            <w:tcMar>
              <w:top w:w="40.0" w:type="dxa"/>
              <w:left w:w="40.0" w:type="dxa"/>
              <w:bottom w:w="40.0" w:type="dxa"/>
              <w:right w:w="40.0" w:type="dxa"/>
            </w:tcMar>
            <w:vAlign w:val="bottom"/>
          </w:tcPr>
          <w:p w:rsidR="00000000" w:rsidDel="00000000" w:rsidP="00000000" w:rsidRDefault="00000000" w:rsidRPr="00000000" w14:paraId="0000005C">
            <w:pPr>
              <w:spacing w:line="276" w:lineRule="auto"/>
              <w:jc w:val="center"/>
              <w:rPr>
                <w:sz w:val="24"/>
                <w:szCs w:val="24"/>
              </w:rPr>
            </w:pPr>
            <w:r w:rsidDel="00000000" w:rsidR="00000000" w:rsidRPr="00000000">
              <w:rPr>
                <w:sz w:val="24"/>
                <w:szCs w:val="24"/>
                <w:rtl w:val="0"/>
              </w:rPr>
              <w:t xml:space="preserve">11</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05D">
            <w:pPr>
              <w:spacing w:line="276" w:lineRule="auto"/>
              <w:jc w:val="center"/>
              <w:rPr>
                <w:sz w:val="24"/>
                <w:szCs w:val="24"/>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5E">
            <w:pPr>
              <w:spacing w:line="276" w:lineRule="auto"/>
              <w:rPr>
                <w:sz w:val="24"/>
                <w:szCs w:val="24"/>
              </w:rPr>
            </w:pPr>
            <w:r w:rsidDel="00000000" w:rsidR="00000000" w:rsidRPr="00000000">
              <w:rPr>
                <w:sz w:val="24"/>
                <w:szCs w:val="24"/>
                <w:rtl w:val="0"/>
              </w:rPr>
              <w:t xml:space="preserve">- Components and their interactions</w:t>
            </w:r>
          </w:p>
        </w:tc>
        <w:tc>
          <w:tcPr>
            <w:tcMar>
              <w:top w:w="40.0" w:type="dxa"/>
              <w:left w:w="40.0" w:type="dxa"/>
              <w:bottom w:w="40.0" w:type="dxa"/>
              <w:right w:w="40.0" w:type="dxa"/>
            </w:tcMar>
            <w:vAlign w:val="bottom"/>
          </w:tcPr>
          <w:p w:rsidR="00000000" w:rsidDel="00000000" w:rsidP="00000000" w:rsidRDefault="00000000" w:rsidRPr="00000000" w14:paraId="0000005F">
            <w:pPr>
              <w:spacing w:line="276" w:lineRule="auto"/>
              <w:jc w:val="center"/>
              <w:rPr>
                <w:sz w:val="24"/>
                <w:szCs w:val="24"/>
              </w:rPr>
            </w:pPr>
            <w:r w:rsidDel="00000000" w:rsidR="00000000" w:rsidRPr="00000000">
              <w:rPr>
                <w:sz w:val="24"/>
                <w:szCs w:val="24"/>
                <w:rtl w:val="0"/>
              </w:rPr>
              <w:t xml:space="preserve">11</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060">
            <w:pPr>
              <w:spacing w:line="276" w:lineRule="auto"/>
              <w:jc w:val="center"/>
              <w:rPr>
                <w:sz w:val="24"/>
                <w:szCs w:val="24"/>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61">
            <w:pPr>
              <w:spacing w:line="276" w:lineRule="auto"/>
              <w:rPr>
                <w:sz w:val="24"/>
                <w:szCs w:val="24"/>
              </w:rPr>
            </w:pPr>
            <w:r w:rsidDel="00000000" w:rsidR="00000000" w:rsidRPr="00000000">
              <w:rPr>
                <w:sz w:val="24"/>
                <w:szCs w:val="24"/>
                <w:rtl w:val="0"/>
              </w:rPr>
              <w:t xml:space="preserve">- Data flow and control flow diagrams</w:t>
            </w:r>
          </w:p>
        </w:tc>
        <w:tc>
          <w:tcPr>
            <w:tcMar>
              <w:top w:w="40.0" w:type="dxa"/>
              <w:left w:w="40.0" w:type="dxa"/>
              <w:bottom w:w="40.0" w:type="dxa"/>
              <w:right w:w="40.0" w:type="dxa"/>
            </w:tcMar>
            <w:vAlign w:val="bottom"/>
          </w:tcPr>
          <w:p w:rsidR="00000000" w:rsidDel="00000000" w:rsidP="00000000" w:rsidRDefault="00000000" w:rsidRPr="00000000" w14:paraId="00000062">
            <w:pPr>
              <w:spacing w:line="276" w:lineRule="auto"/>
              <w:jc w:val="center"/>
              <w:rPr>
                <w:sz w:val="24"/>
                <w:szCs w:val="24"/>
              </w:rPr>
            </w:pPr>
            <w:r w:rsidDel="00000000" w:rsidR="00000000" w:rsidRPr="00000000">
              <w:rPr>
                <w:sz w:val="24"/>
                <w:szCs w:val="24"/>
                <w:rtl w:val="0"/>
              </w:rPr>
              <w:t xml:space="preserve">11</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063">
            <w:pPr>
              <w:spacing w:line="276" w:lineRule="auto"/>
              <w:jc w:val="center"/>
              <w:rPr>
                <w:sz w:val="24"/>
                <w:szCs w:val="24"/>
              </w:rPr>
            </w:pPr>
            <w:r w:rsidDel="00000000" w:rsidR="00000000" w:rsidRPr="00000000">
              <w:rPr>
                <w:sz w:val="24"/>
                <w:szCs w:val="24"/>
                <w:rtl w:val="0"/>
              </w:rPr>
              <w:t xml:space="preserve">3.2</w:t>
            </w:r>
          </w:p>
        </w:tc>
        <w:tc>
          <w:tcPr>
            <w:tcMar>
              <w:top w:w="40.0" w:type="dxa"/>
              <w:left w:w="40.0" w:type="dxa"/>
              <w:bottom w:w="40.0" w:type="dxa"/>
              <w:right w:w="40.0" w:type="dxa"/>
            </w:tcMar>
            <w:vAlign w:val="bottom"/>
          </w:tcPr>
          <w:p w:rsidR="00000000" w:rsidDel="00000000" w:rsidP="00000000" w:rsidRDefault="00000000" w:rsidRPr="00000000" w14:paraId="00000064">
            <w:pPr>
              <w:spacing w:line="276" w:lineRule="auto"/>
              <w:rPr>
                <w:sz w:val="24"/>
                <w:szCs w:val="24"/>
              </w:rPr>
            </w:pPr>
            <w:r w:rsidDel="00000000" w:rsidR="00000000" w:rsidRPr="00000000">
              <w:rPr>
                <w:sz w:val="24"/>
                <w:szCs w:val="24"/>
                <w:rtl w:val="0"/>
              </w:rPr>
              <w:t xml:space="preserve">Module Description</w:t>
            </w:r>
          </w:p>
        </w:tc>
        <w:tc>
          <w:tcPr>
            <w:tcMar>
              <w:top w:w="40.0" w:type="dxa"/>
              <w:left w:w="40.0" w:type="dxa"/>
              <w:bottom w:w="40.0" w:type="dxa"/>
              <w:right w:w="40.0" w:type="dxa"/>
            </w:tcMar>
            <w:vAlign w:val="bottom"/>
          </w:tcPr>
          <w:p w:rsidR="00000000" w:rsidDel="00000000" w:rsidP="00000000" w:rsidRDefault="00000000" w:rsidRPr="00000000" w14:paraId="00000065">
            <w:pPr>
              <w:spacing w:line="276" w:lineRule="auto"/>
              <w:jc w:val="center"/>
              <w:rPr>
                <w:sz w:val="24"/>
                <w:szCs w:val="24"/>
              </w:rPr>
            </w:pPr>
            <w:r w:rsidDel="00000000" w:rsidR="00000000" w:rsidRPr="00000000">
              <w:rPr>
                <w:sz w:val="24"/>
                <w:szCs w:val="24"/>
                <w:rtl w:val="0"/>
              </w:rPr>
              <w:t xml:space="preserve">12</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066">
            <w:pPr>
              <w:spacing w:line="276" w:lineRule="auto"/>
              <w:jc w:val="center"/>
              <w:rPr>
                <w:sz w:val="24"/>
                <w:szCs w:val="24"/>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67">
            <w:pPr>
              <w:spacing w:line="276" w:lineRule="auto"/>
              <w:rPr>
                <w:sz w:val="24"/>
                <w:szCs w:val="24"/>
              </w:rPr>
            </w:pPr>
            <w:r w:rsidDel="00000000" w:rsidR="00000000" w:rsidRPr="00000000">
              <w:rPr>
                <w:sz w:val="24"/>
                <w:szCs w:val="24"/>
                <w:rtl w:val="0"/>
              </w:rPr>
              <w:t xml:space="preserve">- Overview of each module</w:t>
            </w:r>
          </w:p>
        </w:tc>
        <w:tc>
          <w:tcPr>
            <w:tcMar>
              <w:top w:w="40.0" w:type="dxa"/>
              <w:left w:w="40.0" w:type="dxa"/>
              <w:bottom w:w="40.0" w:type="dxa"/>
              <w:right w:w="40.0" w:type="dxa"/>
            </w:tcMar>
            <w:vAlign w:val="bottom"/>
          </w:tcPr>
          <w:p w:rsidR="00000000" w:rsidDel="00000000" w:rsidP="00000000" w:rsidRDefault="00000000" w:rsidRPr="00000000" w14:paraId="00000068">
            <w:pPr>
              <w:spacing w:line="276" w:lineRule="auto"/>
              <w:jc w:val="center"/>
              <w:rPr>
                <w:sz w:val="24"/>
                <w:szCs w:val="24"/>
              </w:rPr>
            </w:pPr>
            <w:r w:rsidDel="00000000" w:rsidR="00000000" w:rsidRPr="00000000">
              <w:rPr>
                <w:sz w:val="24"/>
                <w:szCs w:val="24"/>
                <w:rtl w:val="0"/>
              </w:rPr>
              <w:t xml:space="preserve">12</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069">
            <w:pPr>
              <w:spacing w:line="276" w:lineRule="auto"/>
              <w:jc w:val="center"/>
              <w:rPr>
                <w:sz w:val="24"/>
                <w:szCs w:val="24"/>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6A">
            <w:pPr>
              <w:spacing w:line="276" w:lineRule="auto"/>
              <w:rPr>
                <w:sz w:val="24"/>
                <w:szCs w:val="24"/>
              </w:rPr>
            </w:pPr>
            <w:r w:rsidDel="00000000" w:rsidR="00000000" w:rsidRPr="00000000">
              <w:rPr>
                <w:sz w:val="24"/>
                <w:szCs w:val="24"/>
                <w:rtl w:val="0"/>
              </w:rPr>
              <w:t xml:space="preserve">- Detailed functionality of each module</w:t>
            </w:r>
          </w:p>
        </w:tc>
        <w:tc>
          <w:tcPr>
            <w:tcMar>
              <w:top w:w="40.0" w:type="dxa"/>
              <w:left w:w="40.0" w:type="dxa"/>
              <w:bottom w:w="40.0" w:type="dxa"/>
              <w:right w:w="40.0" w:type="dxa"/>
            </w:tcMar>
            <w:vAlign w:val="bottom"/>
          </w:tcPr>
          <w:p w:rsidR="00000000" w:rsidDel="00000000" w:rsidP="00000000" w:rsidRDefault="00000000" w:rsidRPr="00000000" w14:paraId="0000006B">
            <w:pPr>
              <w:spacing w:line="276" w:lineRule="auto"/>
              <w:jc w:val="center"/>
              <w:rPr>
                <w:sz w:val="24"/>
                <w:szCs w:val="24"/>
              </w:rPr>
            </w:pPr>
            <w:r w:rsidDel="00000000" w:rsidR="00000000" w:rsidRPr="00000000">
              <w:rPr>
                <w:sz w:val="24"/>
                <w:szCs w:val="24"/>
                <w:rtl w:val="0"/>
              </w:rPr>
              <w:t xml:space="preserve">12</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06C">
            <w:pPr>
              <w:spacing w:line="276" w:lineRule="auto"/>
              <w:jc w:val="center"/>
              <w:rPr>
                <w:sz w:val="24"/>
                <w:szCs w:val="24"/>
              </w:rPr>
            </w:pPr>
            <w:r w:rsidDel="00000000" w:rsidR="00000000" w:rsidRPr="00000000">
              <w:rPr>
                <w:sz w:val="24"/>
                <w:szCs w:val="24"/>
                <w:rtl w:val="0"/>
              </w:rPr>
              <w:t xml:space="preserve">3.3</w:t>
            </w:r>
          </w:p>
        </w:tc>
        <w:tc>
          <w:tcPr>
            <w:tcMar>
              <w:top w:w="40.0" w:type="dxa"/>
              <w:left w:w="40.0" w:type="dxa"/>
              <w:bottom w:w="40.0" w:type="dxa"/>
              <w:right w:w="40.0" w:type="dxa"/>
            </w:tcMar>
            <w:vAlign w:val="bottom"/>
          </w:tcPr>
          <w:p w:rsidR="00000000" w:rsidDel="00000000" w:rsidP="00000000" w:rsidRDefault="00000000" w:rsidRPr="00000000" w14:paraId="0000006D">
            <w:pPr>
              <w:spacing w:line="276" w:lineRule="auto"/>
              <w:rPr>
                <w:sz w:val="24"/>
                <w:szCs w:val="24"/>
              </w:rPr>
            </w:pPr>
            <w:r w:rsidDel="00000000" w:rsidR="00000000" w:rsidRPr="00000000">
              <w:rPr>
                <w:sz w:val="24"/>
                <w:szCs w:val="24"/>
                <w:rtl w:val="0"/>
              </w:rPr>
              <w:t xml:space="preserve">Screenshots &amp; Functionality Overview</w:t>
            </w:r>
          </w:p>
        </w:tc>
        <w:tc>
          <w:tcPr>
            <w:tcMar>
              <w:top w:w="40.0" w:type="dxa"/>
              <w:left w:w="40.0" w:type="dxa"/>
              <w:bottom w:w="40.0" w:type="dxa"/>
              <w:right w:w="40.0" w:type="dxa"/>
            </w:tcMar>
            <w:vAlign w:val="bottom"/>
          </w:tcPr>
          <w:p w:rsidR="00000000" w:rsidDel="00000000" w:rsidP="00000000" w:rsidRDefault="00000000" w:rsidRPr="00000000" w14:paraId="0000006E">
            <w:pPr>
              <w:spacing w:line="276" w:lineRule="auto"/>
              <w:jc w:val="center"/>
              <w:rPr>
                <w:sz w:val="24"/>
                <w:szCs w:val="24"/>
              </w:rPr>
            </w:pPr>
            <w:r w:rsidDel="00000000" w:rsidR="00000000" w:rsidRPr="00000000">
              <w:rPr>
                <w:sz w:val="24"/>
                <w:szCs w:val="24"/>
                <w:rtl w:val="0"/>
              </w:rPr>
              <w:t xml:space="preserve">13</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06F">
            <w:pPr>
              <w:spacing w:line="276" w:lineRule="auto"/>
              <w:jc w:val="center"/>
              <w:rPr>
                <w:sz w:val="24"/>
                <w:szCs w:val="24"/>
              </w:rPr>
            </w:pPr>
            <w:r w:rsidDel="00000000" w:rsidR="00000000" w:rsidRPr="00000000">
              <w:rPr>
                <w:sz w:val="24"/>
                <w:szCs w:val="24"/>
                <w:rtl w:val="0"/>
              </w:rPr>
              <w:t xml:space="preserve">3.4</w:t>
            </w:r>
          </w:p>
        </w:tc>
        <w:tc>
          <w:tcPr>
            <w:tcMar>
              <w:top w:w="40.0" w:type="dxa"/>
              <w:left w:w="40.0" w:type="dxa"/>
              <w:bottom w:w="40.0" w:type="dxa"/>
              <w:right w:w="40.0" w:type="dxa"/>
            </w:tcMar>
            <w:vAlign w:val="bottom"/>
          </w:tcPr>
          <w:p w:rsidR="00000000" w:rsidDel="00000000" w:rsidP="00000000" w:rsidRDefault="00000000" w:rsidRPr="00000000" w14:paraId="00000070">
            <w:pPr>
              <w:spacing w:line="276" w:lineRule="auto"/>
              <w:rPr>
                <w:sz w:val="24"/>
                <w:szCs w:val="24"/>
              </w:rPr>
            </w:pPr>
            <w:r w:rsidDel="00000000" w:rsidR="00000000" w:rsidRPr="00000000">
              <w:rPr>
                <w:sz w:val="24"/>
                <w:szCs w:val="24"/>
                <w:rtl w:val="0"/>
              </w:rPr>
              <w:t xml:space="preserve"> Results and analysis</w:t>
            </w:r>
          </w:p>
        </w:tc>
        <w:tc>
          <w:tcPr>
            <w:tcMar>
              <w:top w:w="40.0" w:type="dxa"/>
              <w:left w:w="40.0" w:type="dxa"/>
              <w:bottom w:w="40.0" w:type="dxa"/>
              <w:right w:w="40.0" w:type="dxa"/>
            </w:tcMar>
            <w:vAlign w:val="bottom"/>
          </w:tcPr>
          <w:p w:rsidR="00000000" w:rsidDel="00000000" w:rsidP="00000000" w:rsidRDefault="00000000" w:rsidRPr="00000000" w14:paraId="00000071">
            <w:pPr>
              <w:spacing w:line="276" w:lineRule="auto"/>
              <w:jc w:val="center"/>
              <w:rPr>
                <w:sz w:val="24"/>
                <w:szCs w:val="24"/>
              </w:rPr>
            </w:pPr>
            <w:r w:rsidDel="00000000" w:rsidR="00000000" w:rsidRPr="00000000">
              <w:rPr>
                <w:sz w:val="24"/>
                <w:szCs w:val="24"/>
                <w:rtl w:val="0"/>
              </w:rPr>
              <w:t xml:space="preserve">14</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072">
            <w:pPr>
              <w:spacing w:line="276" w:lineRule="auto"/>
              <w:jc w:val="center"/>
              <w:rPr>
                <w:sz w:val="24"/>
                <w:szCs w:val="24"/>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73">
            <w:pPr>
              <w:spacing w:line="276" w:lineRule="auto"/>
              <w:rPr>
                <w:sz w:val="24"/>
                <w:szCs w:val="24"/>
              </w:rPr>
            </w:pPr>
            <w:r w:rsidDel="00000000" w:rsidR="00000000" w:rsidRPr="00000000">
              <w:rPr>
                <w:sz w:val="24"/>
                <w:szCs w:val="24"/>
                <w:rtl w:val="0"/>
              </w:rPr>
              <w:t xml:space="preserve">- Code snippets and explanations</w:t>
            </w:r>
          </w:p>
        </w:tc>
        <w:tc>
          <w:tcPr>
            <w:tcMar>
              <w:top w:w="40.0" w:type="dxa"/>
              <w:left w:w="40.0" w:type="dxa"/>
              <w:bottom w:w="40.0" w:type="dxa"/>
              <w:right w:w="40.0" w:type="dxa"/>
            </w:tcMar>
            <w:vAlign w:val="bottom"/>
          </w:tcPr>
          <w:p w:rsidR="00000000" w:rsidDel="00000000" w:rsidP="00000000" w:rsidRDefault="00000000" w:rsidRPr="00000000" w14:paraId="00000074">
            <w:pPr>
              <w:spacing w:line="276" w:lineRule="auto"/>
              <w:jc w:val="center"/>
              <w:rPr>
                <w:sz w:val="24"/>
                <w:szCs w:val="24"/>
              </w:rPr>
            </w:pPr>
            <w:r w:rsidDel="00000000" w:rsidR="00000000" w:rsidRPr="00000000">
              <w:rPr>
                <w:sz w:val="24"/>
                <w:szCs w:val="24"/>
                <w:rtl w:val="0"/>
              </w:rPr>
              <w:t xml:space="preserve">14</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075">
            <w:pPr>
              <w:spacing w:line="276" w:lineRule="auto"/>
              <w:jc w:val="center"/>
              <w:rPr>
                <w:sz w:val="24"/>
                <w:szCs w:val="24"/>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76">
            <w:pPr>
              <w:spacing w:line="276" w:lineRule="auto"/>
              <w:rPr>
                <w:sz w:val="24"/>
                <w:szCs w:val="24"/>
              </w:rPr>
            </w:pPr>
            <w:r w:rsidDel="00000000" w:rsidR="00000000" w:rsidRPr="00000000">
              <w:rPr>
                <w:sz w:val="24"/>
                <w:szCs w:val="24"/>
                <w:rtl w:val="0"/>
              </w:rPr>
              <w:t xml:space="preserve">-Screenshots</w:t>
            </w:r>
          </w:p>
        </w:tc>
        <w:tc>
          <w:tcPr>
            <w:tcMar>
              <w:top w:w="40.0" w:type="dxa"/>
              <w:left w:w="40.0" w:type="dxa"/>
              <w:bottom w:w="40.0" w:type="dxa"/>
              <w:right w:w="40.0" w:type="dxa"/>
            </w:tcMar>
            <w:vAlign w:val="bottom"/>
          </w:tcPr>
          <w:p w:rsidR="00000000" w:rsidDel="00000000" w:rsidP="00000000" w:rsidRDefault="00000000" w:rsidRPr="00000000" w14:paraId="00000077">
            <w:pPr>
              <w:spacing w:line="276" w:lineRule="auto"/>
              <w:jc w:val="center"/>
              <w:rPr>
                <w:sz w:val="24"/>
                <w:szCs w:val="24"/>
              </w:rPr>
            </w:pPr>
            <w:r w:rsidDel="00000000" w:rsidR="00000000" w:rsidRPr="00000000">
              <w:rPr>
                <w:rtl w:val="0"/>
              </w:rPr>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078">
            <w:pPr>
              <w:spacing w:line="276" w:lineRule="auto"/>
              <w:jc w:val="center"/>
              <w:rPr>
                <w:sz w:val="24"/>
                <w:szCs w:val="24"/>
              </w:rPr>
            </w:pPr>
            <w:r w:rsidDel="00000000" w:rsidR="00000000" w:rsidRPr="00000000">
              <w:rPr>
                <w:sz w:val="24"/>
                <w:szCs w:val="24"/>
                <w:rtl w:val="0"/>
              </w:rPr>
              <w:t xml:space="preserve">CHAPTER 4</w:t>
            </w:r>
          </w:p>
        </w:tc>
        <w:tc>
          <w:tcPr>
            <w:tcMar>
              <w:top w:w="40.0" w:type="dxa"/>
              <w:left w:w="40.0" w:type="dxa"/>
              <w:bottom w:w="40.0" w:type="dxa"/>
              <w:right w:w="40.0" w:type="dxa"/>
            </w:tcMar>
            <w:vAlign w:val="bottom"/>
          </w:tcPr>
          <w:p w:rsidR="00000000" w:rsidDel="00000000" w:rsidP="00000000" w:rsidRDefault="00000000" w:rsidRPr="00000000" w14:paraId="00000079">
            <w:pPr>
              <w:spacing w:line="276" w:lineRule="auto"/>
              <w:rPr>
                <w:sz w:val="24"/>
                <w:szCs w:val="24"/>
              </w:rPr>
            </w:pPr>
            <w:r w:rsidDel="00000000" w:rsidR="00000000" w:rsidRPr="00000000">
              <w:rPr>
                <w:sz w:val="24"/>
                <w:szCs w:val="24"/>
                <w:rtl w:val="0"/>
              </w:rPr>
              <w:t xml:space="preserve">LIMITATIONS &amp; FUTURE ENHANCEMENTS</w:t>
            </w:r>
          </w:p>
        </w:tc>
        <w:tc>
          <w:tcPr>
            <w:tcMar>
              <w:top w:w="40.0" w:type="dxa"/>
              <w:left w:w="40.0" w:type="dxa"/>
              <w:bottom w:w="40.0" w:type="dxa"/>
              <w:right w:w="40.0" w:type="dxa"/>
            </w:tcMar>
            <w:vAlign w:val="bottom"/>
          </w:tcPr>
          <w:p w:rsidR="00000000" w:rsidDel="00000000" w:rsidP="00000000" w:rsidRDefault="00000000" w:rsidRPr="00000000" w14:paraId="0000007A">
            <w:pPr>
              <w:spacing w:line="276" w:lineRule="auto"/>
              <w:jc w:val="center"/>
              <w:rPr>
                <w:sz w:val="24"/>
                <w:szCs w:val="24"/>
              </w:rPr>
            </w:pPr>
            <w:r w:rsidDel="00000000" w:rsidR="00000000" w:rsidRPr="00000000">
              <w:rPr>
                <w:sz w:val="24"/>
                <w:szCs w:val="24"/>
                <w:rtl w:val="0"/>
              </w:rPr>
              <w:t xml:space="preserve">15</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07B">
            <w:pPr>
              <w:spacing w:line="276" w:lineRule="auto"/>
              <w:jc w:val="center"/>
              <w:rPr>
                <w:sz w:val="24"/>
                <w:szCs w:val="24"/>
              </w:rPr>
            </w:pPr>
            <w:r w:rsidDel="00000000" w:rsidR="00000000" w:rsidRPr="00000000">
              <w:rPr>
                <w:sz w:val="24"/>
                <w:szCs w:val="24"/>
                <w:rtl w:val="0"/>
              </w:rPr>
              <w:t xml:space="preserve">4.1</w:t>
            </w:r>
          </w:p>
        </w:tc>
        <w:tc>
          <w:tcPr>
            <w:tcMar>
              <w:top w:w="40.0" w:type="dxa"/>
              <w:left w:w="40.0" w:type="dxa"/>
              <w:bottom w:w="40.0" w:type="dxa"/>
              <w:right w:w="40.0" w:type="dxa"/>
            </w:tcMar>
            <w:vAlign w:val="bottom"/>
          </w:tcPr>
          <w:p w:rsidR="00000000" w:rsidDel="00000000" w:rsidP="00000000" w:rsidRDefault="00000000" w:rsidRPr="00000000" w14:paraId="0000007C">
            <w:pPr>
              <w:spacing w:line="276" w:lineRule="auto"/>
              <w:rPr>
                <w:sz w:val="24"/>
                <w:szCs w:val="24"/>
              </w:rPr>
            </w:pPr>
            <w:r w:rsidDel="00000000" w:rsidR="00000000" w:rsidRPr="00000000">
              <w:rPr>
                <w:sz w:val="24"/>
                <w:szCs w:val="24"/>
                <w:rtl w:val="0"/>
              </w:rPr>
              <w:t xml:space="preserve">Limitations</w:t>
            </w:r>
          </w:p>
        </w:tc>
        <w:tc>
          <w:tcPr>
            <w:tcMar>
              <w:top w:w="40.0" w:type="dxa"/>
              <w:left w:w="40.0" w:type="dxa"/>
              <w:bottom w:w="40.0" w:type="dxa"/>
              <w:right w:w="40.0" w:type="dxa"/>
            </w:tcMar>
            <w:vAlign w:val="bottom"/>
          </w:tcPr>
          <w:p w:rsidR="00000000" w:rsidDel="00000000" w:rsidP="00000000" w:rsidRDefault="00000000" w:rsidRPr="00000000" w14:paraId="0000007D">
            <w:pPr>
              <w:spacing w:line="276" w:lineRule="auto"/>
              <w:jc w:val="center"/>
              <w:rPr>
                <w:sz w:val="24"/>
                <w:szCs w:val="24"/>
              </w:rPr>
            </w:pPr>
            <w:r w:rsidDel="00000000" w:rsidR="00000000" w:rsidRPr="00000000">
              <w:rPr>
                <w:sz w:val="24"/>
                <w:szCs w:val="24"/>
                <w:rtl w:val="0"/>
              </w:rPr>
              <w:t xml:space="preserve">16</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07E">
            <w:pPr>
              <w:spacing w:line="276" w:lineRule="auto"/>
              <w:jc w:val="center"/>
              <w:rPr>
                <w:sz w:val="24"/>
                <w:szCs w:val="24"/>
              </w:rPr>
            </w:pPr>
            <w:r w:rsidDel="00000000" w:rsidR="00000000" w:rsidRPr="00000000">
              <w:rPr>
                <w:sz w:val="24"/>
                <w:szCs w:val="24"/>
                <w:rtl w:val="0"/>
              </w:rPr>
              <w:t xml:space="preserve">4.2</w:t>
            </w:r>
          </w:p>
        </w:tc>
        <w:tc>
          <w:tcPr>
            <w:tcMar>
              <w:top w:w="40.0" w:type="dxa"/>
              <w:left w:w="40.0" w:type="dxa"/>
              <w:bottom w:w="40.0" w:type="dxa"/>
              <w:right w:w="40.0" w:type="dxa"/>
            </w:tcMar>
            <w:vAlign w:val="bottom"/>
          </w:tcPr>
          <w:p w:rsidR="00000000" w:rsidDel="00000000" w:rsidP="00000000" w:rsidRDefault="00000000" w:rsidRPr="00000000" w14:paraId="0000007F">
            <w:pPr>
              <w:spacing w:line="276" w:lineRule="auto"/>
              <w:rPr>
                <w:sz w:val="24"/>
                <w:szCs w:val="24"/>
              </w:rPr>
            </w:pPr>
            <w:r w:rsidDel="00000000" w:rsidR="00000000" w:rsidRPr="00000000">
              <w:rPr>
                <w:sz w:val="24"/>
                <w:szCs w:val="24"/>
                <w:rtl w:val="0"/>
              </w:rPr>
              <w:t xml:space="preserve">Future Enhancements</w:t>
            </w:r>
          </w:p>
        </w:tc>
        <w:tc>
          <w:tcPr>
            <w:tcMar>
              <w:top w:w="40.0" w:type="dxa"/>
              <w:left w:w="40.0" w:type="dxa"/>
              <w:bottom w:w="40.0" w:type="dxa"/>
              <w:right w:w="40.0" w:type="dxa"/>
            </w:tcMar>
            <w:vAlign w:val="bottom"/>
          </w:tcPr>
          <w:p w:rsidR="00000000" w:rsidDel="00000000" w:rsidP="00000000" w:rsidRDefault="00000000" w:rsidRPr="00000000" w14:paraId="00000080">
            <w:pPr>
              <w:spacing w:line="276" w:lineRule="auto"/>
              <w:jc w:val="center"/>
              <w:rPr>
                <w:sz w:val="24"/>
                <w:szCs w:val="24"/>
              </w:rPr>
            </w:pPr>
            <w:r w:rsidDel="00000000" w:rsidR="00000000" w:rsidRPr="00000000">
              <w:rPr>
                <w:sz w:val="24"/>
                <w:szCs w:val="24"/>
                <w:rtl w:val="0"/>
              </w:rPr>
              <w:t xml:space="preserve">17</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087">
            <w:pPr>
              <w:spacing w:line="276" w:lineRule="auto"/>
              <w:jc w:val="center"/>
              <w:rPr>
                <w:sz w:val="24"/>
                <w:szCs w:val="24"/>
              </w:rPr>
            </w:pPr>
            <w:r w:rsidDel="00000000" w:rsidR="00000000" w:rsidRPr="00000000">
              <w:rPr>
                <w:sz w:val="24"/>
                <w:szCs w:val="24"/>
                <w:rtl w:val="0"/>
              </w:rPr>
              <w:t xml:space="preserve">CHAPTER 5</w:t>
            </w:r>
          </w:p>
        </w:tc>
        <w:tc>
          <w:tcPr>
            <w:tcMar>
              <w:top w:w="40.0" w:type="dxa"/>
              <w:left w:w="40.0" w:type="dxa"/>
              <w:bottom w:w="40.0" w:type="dxa"/>
              <w:right w:w="40.0" w:type="dxa"/>
            </w:tcMar>
            <w:vAlign w:val="bottom"/>
          </w:tcPr>
          <w:p w:rsidR="00000000" w:rsidDel="00000000" w:rsidP="00000000" w:rsidRDefault="00000000" w:rsidRPr="00000000" w14:paraId="00000088">
            <w:pPr>
              <w:spacing w:line="276" w:lineRule="auto"/>
              <w:rPr>
                <w:sz w:val="24"/>
                <w:szCs w:val="24"/>
              </w:rPr>
            </w:pPr>
            <w:r w:rsidDel="00000000" w:rsidR="00000000" w:rsidRPr="00000000">
              <w:rPr>
                <w:sz w:val="24"/>
                <w:szCs w:val="24"/>
                <w:rtl w:val="0"/>
              </w:rPr>
              <w:t xml:space="preserve">CONCLUSION</w:t>
            </w:r>
          </w:p>
        </w:tc>
        <w:tc>
          <w:tcPr>
            <w:tcMar>
              <w:top w:w="40.0" w:type="dxa"/>
              <w:left w:w="40.0" w:type="dxa"/>
              <w:bottom w:w="40.0" w:type="dxa"/>
              <w:right w:w="40.0" w:type="dxa"/>
            </w:tcMar>
            <w:vAlign w:val="bottom"/>
          </w:tcPr>
          <w:p w:rsidR="00000000" w:rsidDel="00000000" w:rsidP="00000000" w:rsidRDefault="00000000" w:rsidRPr="00000000" w14:paraId="00000089">
            <w:pPr>
              <w:spacing w:line="276" w:lineRule="auto"/>
              <w:jc w:val="center"/>
              <w:rPr>
                <w:sz w:val="24"/>
                <w:szCs w:val="24"/>
              </w:rPr>
            </w:pPr>
            <w:r w:rsidDel="00000000" w:rsidR="00000000" w:rsidRPr="00000000">
              <w:rPr>
                <w:sz w:val="24"/>
                <w:szCs w:val="24"/>
                <w:rtl w:val="0"/>
              </w:rPr>
              <w:t xml:space="preserve">18</w:t>
            </w:r>
          </w:p>
        </w:tc>
      </w:tr>
      <w:tr>
        <w:trPr>
          <w:cantSplit w:val="0"/>
          <w:trHeight w:val="137" w:hRule="atLeast"/>
          <w:tblHeader w:val="0"/>
        </w:trPr>
        <w:tc>
          <w:tcPr>
            <w:tcMar>
              <w:top w:w="40.0" w:type="dxa"/>
              <w:left w:w="40.0" w:type="dxa"/>
              <w:bottom w:w="40.0" w:type="dxa"/>
              <w:right w:w="40.0" w:type="dxa"/>
            </w:tcMar>
            <w:vAlign w:val="bottom"/>
          </w:tcPr>
          <w:p w:rsidR="00000000" w:rsidDel="00000000" w:rsidP="00000000" w:rsidRDefault="00000000" w:rsidRPr="00000000" w14:paraId="0000008A">
            <w:pPr>
              <w:spacing w:line="276" w:lineRule="auto"/>
              <w:jc w:val="center"/>
              <w:rPr>
                <w:sz w:val="24"/>
                <w:szCs w:val="24"/>
              </w:rPr>
            </w:pPr>
            <w:r w:rsidDel="00000000" w:rsidR="00000000" w:rsidRPr="00000000">
              <w:rPr>
                <w:sz w:val="24"/>
                <w:szCs w:val="24"/>
                <w:rtl w:val="0"/>
              </w:rPr>
              <w:t xml:space="preserve">5.1</w:t>
            </w:r>
          </w:p>
        </w:tc>
        <w:tc>
          <w:tcPr>
            <w:tcMar>
              <w:top w:w="40.0" w:type="dxa"/>
              <w:left w:w="40.0" w:type="dxa"/>
              <w:bottom w:w="40.0" w:type="dxa"/>
              <w:right w:w="40.0" w:type="dxa"/>
            </w:tcMar>
            <w:vAlign w:val="bottom"/>
          </w:tcPr>
          <w:p w:rsidR="00000000" w:rsidDel="00000000" w:rsidP="00000000" w:rsidRDefault="00000000" w:rsidRPr="00000000" w14:paraId="0000008B">
            <w:pPr>
              <w:spacing w:line="276" w:lineRule="auto"/>
              <w:rPr>
                <w:sz w:val="24"/>
                <w:szCs w:val="24"/>
              </w:rPr>
            </w:pPr>
            <w:r w:rsidDel="00000000" w:rsidR="00000000" w:rsidRPr="00000000">
              <w:rPr>
                <w:sz w:val="24"/>
                <w:szCs w:val="24"/>
                <w:rtl w:val="0"/>
              </w:rPr>
              <w:t xml:space="preserve">Conclusion</w:t>
            </w:r>
          </w:p>
        </w:tc>
        <w:tc>
          <w:tcPr>
            <w:tcMar>
              <w:top w:w="40.0" w:type="dxa"/>
              <w:left w:w="40.0" w:type="dxa"/>
              <w:bottom w:w="40.0" w:type="dxa"/>
              <w:right w:w="40.0" w:type="dxa"/>
            </w:tcMar>
            <w:vAlign w:val="bottom"/>
          </w:tcPr>
          <w:p w:rsidR="00000000" w:rsidDel="00000000" w:rsidP="00000000" w:rsidRDefault="00000000" w:rsidRPr="00000000" w14:paraId="0000008C">
            <w:pPr>
              <w:spacing w:line="276" w:lineRule="auto"/>
              <w:jc w:val="center"/>
              <w:rPr>
                <w:sz w:val="24"/>
                <w:szCs w:val="24"/>
              </w:rPr>
            </w:pPr>
            <w:r w:rsidDel="00000000" w:rsidR="00000000" w:rsidRPr="00000000">
              <w:rPr>
                <w:sz w:val="24"/>
                <w:szCs w:val="24"/>
                <w:rtl w:val="0"/>
              </w:rPr>
              <w:t xml:space="preserve">19</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08D">
            <w:pPr>
              <w:spacing w:line="276" w:lineRule="auto"/>
              <w:jc w:val="center"/>
              <w:rPr>
                <w:sz w:val="24"/>
                <w:szCs w:val="24"/>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8E">
            <w:pPr>
              <w:spacing w:line="276" w:lineRule="auto"/>
              <w:rPr>
                <w:sz w:val="24"/>
                <w:szCs w:val="24"/>
              </w:rPr>
            </w:pPr>
            <w:r w:rsidDel="00000000" w:rsidR="00000000" w:rsidRPr="00000000">
              <w:rPr>
                <w:sz w:val="24"/>
                <w:szCs w:val="24"/>
                <w:rtl w:val="0"/>
              </w:rPr>
              <w:t xml:space="preserve">BIBLIOGRAPHY</w:t>
            </w:r>
          </w:p>
        </w:tc>
        <w:tc>
          <w:tcPr>
            <w:tcMar>
              <w:top w:w="40.0" w:type="dxa"/>
              <w:left w:w="40.0" w:type="dxa"/>
              <w:bottom w:w="40.0" w:type="dxa"/>
              <w:right w:w="40.0" w:type="dxa"/>
            </w:tcMar>
            <w:vAlign w:val="bottom"/>
          </w:tcPr>
          <w:p w:rsidR="00000000" w:rsidDel="00000000" w:rsidP="00000000" w:rsidRDefault="00000000" w:rsidRPr="00000000" w14:paraId="0000008F">
            <w:pPr>
              <w:spacing w:line="276" w:lineRule="auto"/>
              <w:jc w:val="center"/>
              <w:rPr>
                <w:sz w:val="24"/>
                <w:szCs w:val="24"/>
              </w:rPr>
            </w:pPr>
            <w:r w:rsidDel="00000000" w:rsidR="00000000" w:rsidRPr="00000000">
              <w:rPr>
                <w:sz w:val="24"/>
                <w:szCs w:val="24"/>
                <w:rtl w:val="0"/>
              </w:rPr>
              <w:t xml:space="preserve">20</w:t>
            </w:r>
          </w:p>
        </w:tc>
      </w:tr>
    </w:tbl>
    <w:p>
      <w:r>
        <w:br w:type="page"/>
      </w:r>
    </w:p>
    <w:p>
      <w:pPr>
        <w:pStyle w:val="Heading1"/>
        <w:spacing w:before="360" w:after="180"/>
      </w:pPr>
      <w:r>
        <w:rPr>
          <w:rFonts w:ascii="Georgia" w:hAnsi="Georgia"/>
          <w:b/>
          <w:sz w:val="32"/>
          <w:color w:val="1E3A8A"/>
        </w:rPr>
        <w:t>ABSTRACT</w:t>
      </w:r>
    </w:p>
    <w:p>
      <w:pPr>
        <w:spacing w:after="120" w:line="360" w:lineRule="auto"/>
        <w:jc w:val="both"/>
      </w:pPr>
      <w:r>
        <w:rPr>
          <w:rFonts w:ascii="Georgia" w:hAnsi="Georgia"/>
          <w:sz w:val="22"/>
          <w:color w:val="1E293B"/>
        </w:rPr>
        <w:t xml:space="preserve">The rapid proliferation of ultra-processed packaged foods in the Indian consumer retail landscape has introduced substantial nutritional and metabolic health risks, predominantly driven by high concentrations of added sugars, saturated fats, refined carbohydrates, and synthetic chemical additives. While statutory regulations enacted by the Food Safety and Standards Authority of India (FSSAI) mandate ingredient declarations and International Numbering System (INS) food additive codes, the overwhelming majority of consumers lack the biochemical literacy required to decode technical designations such as INS 621 (Monosodium Glutamate), INS 322 (Lecithin), or INS 211 (Sodium Benzoate). Furthermore, deceptive marketing claims—such as 'high protein', 'zero trans fat', or 'natural'—frequently obscure the ultra-processed nature of mass-market snacks.</w:t>
      </w:r>
    </w:p>
    <w:p>
      <w:pPr>
        <w:spacing w:after="120" w:line="360" w:lineRule="auto"/>
        <w:jc w:val="both"/>
      </w:pPr>
      <w:r>
        <w:rPr>
          <w:rFonts w:ascii="Georgia" w:hAnsi="Georgia"/>
          <w:sz w:val="22"/>
          <w:color w:val="1E293B"/>
        </w:rPr>
        <w:t xml:space="preserve">To address this critical transparency deficit, this Software Group Project presents BiteLens: an AI and telemetry-powered packaged food analysis and nutrition transparency engine. BiteLens integrates an Optical Character Recognition (OCR) pipeline, an automated plain-English INS additive decoding engine, a 4-tier NOVA food processing classification model, and an individualized dual-axis Goal Fit telemetry algorithm (weight management × muscle hypertrophy).</w:t>
      </w:r>
    </w:p>
    <w:p>
      <w:pPr>
        <w:spacing w:after="120" w:line="360" w:lineRule="auto"/>
        <w:jc w:val="both"/>
      </w:pPr>
      <w:r>
        <w:rPr>
          <w:rFonts w:ascii="Georgia" w:hAnsi="Georgia"/>
          <w:sz w:val="22"/>
          <w:color w:val="1E293B"/>
        </w:rPr>
        <w:t xml:space="preserve">The software system is architected as a high-performance full-stack web platform consisting of a responsive, modern HTML5/CSS3/JavaScript frontend, an Android APK client wrapper, and a robust Go (Golang 1.22+) REST API backend powered by the Gin framework and PostgreSQL/GORM. The system incorporates hardened data integrity safeguards—including explicit nutrient measurement basis tracking (per 100g vs. per serving), undeclared nutrient JSONB tracking to prevent silent zero-defaults, read-time dynamic age calculation for minor consent compliance under the Digital Personal Data Protection Act (DPDP Act 2023), and SHA-256 cryptographic traceability hashes for verifiable auditability. Mathematical validation against standard Mifflin-St Jeor BMR/TDEE and Asian-specific WHO BMI cutoffs confirmed 100% computational precision. BiteLens demonstrates a frictionless, accessible software solution for elevating consumer food literacy and preventative public health across India.</w:t>
      </w:r>
    </w:p>
    <w:p>
      <w:pPr>
        <w:spacing w:after="120" w:line="360" w:lineRule="auto"/>
        <w:jc w:val="both"/>
      </w:pPr>
      <w:r>
        <w:rPr>
          <w:rFonts w:ascii="Georgia" w:hAnsi="Georgia"/>
          <w:b/>
          <w:sz w:val="22"/>
          <w:color w:val="0F172A"/>
        </w:rPr>
        <w:t xml:space="preserve">Keywords: </w:t>
      </w:r>
      <w:r>
        <w:rPr>
          <w:rFonts w:ascii="Georgia" w:hAnsi="Georgia"/>
          <w:sz w:val="22"/>
          <w:color w:val="1E293B"/>
        </w:rPr>
        <w:t xml:space="preserve">Food Additive Decoder, FSSAI INS Codes, Ultra-Processed Foods, NOVA Classification, Go (Golang), Gin REST API, Computer Vision OCR, Nutritional Telemetry, DPDP Act Minor Compliance, Android APK.</w:t>
      </w:r>
    </w:p>
    <w:p>
      <w:r>
        <w:br w:type="page"/>
      </w:r>
    </w:p>
    <w:p>
      <w:pPr>
        <w:pStyle w:val="Heading1"/>
        <w:spacing w:before="360" w:after="180"/>
      </w:pPr>
      <w:r>
        <w:rPr>
          <w:rFonts w:ascii="Georgia" w:hAnsi="Georgia"/>
          <w:b/>
          <w:sz w:val="32"/>
          <w:color w:val="1E3A8A"/>
        </w:rPr>
        <w:t>CHAPTER 1: INTRODUCTION</w:t>
      </w:r>
    </w:p>
    <w:p>
      <w:pPr>
        <w:pStyle w:val="Heading2"/>
        <w:spacing w:before="240" w:after="120"/>
      </w:pPr>
      <w:r>
        <w:rPr>
          <w:rFonts w:ascii="Georgia" w:hAnsi="Georgia"/>
          <w:b/>
          <w:sz w:val="28"/>
          <w:color w:val="1E293B"/>
        </w:rPr>
        <w:t>1.1 Brief Overview of the Project Topic</w:t>
      </w:r>
    </w:p>
    <w:p>
      <w:pPr>
        <w:pStyle w:val="Heading3"/>
        <w:spacing w:before="160" w:after="80"/>
      </w:pPr>
      <w:r>
        <w:rPr>
          <w:rFonts w:ascii="Georgia" w:hAnsi="Georgia"/>
          <w:b/>
          <w:sz w:val="24"/>
          <w:color w:val="334155"/>
        </w:rPr>
        <w:t>Introduction to the Topic</w:t>
      </w:r>
    </w:p>
    <w:p>
      <w:pPr>
        <w:spacing w:after="120" w:line="360" w:lineRule="auto"/>
        <w:jc w:val="both"/>
      </w:pPr>
      <w:r>
        <w:rPr>
          <w:rFonts w:ascii="Georgia" w:hAnsi="Georgia"/>
          <w:sz w:val="22"/>
          <w:color w:val="1E293B"/>
        </w:rPr>
        <w:t xml:space="preserve">In contemporary consumer societies, packaged and processed foods represent an ever-expanding percentage of daily dietary intake. Modern food manufacturing relies heavily on industrial food additives—chemical substances introduced to preserve flavor, enhance taste, alter texture, stabilize emulsions, or extend shelf life. Under international standards coordinated by the Codex Alimentarius Commission and enforced domestically in India by the Food Safety and Standards Authority of India (FSSAI) under the Food Safety and Standards (Labelling and Display) Regulations, 2020, these compounds are codified using International Numbering System (INS) identifiers (e.g., INS 621 for monosodium glutamate, INS 322 for lecithins, INS 211 for sodium benzoate, INS 407 for carrageenan).</w:t>
      </w:r>
    </w:p>
    <w:p>
      <w:pPr>
        <w:spacing w:after="120" w:line="360" w:lineRule="auto"/>
        <w:jc w:val="both"/>
      </w:pPr>
      <w:r>
        <w:rPr>
          <w:rFonts w:ascii="Georgia" w:hAnsi="Georgia"/>
          <w:sz w:val="22"/>
          <w:color w:val="1E293B"/>
        </w:rPr>
        <w:t xml:space="preserve">While these numerical designations provide standard regulatory classifications for food scientists and compliance authorities, they create an impenetrable barrier of technical opacity for ordinary shoppers. Consumers standing in a grocery aisle are incapable of discerning whether a listed chemical code represents an innocuous plant-derived stabilizer or a synthetic additive associated with gastrointestinal inflammation, hyper-palatability, or metabolic dysfunction.</w:t>
      </w:r>
    </w:p>
    <w:p>
      <w:pPr>
        <w:pStyle w:val="Heading3"/>
        <w:spacing w:before="160" w:after="80"/>
      </w:pPr>
      <w:r>
        <w:rPr>
          <w:rFonts w:ascii="Georgia" w:hAnsi="Georgia"/>
          <w:b/>
          <w:sz w:val="24"/>
          <w:color w:val="334155"/>
        </w:rPr>
        <w:t>Relevance / Need of the Project</w:t>
      </w:r>
    </w:p>
    <w:p>
      <w:pPr>
        <w:spacing w:after="120" w:line="360" w:lineRule="auto"/>
        <w:jc w:val="both"/>
      </w:pPr>
      <w:r>
        <w:rPr>
          <w:rFonts w:ascii="Georgia" w:hAnsi="Georgia"/>
          <w:sz w:val="22"/>
          <w:color w:val="1E293B"/>
        </w:rPr>
        <w:t xml:space="preserve">Epidemiological research published in premier global medical journals (such as The Lancet and The British Medical Journal) has established strong causal associations between chronic consumption of Ultra-Processed Foods (UPFs) and severe non-communicable diseases (NCDs), including Type-2 diabetes, cardiovascular disease, hypertension, fatty liver disease, and obesity. In India, rapid urban dietary transitions have precipitated an alarming surge in early-onset metabolic disorders among adolescents and young working professionals.</w:t>
      </w:r>
    </w:p>
    <w:p>
      <w:pPr>
        <w:spacing w:after="120" w:line="360" w:lineRule="auto"/>
        <w:jc w:val="both"/>
      </w:pPr>
      <w:r>
        <w:rPr>
          <w:rFonts w:ascii="Georgia" w:hAnsi="Georgia"/>
          <w:sz w:val="22"/>
          <w:color w:val="1E293B"/>
        </w:rPr>
        <w:t xml:space="preserve">The necessity of BiteLens stems directly from three pervasive market and informational failures:</w:t>
      </w:r>
    </w:p>
    <w:p>
      <w:pPr>
        <w:spacing w:after="120" w:line="360" w:lineRule="auto"/>
        <w:ind w:left="720" w:hanging="360"/>
      </w:pPr>
      <w:r>
        <w:rPr>
          <w:rFonts w:ascii="Georgia" w:hAnsi="Georgia"/>
          <w:b/>
          <w:color w:val="1E3A8A"/>
          <w:sz w:val="22"/>
        </w:rPr>
        <w:t xml:space="preserve">• </w:t>
      </w:r>
      <w:r>
        <w:rPr>
          <w:rFonts w:ascii="Georgia" w:hAnsi="Georgia"/>
          <w:b/>
          <w:sz w:val="22"/>
          <w:color w:val="0F172A"/>
        </w:rPr>
        <w:t xml:space="preserve">1. Informational Asymmetry: </w:t>
      </w:r>
      <w:r>
        <w:rPr>
          <w:rFonts w:ascii="Georgia" w:hAnsi="Georgia"/>
          <w:sz w:val="22"/>
          <w:color w:val="1E293B"/>
        </w:rPr>
        <w:t xml:space="preserve">Food manufacturers leverage complex technical jargon and tiny font sizes on rear packaging labels to obscure high concentrations of sodium, saturated fats, and synthetic additives, while aggressively marketing misleading front-of-pack claims.</w:t>
      </w:r>
    </w:p>
    <w:p>
      <w:pPr>
        <w:spacing w:after="120" w:line="360" w:lineRule="auto"/>
        <w:ind w:left="720" w:hanging="360"/>
      </w:pPr>
      <w:r>
        <w:rPr>
          <w:rFonts w:ascii="Georgia" w:hAnsi="Georgia"/>
          <w:b/>
          <w:color w:val="1E3A8A"/>
          <w:sz w:val="22"/>
        </w:rPr>
        <w:t xml:space="preserve">• </w:t>
      </w:r>
      <w:r>
        <w:rPr>
          <w:rFonts w:ascii="Georgia" w:hAnsi="Georgia"/>
          <w:b/>
          <w:sz w:val="22"/>
          <w:color w:val="0F172A"/>
        </w:rPr>
        <w:t xml:space="preserve">2. Absence of Localized Additive Decoding Tools: </w:t>
      </w:r>
      <w:r>
        <w:rPr>
          <w:rFonts w:ascii="Georgia" w:hAnsi="Georgia"/>
          <w:sz w:val="22"/>
          <w:color w:val="1E293B"/>
        </w:rPr>
        <w:t xml:space="preserve">Existing consumer scanner applications either focus exclusively on Western markets (failing to recognize Indian regional packaged brands) or present unverified, subjective scores without citing authoritative scientific frameworks.</w:t>
      </w:r>
    </w:p>
    <w:p>
      <w:pPr>
        <w:spacing w:after="120" w:line="360" w:lineRule="auto"/>
        <w:ind w:left="720" w:hanging="360"/>
      </w:pPr>
      <w:r>
        <w:rPr>
          <w:rFonts w:ascii="Georgia" w:hAnsi="Georgia"/>
          <w:b/>
          <w:color w:val="1E3A8A"/>
          <w:sz w:val="22"/>
        </w:rPr>
        <w:t xml:space="preserve">• </w:t>
      </w:r>
      <w:r>
        <w:rPr>
          <w:rFonts w:ascii="Georgia" w:hAnsi="Georgia"/>
          <w:b/>
          <w:sz w:val="22"/>
          <w:color w:val="0F172A"/>
        </w:rPr>
        <w:t xml:space="preserve">3. One-Size-Fits-All Scoring Fallacy: </w:t>
      </w:r>
      <w:r>
        <w:rPr>
          <w:rFonts w:ascii="Georgia" w:hAnsi="Georgia"/>
          <w:sz w:val="22"/>
          <w:color w:val="1E293B"/>
        </w:rPr>
        <w:t xml:space="preserve">Traditional nutritional rating systems combine caloric density and food processing into a single opaque number. A fitness enthusiast seeking high protein may benefit from a food item that is otherwise suboptimal for a sedentary individual seeking weight loss. BiteLens resolves this through an innovative dual-scoring model that cleanly separates processing degree (Health Score) from personal macronutrient fit (Goal Fit Score).</w:t>
      </w:r>
    </w:p>
    <w:p>
      <w:pPr>
        <w:pStyle w:val="Heading2"/>
        <w:spacing w:before="240" w:after="120"/>
      </w:pPr>
      <w:r>
        <w:rPr>
          <w:rFonts w:ascii="Georgia" w:hAnsi="Georgia"/>
          <w:b/>
          <w:sz w:val="28"/>
          <w:color w:val="1E293B"/>
        </w:rPr>
        <w:t>1.2 Purpose / Problem Statement</w:t>
      </w:r>
    </w:p>
    <w:p>
      <w:pPr>
        <w:pStyle w:val="Heading3"/>
        <w:spacing w:before="160" w:after="80"/>
      </w:pPr>
      <w:r>
        <w:rPr>
          <w:rFonts w:ascii="Georgia" w:hAnsi="Georgia"/>
          <w:b/>
          <w:sz w:val="24"/>
          <w:color w:val="334155"/>
        </w:rPr>
        <w:t>Problem Identification</w:t>
      </w:r>
    </w:p>
    <w:p>
      <w:pPr>
        <w:spacing w:after="120" w:line="360" w:lineRule="auto"/>
        <w:jc w:val="both"/>
      </w:pPr>
      <w:r>
        <w:rPr>
          <w:rFonts w:ascii="Georgia" w:hAnsi="Georgia"/>
          <w:sz w:val="22"/>
          <w:color w:val="1E293B"/>
        </w:rPr>
        <w:t xml:space="preserve">Current food packaging labeling regulations fail to empower consumers to make informed dietary decisions at the point of purchase. Specifically, four core problems were identified during our preliminary engineering research:</w:t>
      </w:r>
    </w:p>
    <w:p>
      <w:pPr>
        <w:spacing w:after="120" w:line="360" w:lineRule="auto"/>
        <w:ind w:left="720" w:hanging="360"/>
      </w:pPr>
      <w:r>
        <w:rPr>
          <w:rFonts w:ascii="Georgia" w:hAnsi="Georgia"/>
          <w:b/>
          <w:color w:val="1E3A8A"/>
          <w:sz w:val="22"/>
        </w:rPr>
        <w:t xml:space="preserve">• </w:t>
      </w:r>
      <w:r>
        <w:rPr>
          <w:rFonts w:ascii="Georgia" w:hAnsi="Georgia"/>
          <w:b/>
          <w:sz w:val="22"/>
          <w:color w:val="0F172A"/>
        </w:rPr>
        <w:t xml:space="preserve">Cryptic Additive Nomenclature: </w:t>
      </w:r>
      <w:r>
        <w:rPr>
          <w:rFonts w:ascii="Georgia" w:hAnsi="Georgia"/>
          <w:sz w:val="22"/>
          <w:color w:val="1E293B"/>
        </w:rPr>
        <w:t xml:space="preserve">Consumers cannot translate numerical INS codes into plain-language health risk assessments in real-time, resulting in unintended exposure to allergenic or pro-inflammatory compounds.</w:t>
      </w:r>
    </w:p>
    <w:p>
      <w:pPr>
        <w:spacing w:after="120" w:line="360" w:lineRule="auto"/>
        <w:ind w:left="720" w:hanging="360"/>
      </w:pPr>
      <w:r>
        <w:rPr>
          <w:rFonts w:ascii="Georgia" w:hAnsi="Georgia"/>
          <w:b/>
          <w:color w:val="1E3A8A"/>
          <w:sz w:val="22"/>
        </w:rPr>
        <w:t xml:space="preserve">• </w:t>
      </w:r>
      <w:r>
        <w:rPr>
          <w:rFonts w:ascii="Georgia" w:hAnsi="Georgia"/>
          <w:b/>
          <w:sz w:val="22"/>
          <w:color w:val="0F172A"/>
        </w:rPr>
        <w:t xml:space="preserve">Silent Data Default Vulnerability: </w:t>
      </w:r>
      <w:r>
        <w:rPr>
          <w:rFonts w:ascii="Georgia" w:hAnsi="Georgia"/>
          <w:sz w:val="22"/>
          <w:color w:val="1E293B"/>
        </w:rPr>
        <w:t xml:space="preserve">Nutritional tracking databases frequently treat missing or undeclared nutrient fields (e.g., blank trans fat, dietary fiber, or added sugar rows on Indian labels) as 0g, resulting in falsely elevated health ratings.</w:t>
      </w:r>
    </w:p>
    <w:p>
      <w:pPr>
        <w:spacing w:after="120" w:line="360" w:lineRule="auto"/>
        <w:ind w:left="720" w:hanging="360"/>
      </w:pPr>
      <w:r>
        <w:rPr>
          <w:rFonts w:ascii="Georgia" w:hAnsi="Georgia"/>
          <w:b/>
          <w:color w:val="1E3A8A"/>
          <w:sz w:val="22"/>
        </w:rPr>
        <w:t xml:space="preserve">• </w:t>
      </w:r>
      <w:r>
        <w:rPr>
          <w:rFonts w:ascii="Georgia" w:hAnsi="Georgia"/>
          <w:b/>
          <w:sz w:val="22"/>
          <w:color w:val="0F172A"/>
        </w:rPr>
        <w:t xml:space="preserve">Inconsistent Measurement Basis: </w:t>
      </w:r>
      <w:r>
        <w:rPr>
          <w:rFonts w:ascii="Georgia" w:hAnsi="Georgia"/>
          <w:sz w:val="22"/>
          <w:color w:val="1E293B"/>
        </w:rPr>
        <w:t xml:space="preserve">Nutrition panels switch arbitrarily between 'per 100g/100ml' and 'per serving' without clearly communicating the actual package size, misleading shoppers regarding the true portion impact.</w:t>
      </w:r>
    </w:p>
    <w:p>
      <w:pPr>
        <w:spacing w:after="120" w:line="360" w:lineRule="auto"/>
        <w:ind w:left="720" w:hanging="360"/>
      </w:pPr>
      <w:r>
        <w:rPr>
          <w:rFonts w:ascii="Georgia" w:hAnsi="Georgia"/>
          <w:b/>
          <w:color w:val="1E3A8A"/>
          <w:sz w:val="22"/>
        </w:rPr>
        <w:t xml:space="preserve">• </w:t>
      </w:r>
      <w:r>
        <w:rPr>
          <w:rFonts w:ascii="Georgia" w:hAnsi="Georgia"/>
          <w:b/>
          <w:sz w:val="22"/>
          <w:color w:val="0F172A"/>
        </w:rPr>
        <w:t xml:space="preserve">Lack of Regulatory Traceability: </w:t>
      </w:r>
      <w:r>
        <w:rPr>
          <w:rFonts w:ascii="Georgia" w:hAnsi="Georgia"/>
          <w:sz w:val="22"/>
          <w:color w:val="1E293B"/>
        </w:rPr>
        <w:t xml:space="preserve">Consumer applications rarely disclose the exact scientific rules, FSSAI regulations, or NOVA thresholds used to compute health scores, creating black-box distrust among discerning users.</w:t>
      </w:r>
    </w:p>
    <w:p>
      <w:pPr>
        <w:pStyle w:val="Heading3"/>
        <w:spacing w:before="160" w:after="80"/>
      </w:pPr>
      <w:r>
        <w:rPr>
          <w:rFonts w:ascii="Georgia" w:hAnsi="Georgia"/>
          <w:b/>
          <w:sz w:val="24"/>
          <w:color w:val="334155"/>
        </w:rPr>
        <w:t>Project Objectives</w:t>
      </w:r>
    </w:p>
    <w:p>
      <w:pPr>
        <w:spacing w:after="120" w:line="360" w:lineRule="auto"/>
        <w:ind w:left="720" w:hanging="360"/>
      </w:pPr>
      <w:r>
        <w:rPr>
          <w:rFonts w:ascii="Georgia" w:hAnsi="Georgia"/>
          <w:b/>
          <w:color w:val="1E3A8A"/>
          <w:sz w:val="22"/>
        </w:rPr>
        <w:t xml:space="preserve">• </w:t>
      </w:r>
      <w:r>
        <w:rPr>
          <w:rFonts w:ascii="Georgia" w:hAnsi="Georgia"/>
          <w:b/>
          <w:sz w:val="22"/>
          <w:color w:val="0F172A"/>
        </w:rPr>
        <w:t xml:space="preserve">Objective 1: </w:t>
      </w:r>
      <w:r>
        <w:rPr>
          <w:rFonts w:ascii="Georgia" w:hAnsi="Georgia"/>
          <w:sz w:val="22"/>
          <w:color w:val="1E293B"/>
        </w:rPr>
        <w:t xml:space="preserve">Construct a comprehensive, curated relational database of FSSAI INS food additives with plain-English functional translations, risk classifications, and NOVA group categorizations.</w:t>
      </w:r>
    </w:p>
    <w:p>
      <w:pPr>
        <w:spacing w:after="120" w:line="360" w:lineRule="auto"/>
        <w:ind w:left="720" w:hanging="360"/>
      </w:pPr>
      <w:r>
        <w:rPr>
          <w:rFonts w:ascii="Georgia" w:hAnsi="Georgia"/>
          <w:b/>
          <w:color w:val="1E3A8A"/>
          <w:sz w:val="22"/>
        </w:rPr>
        <w:t xml:space="preserve">• </w:t>
      </w:r>
      <w:r>
        <w:rPr>
          <w:rFonts w:ascii="Georgia" w:hAnsi="Georgia"/>
          <w:b/>
          <w:sz w:val="22"/>
          <w:color w:val="0F172A"/>
        </w:rPr>
        <w:t xml:space="preserve">Objective 2: </w:t>
      </w:r>
      <w:r>
        <w:rPr>
          <w:rFonts w:ascii="Georgia" w:hAnsi="Georgia"/>
          <w:sz w:val="22"/>
          <w:color w:val="1E293B"/>
        </w:rPr>
        <w:t xml:space="preserve">Implement an Optical Character Recognition (OCR) and regex tokenization pipeline capable of extracting and standardizing noisy ingredient strings from camera label photos.</w:t>
      </w:r>
    </w:p>
    <w:p>
      <w:pPr>
        <w:spacing w:after="120" w:line="360" w:lineRule="auto"/>
        <w:ind w:left="720" w:hanging="360"/>
      </w:pPr>
      <w:r>
        <w:rPr>
          <w:rFonts w:ascii="Georgia" w:hAnsi="Georgia"/>
          <w:b/>
          <w:color w:val="1E3A8A"/>
          <w:sz w:val="22"/>
        </w:rPr>
        <w:t xml:space="preserve">• </w:t>
      </w:r>
      <w:r>
        <w:rPr>
          <w:rFonts w:ascii="Georgia" w:hAnsi="Georgia"/>
          <w:b/>
          <w:sz w:val="22"/>
          <w:color w:val="0F172A"/>
        </w:rPr>
        <w:t xml:space="preserve">Objective 3: </w:t>
      </w:r>
      <w:r>
        <w:rPr>
          <w:rFonts w:ascii="Georgia" w:hAnsi="Georgia"/>
          <w:sz w:val="22"/>
          <w:color w:val="1E293B"/>
        </w:rPr>
        <w:t xml:space="preserve">Formulate an open, auditable dual-scoring telemetry engine computing both a 0–100 Health Processing Score (NOVA-aligned) and a personal Goal Fit Score (caloric and macronutrient alignment).</w:t>
      </w:r>
    </w:p>
    <w:p>
      <w:pPr>
        <w:spacing w:after="120" w:line="360" w:lineRule="auto"/>
        <w:ind w:left="720" w:hanging="360"/>
      </w:pPr>
      <w:r>
        <w:rPr>
          <w:rFonts w:ascii="Georgia" w:hAnsi="Georgia"/>
          <w:b/>
          <w:color w:val="1E3A8A"/>
          <w:sz w:val="22"/>
        </w:rPr>
        <w:t xml:space="preserve">• </w:t>
      </w:r>
      <w:r>
        <w:rPr>
          <w:rFonts w:ascii="Georgia" w:hAnsi="Georgia"/>
          <w:b/>
          <w:sz w:val="22"/>
          <w:color w:val="0F172A"/>
        </w:rPr>
        <w:t xml:space="preserve">Objective 4: </w:t>
      </w:r>
      <w:r>
        <w:rPr>
          <w:rFonts w:ascii="Georgia" w:hAnsi="Georgia"/>
          <w:sz w:val="22"/>
          <w:color w:val="1E293B"/>
        </w:rPr>
        <w:t xml:space="preserve">Engineer a robust, concurrent Go (Golang 1.22+) backend REST API with PostgreSQL, stateless HttpOnly cookie JWT security, dynamic minor age calculation (DPDP Act 2023 compliance), and sub-50ms query response times.</w:t>
      </w:r>
    </w:p>
    <w:p>
      <w:pPr>
        <w:spacing w:after="120" w:line="360" w:lineRule="auto"/>
        <w:ind w:left="720" w:hanging="360"/>
      </w:pPr>
      <w:r>
        <w:rPr>
          <w:rFonts w:ascii="Georgia" w:hAnsi="Georgia"/>
          <w:b/>
          <w:color w:val="1E3A8A"/>
          <w:sz w:val="22"/>
        </w:rPr>
        <w:t xml:space="preserve">• </w:t>
      </w:r>
      <w:r>
        <w:rPr>
          <w:rFonts w:ascii="Georgia" w:hAnsi="Georgia"/>
          <w:b/>
          <w:sz w:val="22"/>
          <w:color w:val="0F172A"/>
        </w:rPr>
        <w:t xml:space="preserve">Objective 5: </w:t>
      </w:r>
      <w:r>
        <w:rPr>
          <w:rFonts w:ascii="Georgia" w:hAnsi="Georgia"/>
          <w:sz w:val="22"/>
          <w:color w:val="1E293B"/>
        </w:rPr>
        <w:t xml:space="preserve">Design a clean, responsive, Apple Health-inspired web interface and Android APK wrapper with interactive telemetry workbenches, interactive calculators, and zero background click bleed-through.</w:t>
      </w:r>
    </w:p>
    <w:p>
      <w:pPr>
        <w:pStyle w:val="Heading2"/>
        <w:spacing w:before="240" w:after="120"/>
      </w:pPr>
      <w:r>
        <w:rPr>
          <w:rFonts w:ascii="Georgia" w:hAnsi="Georgia"/>
          <w:b/>
          <w:sz w:val="28"/>
          <w:color w:val="1E293B"/>
        </w:rPr>
        <w:t>1.5 Technology Overview</w:t>
      </w:r>
    </w:p>
    <w:p>
      <w:pPr>
        <w:pStyle w:val="Heading3"/>
        <w:spacing w:before="160" w:after="80"/>
      </w:pPr>
      <w:r>
        <w:rPr>
          <w:rFonts w:ascii="Georgia" w:hAnsi="Georgia"/>
          <w:b/>
          <w:sz w:val="24"/>
          <w:color w:val="334155"/>
        </w:rPr>
        <w:t>Overview of Relevant Technologies</w:t>
      </w:r>
    </w:p>
    <w:tbl>
      <w:tblPr>
        <w:tblW w:w="950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rPr>
          <w:tblHeader/>
        </w:trPr>
        <w:tc>
          <w:tcPr>
            <w:shd w:val="clear" w:fill="1E3A8A"/>
            <w:tcMar>
              <w:top w:w="100" w:type="dxa"/>
              <w:bottom w:w="100" w:type="dxa"/>
            </w:tcMar>
          </w:tcPr>
          <w:p>
            <w:pPr>
              <w:spacing w:after="60" w:before="60"/>
            </w:pPr>
            <w:r>
              <w:rPr>
                <w:rFonts w:ascii="Georgia" w:hAnsi="Georgia"/>
                <w:b/>
                <w:color w:val="FFFFFF"/>
                <w:sz w:val="20"/>
              </w:rPr>
              <w:t>Layer</w:t>
            </w:r>
          </w:p>
        </w:tc>
        <w:tc>
          <w:tcPr>
            <w:shd w:val="clear" w:fill="1E3A8A"/>
            <w:tcMar>
              <w:top w:w="100" w:type="dxa"/>
              <w:bottom w:w="100" w:type="dxa"/>
            </w:tcMar>
          </w:tcPr>
          <w:p>
            <w:pPr>
              <w:spacing w:after="60" w:before="60"/>
            </w:pPr>
            <w:r>
              <w:rPr>
                <w:rFonts w:ascii="Georgia" w:hAnsi="Georgia"/>
                <w:b/>
                <w:color w:val="FFFFFF"/>
                <w:sz w:val="20"/>
              </w:rPr>
              <w:t>Technology / Framework</w:t>
            </w:r>
          </w:p>
        </w:tc>
        <w:tc>
          <w:tcPr>
            <w:shd w:val="clear" w:fill="1E3A8A"/>
            <w:tcMar>
              <w:top w:w="100" w:type="dxa"/>
              <w:bottom w:w="100" w:type="dxa"/>
            </w:tcMar>
          </w:tcPr>
          <w:p>
            <w:pPr>
              <w:spacing w:after="60" w:before="60"/>
            </w:pPr>
            <w:r>
              <w:rPr>
                <w:rFonts w:ascii="Georgia" w:hAnsi="Georgia"/>
                <w:b/>
                <w:color w:val="FFFFFF"/>
                <w:sz w:val="20"/>
              </w:rPr>
              <w:t>Role &amp; Scope</w:t>
            </w:r>
          </w:p>
        </w:tc>
      </w:tr>
      <w:tr>
        <w:tc>
          <w:tcPr>
            <w:shd w:val="clear" w:fill="FFFFFF"/>
            <w:tcMar>
              <w:top w:w="80" w:type="dxa"/>
              <w:bottom w:w="80" w:type="dxa"/>
            </w:tcMar>
          </w:tcPr>
          <w:p>
            <w:pPr>
              <w:spacing w:after="40" w:before="40"/>
            </w:pPr>
            <w:r>
              <w:rPr>
                <w:rFonts w:ascii="Georgia" w:hAnsi="Georgia"/>
                <w:sz w:val="19"/>
                <w:color w:val="1E293B"/>
              </w:rPr>
              <w:t>Client Frontend</w:t>
            </w:r>
          </w:p>
        </w:tc>
        <w:tc>
          <w:tcPr>
            <w:shd w:val="clear" w:fill="FFFFFF"/>
            <w:tcMar>
              <w:top w:w="80" w:type="dxa"/>
              <w:bottom w:w="80" w:type="dxa"/>
            </w:tcMar>
          </w:tcPr>
          <w:p>
            <w:pPr>
              <w:spacing w:after="40" w:before="40"/>
            </w:pPr>
            <w:r>
              <w:rPr>
                <w:rFonts w:ascii="Georgia" w:hAnsi="Georgia"/>
                <w:sz w:val="19"/>
                <w:color w:val="1E293B"/>
              </w:rPr>
              <w:t>HTML5, Vanilla CSS3, JS (ES6+), Vite</w:t>
            </w:r>
          </w:p>
        </w:tc>
        <w:tc>
          <w:tcPr>
            <w:shd w:val="clear" w:fill="FFFFFF"/>
            <w:tcMar>
              <w:top w:w="80" w:type="dxa"/>
              <w:bottom w:w="80" w:type="dxa"/>
            </w:tcMar>
          </w:tcPr>
          <w:p>
            <w:pPr>
              <w:spacing w:after="40" w:before="40"/>
            </w:pPr>
            <w:r>
              <w:rPr>
                <w:rFonts w:ascii="Georgia" w:hAnsi="Georgia"/>
                <w:sz w:val="19"/>
                <w:color w:val="1E293B"/>
              </w:rPr>
              <w:t>Multi-page web application, Telemetry Lab Stepper, INS Search Workbench, responsive design.</w:t>
            </w:r>
          </w:p>
        </w:tc>
      </w:tr>
      <w:tr>
        <w:tc>
          <w:tcPr>
            <w:shd w:val="clear" w:fill="F8FAFC"/>
            <w:tcMar>
              <w:top w:w="80" w:type="dxa"/>
              <w:bottom w:w="80" w:type="dxa"/>
            </w:tcMar>
          </w:tcPr>
          <w:p>
            <w:pPr>
              <w:spacing w:after="40" w:before="40"/>
            </w:pPr>
            <w:r>
              <w:rPr>
                <w:rFonts w:ascii="Georgia" w:hAnsi="Georgia"/>
                <w:sz w:val="19"/>
                <w:color w:val="1E293B"/>
              </w:rPr>
              <w:t>Mobile Client</w:t>
            </w:r>
          </w:p>
        </w:tc>
        <w:tc>
          <w:tcPr>
            <w:shd w:val="clear" w:fill="F8FAFC"/>
            <w:tcMar>
              <w:top w:w="80" w:type="dxa"/>
              <w:bottom w:w="80" w:type="dxa"/>
            </w:tcMar>
          </w:tcPr>
          <w:p>
            <w:pPr>
              <w:spacing w:after="40" w:before="40"/>
            </w:pPr>
            <w:r>
              <w:rPr>
                <w:rFonts w:ascii="Georgia" w:hAnsi="Georgia"/>
                <w:sz w:val="19"/>
                <w:color w:val="1E293B"/>
              </w:rPr>
              <w:t>Android SDK, Java/WebKit APK Wrapper</w:t>
            </w:r>
          </w:p>
        </w:tc>
        <w:tc>
          <w:tcPr>
            <w:shd w:val="clear" w:fill="F8FAFC"/>
            <w:tcMar>
              <w:top w:w="80" w:type="dxa"/>
              <w:bottom w:w="80" w:type="dxa"/>
            </w:tcMar>
          </w:tcPr>
          <w:p>
            <w:pPr>
              <w:spacing w:after="40" w:before="40"/>
            </w:pPr>
            <w:r>
              <w:rPr>
                <w:rFonts w:ascii="Georgia" w:hAnsi="Georgia"/>
                <w:sz w:val="19"/>
                <w:color w:val="1E293B"/>
              </w:rPr>
              <w:t>Standalone Android APK distribution, hardware camera integration, offline resource caching.</w:t>
            </w:r>
          </w:p>
        </w:tc>
      </w:tr>
      <w:tr>
        <w:tc>
          <w:tcPr>
            <w:shd w:val="clear" w:fill="FFFFFF"/>
            <w:tcMar>
              <w:top w:w="80" w:type="dxa"/>
              <w:bottom w:w="80" w:type="dxa"/>
            </w:tcMar>
          </w:tcPr>
          <w:p>
            <w:pPr>
              <w:spacing w:after="40" w:before="40"/>
            </w:pPr>
            <w:r>
              <w:rPr>
                <w:rFonts w:ascii="Georgia" w:hAnsi="Georgia"/>
                <w:sz w:val="19"/>
                <w:color w:val="1E293B"/>
              </w:rPr>
              <w:t>Backend API</w:t>
            </w:r>
          </w:p>
        </w:tc>
        <w:tc>
          <w:tcPr>
            <w:shd w:val="clear" w:fill="FFFFFF"/>
            <w:tcMar>
              <w:top w:w="80" w:type="dxa"/>
              <w:bottom w:w="80" w:type="dxa"/>
            </w:tcMar>
          </w:tcPr>
          <w:p>
            <w:pPr>
              <w:spacing w:after="40" w:before="40"/>
            </w:pPr>
            <w:r>
              <w:rPr>
                <w:rFonts w:ascii="Georgia" w:hAnsi="Georgia"/>
                <w:sz w:val="19"/>
                <w:color w:val="1E293B"/>
              </w:rPr>
              <w:t>Go (Golang 1.22+), Gin Web Framework</w:t>
            </w:r>
          </w:p>
        </w:tc>
        <w:tc>
          <w:tcPr>
            <w:shd w:val="clear" w:fill="FFFFFF"/>
            <w:tcMar>
              <w:top w:w="80" w:type="dxa"/>
              <w:bottom w:w="80" w:type="dxa"/>
            </w:tcMar>
          </w:tcPr>
          <w:p>
            <w:pPr>
              <w:spacing w:after="40" w:before="40"/>
            </w:pPr>
            <w:r>
              <w:rPr>
                <w:rFonts w:ascii="Georgia" w:hAnsi="Georgia"/>
                <w:sz w:val="19"/>
                <w:color w:val="1E293B"/>
              </w:rPr>
              <w:t>REST API routing, rate limiting (10 req/min), CORS credentials, OCR parsing heuristics.</w:t>
            </w:r>
          </w:p>
        </w:tc>
      </w:tr>
      <w:tr>
        <w:tc>
          <w:tcPr>
            <w:shd w:val="clear" w:fill="F8FAFC"/>
            <w:tcMar>
              <w:top w:w="80" w:type="dxa"/>
              <w:bottom w:w="80" w:type="dxa"/>
            </w:tcMar>
          </w:tcPr>
          <w:p>
            <w:pPr>
              <w:spacing w:after="40" w:before="40"/>
            </w:pPr>
            <w:r>
              <w:rPr>
                <w:rFonts w:ascii="Georgia" w:hAnsi="Georgia"/>
                <w:sz w:val="19"/>
                <w:color w:val="1E293B"/>
              </w:rPr>
              <w:t>Data Persistence</w:t>
            </w:r>
          </w:p>
        </w:tc>
        <w:tc>
          <w:tcPr>
            <w:shd w:val="clear" w:fill="F8FAFC"/>
            <w:tcMar>
              <w:top w:w="80" w:type="dxa"/>
              <w:bottom w:w="80" w:type="dxa"/>
            </w:tcMar>
          </w:tcPr>
          <w:p>
            <w:pPr>
              <w:spacing w:after="40" w:before="40"/>
            </w:pPr>
            <w:r>
              <w:rPr>
                <w:rFonts w:ascii="Georgia" w:hAnsi="Georgia"/>
                <w:sz w:val="19"/>
                <w:color w:val="1E293B"/>
              </w:rPr>
              <w:t>PostgreSQL + GORM ORM (`datatypes`)</w:t>
            </w:r>
          </w:p>
        </w:tc>
        <w:tc>
          <w:tcPr>
            <w:shd w:val="clear" w:fill="F8FAFC"/>
            <w:tcMar>
              <w:top w:w="80" w:type="dxa"/>
              <w:bottom w:w="80" w:type="dxa"/>
            </w:tcMar>
          </w:tcPr>
          <w:p>
            <w:pPr>
              <w:spacing w:after="40" w:before="40"/>
            </w:pPr>
            <w:r>
              <w:rPr>
                <w:rFonts w:ascii="Georgia" w:hAnsi="Georgia"/>
                <w:sz w:val="19"/>
                <w:color w:val="1E293B"/>
              </w:rPr>
              <w:t>Relational schema for Users, Products, Additives, and Scan History with native JSONB support.</w:t>
            </w:r>
          </w:p>
        </w:tc>
      </w:tr>
      <w:tr>
        <w:tc>
          <w:tcPr>
            <w:shd w:val="clear" w:fill="FFFFFF"/>
            <w:tcMar>
              <w:top w:w="80" w:type="dxa"/>
              <w:bottom w:w="80" w:type="dxa"/>
            </w:tcMar>
          </w:tcPr>
          <w:p>
            <w:pPr>
              <w:spacing w:after="40" w:before="40"/>
            </w:pPr>
            <w:r>
              <w:rPr>
                <w:rFonts w:ascii="Georgia" w:hAnsi="Georgia"/>
                <w:sz w:val="19"/>
                <w:color w:val="1E293B"/>
              </w:rPr>
              <w:t>Authentication</w:t>
            </w:r>
          </w:p>
        </w:tc>
        <w:tc>
          <w:tcPr>
            <w:shd w:val="clear" w:fill="FFFFFF"/>
            <w:tcMar>
              <w:top w:w="80" w:type="dxa"/>
              <w:bottom w:w="80" w:type="dxa"/>
            </w:tcMar>
          </w:tcPr>
          <w:p>
            <w:pPr>
              <w:spacing w:after="40" w:before="40"/>
            </w:pPr>
            <w:r>
              <w:rPr>
                <w:rFonts w:ascii="Georgia" w:hAnsi="Georgia"/>
                <w:sz w:val="19"/>
                <w:color w:val="1E293B"/>
              </w:rPr>
              <w:t>Stateless JWT in HttpOnly Cookies</w:t>
            </w:r>
          </w:p>
        </w:tc>
        <w:tc>
          <w:tcPr>
            <w:shd w:val="clear" w:fill="FFFFFF"/>
            <w:tcMar>
              <w:top w:w="80" w:type="dxa"/>
              <w:bottom w:w="80" w:type="dxa"/>
            </w:tcMar>
          </w:tcPr>
          <w:p>
            <w:pPr>
              <w:spacing w:after="40" w:before="40"/>
            </w:pPr>
            <w:r>
              <w:rPr>
                <w:rFonts w:ascii="Georgia" w:hAnsi="Georgia"/>
                <w:sz w:val="19"/>
                <w:color w:val="1E293B"/>
              </w:rPr>
              <w:t>XSS-resistant session management, token revocation hashing, DPDP minor consent verification.</w:t>
            </w:r>
          </w:p>
        </w:tc>
      </w:tr>
      <w:tr>
        <w:tc>
          <w:tcPr>
            <w:shd w:val="clear" w:fill="F8FAFC"/>
            <w:tcMar>
              <w:top w:w="80" w:type="dxa"/>
              <w:bottom w:w="80" w:type="dxa"/>
            </w:tcMar>
          </w:tcPr>
          <w:p>
            <w:pPr>
              <w:spacing w:after="40" w:before="40"/>
            </w:pPr>
            <w:r>
              <w:rPr>
                <w:rFonts w:ascii="Georgia" w:hAnsi="Georgia"/>
                <w:sz w:val="19"/>
                <w:color w:val="1E293B"/>
              </w:rPr>
              <w:t>Computer Vision</w:t>
            </w:r>
          </w:p>
        </w:tc>
        <w:tc>
          <w:tcPr>
            <w:shd w:val="clear" w:fill="F8FAFC"/>
            <w:tcMar>
              <w:top w:w="80" w:type="dxa"/>
              <w:bottom w:w="80" w:type="dxa"/>
            </w:tcMar>
          </w:tcPr>
          <w:p>
            <w:pPr>
              <w:spacing w:after="40" w:before="40"/>
            </w:pPr>
            <w:r>
              <w:rPr>
                <w:rFonts w:ascii="Georgia" w:hAnsi="Georgia"/>
                <w:sz w:val="19"/>
                <w:color w:val="1E293B"/>
              </w:rPr>
              <w:t>Cloud Vision / Tesseract + Regex</w:t>
            </w:r>
          </w:p>
        </w:tc>
        <w:tc>
          <w:tcPr>
            <w:shd w:val="clear" w:fill="F8FAFC"/>
            <w:tcMar>
              <w:top w:w="80" w:type="dxa"/>
              <w:bottom w:w="80" w:type="dxa"/>
            </w:tcMar>
          </w:tcPr>
          <w:p>
            <w:pPr>
              <w:spacing w:after="40" w:before="40"/>
            </w:pPr>
            <w:r>
              <w:rPr>
                <w:rFonts w:ascii="Georgia" w:hAnsi="Georgia"/>
                <w:sz w:val="19"/>
                <w:color w:val="1E293B"/>
              </w:rPr>
              <w:t>Image text extraction from food packaging, noise reduction, and INS code normalization.</w:t>
            </w:r>
          </w:p>
        </w:tc>
      </w:tr>
    </w:tbl>
    <w:p>
      <w:pPr>
        <w:spacing w:after="180"/>
      </w:pPr>
    </w:p>
    <w:p>
      <w:pPr>
        <w:pStyle w:val="Heading3"/>
        <w:spacing w:before="160" w:after="80"/>
      </w:pPr>
      <w:r>
        <w:rPr>
          <w:rFonts w:ascii="Georgia" w:hAnsi="Georgia"/>
          <w:b/>
          <w:sz w:val="24"/>
          <w:color w:val="334155"/>
        </w:rPr>
        <w:t>Tools and Platforms Used</w:t>
      </w:r>
    </w:p>
    <w:tbl>
      <w:tblPr>
        <w:tblW w:w="950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rPr>
          <w:tblHeader/>
        </w:trPr>
        <w:tc>
          <w:tcPr>
            <w:shd w:val="clear" w:fill="1E3A8A"/>
            <w:tcMar>
              <w:top w:w="100" w:type="dxa"/>
              <w:bottom w:w="100" w:type="dxa"/>
            </w:tcMar>
          </w:tcPr>
          <w:p>
            <w:pPr>
              <w:spacing w:after="60" w:before="60"/>
            </w:pPr>
            <w:r>
              <w:rPr>
                <w:rFonts w:ascii="Georgia" w:hAnsi="Georgia"/>
                <w:b/>
                <w:color w:val="FFFFFF"/>
                <w:sz w:val="20"/>
              </w:rPr>
              <w:t>Category</w:t>
            </w:r>
          </w:p>
        </w:tc>
        <w:tc>
          <w:tcPr>
            <w:shd w:val="clear" w:fill="1E3A8A"/>
            <w:tcMar>
              <w:top w:w="100" w:type="dxa"/>
              <w:bottom w:w="100" w:type="dxa"/>
            </w:tcMar>
          </w:tcPr>
          <w:p>
            <w:pPr>
              <w:spacing w:after="60" w:before="60"/>
            </w:pPr>
            <w:r>
              <w:rPr>
                <w:rFonts w:ascii="Georgia" w:hAnsi="Georgia"/>
                <w:b/>
                <w:color w:val="FFFFFF"/>
                <w:sz w:val="20"/>
              </w:rPr>
              <w:t>Platform / Tool</w:t>
            </w:r>
          </w:p>
        </w:tc>
        <w:tc>
          <w:tcPr>
            <w:shd w:val="clear" w:fill="1E3A8A"/>
            <w:tcMar>
              <w:top w:w="100" w:type="dxa"/>
              <w:bottom w:w="100" w:type="dxa"/>
            </w:tcMar>
          </w:tcPr>
          <w:p>
            <w:pPr>
              <w:spacing w:after="60" w:before="60"/>
            </w:pPr>
            <w:r>
              <w:rPr>
                <w:rFonts w:ascii="Georgia" w:hAnsi="Georgia"/>
                <w:b/>
                <w:color w:val="FFFFFF"/>
                <w:sz w:val="20"/>
              </w:rPr>
              <w:t>Purpose in BiteLens Lifecycle</w:t>
            </w:r>
          </w:p>
        </w:tc>
      </w:tr>
      <w:tr>
        <w:tc>
          <w:tcPr>
            <w:shd w:val="clear" w:fill="FFFFFF"/>
            <w:tcMar>
              <w:top w:w="80" w:type="dxa"/>
              <w:bottom w:w="80" w:type="dxa"/>
            </w:tcMar>
          </w:tcPr>
          <w:p>
            <w:pPr>
              <w:spacing w:after="40" w:before="40"/>
            </w:pPr>
            <w:r>
              <w:rPr>
                <w:rFonts w:ascii="Georgia" w:hAnsi="Georgia"/>
                <w:sz w:val="19"/>
                <w:color w:val="1E293B"/>
              </w:rPr>
              <w:t>IDE &amp; Editors</w:t>
            </w:r>
          </w:p>
        </w:tc>
        <w:tc>
          <w:tcPr>
            <w:shd w:val="clear" w:fill="FFFFFF"/>
            <w:tcMar>
              <w:top w:w="80" w:type="dxa"/>
              <w:bottom w:w="80" w:type="dxa"/>
            </w:tcMar>
          </w:tcPr>
          <w:p>
            <w:pPr>
              <w:spacing w:after="40" w:before="40"/>
            </w:pPr>
            <w:r>
              <w:rPr>
                <w:rFonts w:ascii="Georgia" w:hAnsi="Georgia"/>
                <w:sz w:val="19"/>
                <w:color w:val="1E293B"/>
              </w:rPr>
              <w:t>Visual Studio Code, GoLand</w:t>
            </w:r>
          </w:p>
        </w:tc>
        <w:tc>
          <w:tcPr>
            <w:shd w:val="clear" w:fill="FFFFFF"/>
            <w:tcMar>
              <w:top w:w="80" w:type="dxa"/>
              <w:bottom w:w="80" w:type="dxa"/>
            </w:tcMar>
          </w:tcPr>
          <w:p>
            <w:pPr>
              <w:spacing w:after="40" w:before="40"/>
            </w:pPr>
            <w:r>
              <w:rPr>
                <w:rFonts w:ascii="Georgia" w:hAnsi="Georgia"/>
                <w:sz w:val="19"/>
                <w:color w:val="1E293B"/>
              </w:rPr>
              <w:t>Full-stack code editing, Go LSP autocomplete, debugger inspection.</w:t>
            </w:r>
          </w:p>
        </w:tc>
      </w:tr>
      <w:tr>
        <w:tc>
          <w:tcPr>
            <w:shd w:val="clear" w:fill="F8FAFC"/>
            <w:tcMar>
              <w:top w:w="80" w:type="dxa"/>
              <w:bottom w:w="80" w:type="dxa"/>
            </w:tcMar>
          </w:tcPr>
          <w:p>
            <w:pPr>
              <w:spacing w:after="40" w:before="40"/>
            </w:pPr>
            <w:r>
              <w:rPr>
                <w:rFonts w:ascii="Georgia" w:hAnsi="Georgia"/>
                <w:sz w:val="19"/>
                <w:color w:val="1E293B"/>
              </w:rPr>
              <w:t>Compilers &amp; Runtimes</w:t>
            </w:r>
          </w:p>
        </w:tc>
        <w:tc>
          <w:tcPr>
            <w:shd w:val="clear" w:fill="F8FAFC"/>
            <w:tcMar>
              <w:top w:w="80" w:type="dxa"/>
              <w:bottom w:w="80" w:type="dxa"/>
            </w:tcMar>
          </w:tcPr>
          <w:p>
            <w:pPr>
              <w:spacing w:after="40" w:before="40"/>
            </w:pPr>
            <w:r>
              <w:rPr>
                <w:rFonts w:ascii="Georgia" w:hAnsi="Georgia"/>
                <w:sz w:val="19"/>
                <w:color w:val="1E293B"/>
              </w:rPr>
              <w:t>Go Toolchain 1.22+, Node.js v20+ LTS</w:t>
            </w:r>
          </w:p>
        </w:tc>
        <w:tc>
          <w:tcPr>
            <w:shd w:val="clear" w:fill="F8FAFC"/>
            <w:tcMar>
              <w:top w:w="80" w:type="dxa"/>
              <w:bottom w:w="80" w:type="dxa"/>
            </w:tcMar>
          </w:tcPr>
          <w:p>
            <w:pPr>
              <w:spacing w:after="40" w:before="40"/>
            </w:pPr>
            <w:r>
              <w:rPr>
                <w:rFonts w:ascii="Georgia" w:hAnsi="Georgia"/>
                <w:sz w:val="19"/>
                <w:color w:val="1E293B"/>
              </w:rPr>
              <w:t>Native backend compilation, Vite development server, ES6 module bundling.</w:t>
            </w:r>
          </w:p>
        </w:tc>
      </w:tr>
      <w:tr>
        <w:tc>
          <w:tcPr>
            <w:shd w:val="clear" w:fill="FFFFFF"/>
            <w:tcMar>
              <w:top w:w="80" w:type="dxa"/>
              <w:bottom w:w="80" w:type="dxa"/>
            </w:tcMar>
          </w:tcPr>
          <w:p>
            <w:pPr>
              <w:spacing w:after="40" w:before="40"/>
            </w:pPr>
            <w:r>
              <w:rPr>
                <w:rFonts w:ascii="Georgia" w:hAnsi="Georgia"/>
                <w:sz w:val="19"/>
                <w:color w:val="1E293B"/>
              </w:rPr>
              <w:t>Mobile Tooling</w:t>
            </w:r>
          </w:p>
        </w:tc>
        <w:tc>
          <w:tcPr>
            <w:shd w:val="clear" w:fill="FFFFFF"/>
            <w:tcMar>
              <w:top w:w="80" w:type="dxa"/>
              <w:bottom w:w="80" w:type="dxa"/>
            </w:tcMar>
          </w:tcPr>
          <w:p>
            <w:pPr>
              <w:spacing w:after="40" w:before="40"/>
            </w:pPr>
            <w:r>
              <w:rPr>
                <w:rFonts w:ascii="Georgia" w:hAnsi="Georgia"/>
                <w:sz w:val="19"/>
                <w:color w:val="1E293B"/>
              </w:rPr>
              <w:t>Android SDK Platform-Tools (API 34), Gradle</w:t>
            </w:r>
          </w:p>
        </w:tc>
        <w:tc>
          <w:tcPr>
            <w:shd w:val="clear" w:fill="FFFFFF"/>
            <w:tcMar>
              <w:top w:w="80" w:type="dxa"/>
              <w:bottom w:w="80" w:type="dxa"/>
            </w:tcMar>
          </w:tcPr>
          <w:p>
            <w:pPr>
              <w:spacing w:after="40" w:before="40"/>
            </w:pPr>
            <w:r>
              <w:rPr>
                <w:rFonts w:ascii="Georgia" w:hAnsi="Georgia"/>
                <w:sz w:val="19"/>
                <w:color w:val="1E293B"/>
              </w:rPr>
              <w:t>APK packaging, resource compiling, zipalign optimization, and signing.</w:t>
            </w:r>
          </w:p>
        </w:tc>
      </w:tr>
      <w:tr>
        <w:tc>
          <w:tcPr>
            <w:shd w:val="clear" w:fill="F8FAFC"/>
            <w:tcMar>
              <w:top w:w="80" w:type="dxa"/>
              <w:bottom w:w="80" w:type="dxa"/>
            </w:tcMar>
          </w:tcPr>
          <w:p>
            <w:pPr>
              <w:spacing w:after="40" w:before="40"/>
            </w:pPr>
            <w:r>
              <w:rPr>
                <w:rFonts w:ascii="Georgia" w:hAnsi="Georgia"/>
                <w:sz w:val="19"/>
                <w:color w:val="1E293B"/>
              </w:rPr>
              <w:t>Database Management</w:t>
            </w:r>
          </w:p>
        </w:tc>
        <w:tc>
          <w:tcPr>
            <w:shd w:val="clear" w:fill="F8FAFC"/>
            <w:tcMar>
              <w:top w:w="80" w:type="dxa"/>
              <w:bottom w:w="80" w:type="dxa"/>
            </w:tcMar>
          </w:tcPr>
          <w:p>
            <w:pPr>
              <w:spacing w:after="40" w:before="40"/>
            </w:pPr>
            <w:r>
              <w:rPr>
                <w:rFonts w:ascii="Georgia" w:hAnsi="Georgia"/>
                <w:sz w:val="19"/>
                <w:color w:val="1E293B"/>
              </w:rPr>
              <w:t>PostgreSQL 16, pgAdmin 4, GORM Migrations</w:t>
            </w:r>
          </w:p>
        </w:tc>
        <w:tc>
          <w:tcPr>
            <w:shd w:val="clear" w:fill="F8FAFC"/>
            <w:tcMar>
              <w:top w:w="80" w:type="dxa"/>
              <w:bottom w:w="80" w:type="dxa"/>
            </w:tcMar>
          </w:tcPr>
          <w:p>
            <w:pPr>
              <w:spacing w:after="40" w:before="40"/>
            </w:pPr>
            <w:r>
              <w:rPr>
                <w:rFonts w:ascii="Georgia" w:hAnsi="Georgia"/>
                <w:sz w:val="19"/>
                <w:color w:val="1E293B"/>
              </w:rPr>
              <w:t>Schema definition, JSONB indexing, relational constraint enforcement.</w:t>
            </w:r>
          </w:p>
        </w:tc>
      </w:tr>
      <w:tr>
        <w:tc>
          <w:tcPr>
            <w:shd w:val="clear" w:fill="FFFFFF"/>
            <w:tcMar>
              <w:top w:w="80" w:type="dxa"/>
              <w:bottom w:w="80" w:type="dxa"/>
            </w:tcMar>
          </w:tcPr>
          <w:p>
            <w:pPr>
              <w:spacing w:after="40" w:before="40"/>
            </w:pPr>
            <w:r>
              <w:rPr>
                <w:rFonts w:ascii="Georgia" w:hAnsi="Georgia"/>
                <w:sz w:val="19"/>
                <w:color w:val="1E293B"/>
              </w:rPr>
              <w:t>Testing &amp; Benchmarking</w:t>
            </w:r>
          </w:p>
        </w:tc>
        <w:tc>
          <w:tcPr>
            <w:shd w:val="clear" w:fill="FFFFFF"/>
            <w:tcMar>
              <w:top w:w="80" w:type="dxa"/>
              <w:bottom w:w="80" w:type="dxa"/>
            </w:tcMar>
          </w:tcPr>
          <w:p>
            <w:pPr>
              <w:spacing w:after="40" w:before="40"/>
            </w:pPr>
            <w:r>
              <w:rPr>
                <w:rFonts w:ascii="Georgia" w:hAnsi="Georgia"/>
                <w:sz w:val="19"/>
                <w:color w:val="1E293B"/>
              </w:rPr>
              <w:t>Go Standard `testing`, Postman, Lighthouse</w:t>
            </w:r>
          </w:p>
        </w:tc>
        <w:tc>
          <w:tcPr>
            <w:shd w:val="clear" w:fill="FFFFFF"/>
            <w:tcMar>
              <w:top w:w="80" w:type="dxa"/>
              <w:bottom w:w="80" w:type="dxa"/>
            </w:tcMar>
          </w:tcPr>
          <w:p>
            <w:pPr>
              <w:spacing w:after="40" w:before="40"/>
            </w:pPr>
            <w:r>
              <w:rPr>
                <w:rFonts w:ascii="Georgia" w:hAnsi="Georgia"/>
                <w:sz w:val="19"/>
                <w:color w:val="1E293B"/>
              </w:rPr>
              <w:t>Uncached unit test execution, HTTP REST endpoint regression, accessibility audits.</w:t>
            </w:r>
          </w:p>
        </w:tc>
      </w:tr>
      <w:tr>
        <w:tc>
          <w:tcPr>
            <w:shd w:val="clear" w:fill="F8FAFC"/>
            <w:tcMar>
              <w:top w:w="80" w:type="dxa"/>
              <w:bottom w:w="80" w:type="dxa"/>
            </w:tcMar>
          </w:tcPr>
          <w:p>
            <w:pPr>
              <w:spacing w:after="40" w:before="40"/>
            </w:pPr>
            <w:r>
              <w:rPr>
                <w:rFonts w:ascii="Georgia" w:hAnsi="Georgia"/>
                <w:sz w:val="19"/>
                <w:color w:val="1E293B"/>
              </w:rPr>
              <w:t>Version Control</w:t>
            </w:r>
          </w:p>
        </w:tc>
        <w:tc>
          <w:tcPr>
            <w:shd w:val="clear" w:fill="F8FAFC"/>
            <w:tcMar>
              <w:top w:w="80" w:type="dxa"/>
              <w:bottom w:w="80" w:type="dxa"/>
            </w:tcMar>
          </w:tcPr>
          <w:p>
            <w:pPr>
              <w:spacing w:after="40" w:before="40"/>
            </w:pPr>
            <w:r>
              <w:rPr>
                <w:rFonts w:ascii="Georgia" w:hAnsi="Georgia"/>
                <w:sz w:val="19"/>
                <w:color w:val="1E293B"/>
              </w:rPr>
              <w:t>Git, GitHub Enterprise Repository</w:t>
            </w:r>
          </w:p>
        </w:tc>
        <w:tc>
          <w:tcPr>
            <w:shd w:val="clear" w:fill="F8FAFC"/>
            <w:tcMar>
              <w:top w:w="80" w:type="dxa"/>
              <w:bottom w:w="80" w:type="dxa"/>
            </w:tcMar>
          </w:tcPr>
          <w:p>
            <w:pPr>
              <w:spacing w:after="40" w:before="40"/>
            </w:pPr>
            <w:r>
              <w:rPr>
                <w:rFonts w:ascii="Georgia" w:hAnsi="Georgia"/>
                <w:sz w:val="19"/>
                <w:color w:val="1E293B"/>
              </w:rPr>
              <w:t>Branch management (`main`, `feature/*`), peer review pull requests, change history.</w:t>
            </w:r>
          </w:p>
        </w:tc>
      </w:tr>
    </w:tbl>
    <w:p>
      <w:pPr>
        <w:spacing w:after="180"/>
      </w:pPr>
    </w:p>
    <w:p>
      <w:pPr>
        <w:pStyle w:val="Heading3"/>
        <w:spacing w:before="160" w:after="80"/>
      </w:pPr>
      <w:r>
        <w:rPr>
          <w:rFonts w:ascii="Georgia" w:hAnsi="Georgia"/>
          <w:b/>
          <w:sz w:val="24"/>
          <w:color w:val="334155"/>
        </w:rPr>
        <w:t>Justification for Technology Selection</w:t>
      </w:r>
    </w:p>
    <w:p>
      <w:pPr>
        <w:spacing w:after="120" w:line="360" w:lineRule="auto"/>
        <w:ind w:left="720" w:hanging="360"/>
      </w:pPr>
      <w:r>
        <w:rPr>
          <w:rFonts w:ascii="Georgia" w:hAnsi="Georgia"/>
          <w:b/>
          <w:color w:val="1E3A8A"/>
          <w:sz w:val="22"/>
        </w:rPr>
        <w:t xml:space="preserve">• </w:t>
      </w:r>
      <w:r>
        <w:rPr>
          <w:rFonts w:ascii="Georgia" w:hAnsi="Georgia"/>
          <w:b/>
          <w:sz w:val="22"/>
          <w:color w:val="0F172A"/>
        </w:rPr>
        <w:t xml:space="preserve">Why Go (Golang) over Node.js or Python: </w:t>
      </w:r>
      <w:r>
        <w:rPr>
          <w:rFonts w:ascii="Georgia" w:hAnsi="Georgia"/>
          <w:sz w:val="22"/>
          <w:color w:val="1E293B"/>
        </w:rPr>
        <w:t xml:space="preserve">Go compiles directly to a single native binary, eliminating runtime interpreter overhead. Go's lightweight goroutines allow the server to process hundreds of concurrent OCR tokenization requests with sub-50ms latency while consuming less than 30MB of baseline RAM. Furthermore, Go's strict static type safety prevents runtime type coercion bugs in nutritional mathematics.</w:t>
      </w:r>
    </w:p>
    <w:p>
      <w:pPr>
        <w:spacing w:after="120" w:line="360" w:lineRule="auto"/>
        <w:ind w:left="720" w:hanging="360"/>
      </w:pPr>
      <w:r>
        <w:rPr>
          <w:rFonts w:ascii="Georgia" w:hAnsi="Georgia"/>
          <w:b/>
          <w:color w:val="1E3A8A"/>
          <w:sz w:val="22"/>
        </w:rPr>
        <w:t xml:space="preserve">• </w:t>
      </w:r>
      <w:r>
        <w:rPr>
          <w:rFonts w:ascii="Georgia" w:hAnsi="Georgia"/>
          <w:b/>
          <w:sz w:val="22"/>
          <w:color w:val="0F172A"/>
        </w:rPr>
        <w:t xml:space="preserve">Why PostgreSQL + GORM over MongoDB: </w:t>
      </w:r>
      <w:r>
        <w:rPr>
          <w:rFonts w:ascii="Georgia" w:hAnsi="Georgia"/>
          <w:sz w:val="22"/>
          <w:color w:val="1E293B"/>
        </w:rPr>
        <w:t xml:space="preserve">Packaged food data requires strict schema consistency (preventing conflicting basis fields and unit mismatches) while supporting queryable JSONB arrays for undeclared nutrient tracking and cryptographic audit hashes.</w:t>
      </w:r>
    </w:p>
    <w:p>
      <w:pPr>
        <w:spacing w:after="120" w:line="360" w:lineRule="auto"/>
        <w:ind w:left="720" w:hanging="360"/>
      </w:pPr>
      <w:r>
        <w:rPr>
          <w:rFonts w:ascii="Georgia" w:hAnsi="Georgia"/>
          <w:b/>
          <w:color w:val="1E3A8A"/>
          <w:sz w:val="22"/>
        </w:rPr>
        <w:t xml:space="preserve">• </w:t>
      </w:r>
      <w:r>
        <w:rPr>
          <w:rFonts w:ascii="Georgia" w:hAnsi="Georgia"/>
          <w:b/>
          <w:sz w:val="22"/>
          <w:color w:val="0F172A"/>
        </w:rPr>
        <w:t xml:space="preserve">Why HttpOnly JWT Cookies over LocalStorage: </w:t>
      </w:r>
      <w:r>
        <w:rPr>
          <w:rFonts w:ascii="Georgia" w:hAnsi="Georgia"/>
          <w:sz w:val="22"/>
          <w:color w:val="1E293B"/>
        </w:rPr>
        <w:t xml:space="preserve">Storing authentication credentials in localStorage exposes tokens to Cross-Site Scripting (XSS) exfiltration. HttpOnly, SameSite=Strict, Secure cookies provide ironclad browser-level isolation.</w:t>
      </w:r>
    </w:p>
    <w:p>
      <w:pPr>
        <w:spacing w:after="120" w:line="360" w:lineRule="auto"/>
        <w:ind w:left="720" w:hanging="360"/>
      </w:pPr>
      <w:r>
        <w:rPr>
          <w:rFonts w:ascii="Georgia" w:hAnsi="Georgia"/>
          <w:b/>
          <w:color w:val="1E3A8A"/>
          <w:sz w:val="22"/>
        </w:rPr>
        <w:t xml:space="preserve">• </w:t>
      </w:r>
      <w:r>
        <w:rPr>
          <w:rFonts w:ascii="Georgia" w:hAnsi="Georgia"/>
          <w:b/>
          <w:sz w:val="22"/>
          <w:color w:val="0F172A"/>
        </w:rPr>
        <w:t xml:space="preserve">Why Native Vanilla CSS Design System: </w:t>
      </w:r>
      <w:r>
        <w:rPr>
          <w:rFonts w:ascii="Georgia" w:hAnsi="Georgia"/>
          <w:sz w:val="22"/>
          <w:color w:val="1E293B"/>
        </w:rPr>
        <w:t xml:space="preserve">Implementing a custom design system using CSS custom properties delivers instantaneous rendering performance (First Contentful Paint &lt; 0.6s) without shipping hundreds of kilobytes of unused Bootstrap/Tailwind CSS bundle overhead.</w:t>
      </w:r>
    </w:p>
    <w:p>
      <w:r>
        <w:br w:type="page"/>
      </w:r>
    </w:p>
    <w:p>
      <w:pPr>
        <w:pStyle w:val="Heading1"/>
        <w:spacing w:before="360" w:after="180"/>
      </w:pPr>
      <w:r>
        <w:rPr>
          <w:rFonts w:ascii="Georgia" w:hAnsi="Georgia"/>
          <w:b/>
          <w:sz w:val="32"/>
          <w:color w:val="1E3A8A"/>
        </w:rPr>
        <w:t>CHAPTER 2: LITERATURE REVIEW</w:t>
      </w:r>
    </w:p>
    <w:p>
      <w:pPr>
        <w:pStyle w:val="Heading2"/>
        <w:spacing w:before="240" w:after="120"/>
      </w:pPr>
      <w:r>
        <w:rPr>
          <w:rFonts w:ascii="Georgia" w:hAnsi="Georgia"/>
          <w:b/>
          <w:sz w:val="28"/>
          <w:color w:val="1E293B"/>
        </w:rPr>
        <w:t>2.1 Literature Review</w:t>
      </w:r>
    </w:p>
    <w:p>
      <w:pPr>
        <w:pStyle w:val="Heading3"/>
        <w:spacing w:before="160" w:after="80"/>
      </w:pPr>
      <w:r>
        <w:rPr>
          <w:rFonts w:ascii="Georgia" w:hAnsi="Georgia"/>
          <w:b/>
          <w:sz w:val="24"/>
          <w:color w:val="334155"/>
        </w:rPr>
        <w:t>Summary of Existing Research and Systems</w:t>
      </w:r>
    </w:p>
    <w:p>
      <w:pPr>
        <w:spacing w:after="120" w:line="360" w:lineRule="auto"/>
        <w:jc w:val="both"/>
      </w:pPr>
      <w:r>
        <w:rPr>
          <w:rFonts w:ascii="Georgia" w:hAnsi="Georgia"/>
          <w:sz w:val="22"/>
          <w:color w:val="1E293B"/>
        </w:rPr>
        <w:t xml:space="preserve">The field of digital food transparency and algorithmic nutritional scoring has evolved across three major scientific paradigms: (1) The NOVA Food Classification Framework (Monteiro et al., University of São Paulo, 2010), which classifies foods into Group 1 (Unprocessed/Minimally Processed), Group 2 (Processed Culinary Ingredients), Group 3 (Processed Foods), and Group 4 (Ultra-Processed Formulations); (2) Nutri-Score &amp; FSSAI Draft Front-of-Pack Labeling (FOPL) / Indian Nutrition Rating (INR) star ratings; and (3) Commercial consumer mobile applications such as Yuka and Open Food Facts.</w:t>
      </w:r>
    </w:p>
    <w:p>
      <w:pPr>
        <w:pStyle w:val="Heading3"/>
        <w:spacing w:before="160" w:after="80"/>
      </w:pPr>
      <w:r>
        <w:rPr>
          <w:rFonts w:ascii="Georgia" w:hAnsi="Georgia"/>
          <w:b/>
          <w:sz w:val="24"/>
          <w:color w:val="334155"/>
        </w:rPr>
        <w:t>Key Findings and Identified Gaps</w:t>
      </w:r>
    </w:p>
    <w:tbl>
      <w:tblPr>
        <w:tblW w:w="950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rPr>
          <w:tblHeader/>
        </w:trPr>
        <w:tc>
          <w:tcPr>
            <w:shd w:val="clear" w:fill="1E3A8A"/>
            <w:tcMar>
              <w:top w:w="100" w:type="dxa"/>
              <w:bottom w:w="100" w:type="dxa"/>
            </w:tcMar>
          </w:tcPr>
          <w:p>
            <w:pPr>
              <w:spacing w:after="60" w:before="60"/>
            </w:pPr>
            <w:r>
              <w:rPr>
                <w:rFonts w:ascii="Georgia" w:hAnsi="Georgia"/>
                <w:b/>
                <w:color w:val="FFFFFF"/>
                <w:sz w:val="20"/>
              </w:rPr>
              <w:t>Platform / Framework</w:t>
            </w:r>
          </w:p>
        </w:tc>
        <w:tc>
          <w:tcPr>
            <w:shd w:val="clear" w:fill="1E3A8A"/>
            <w:tcMar>
              <w:top w:w="100" w:type="dxa"/>
              <w:bottom w:w="100" w:type="dxa"/>
            </w:tcMar>
          </w:tcPr>
          <w:p>
            <w:pPr>
              <w:spacing w:after="60" w:before="60"/>
            </w:pPr>
            <w:r>
              <w:rPr>
                <w:rFonts w:ascii="Georgia" w:hAnsi="Georgia"/>
                <w:b/>
                <w:color w:val="FFFFFF"/>
                <w:sz w:val="20"/>
              </w:rPr>
              <w:t>Core Strengths</w:t>
            </w:r>
          </w:p>
        </w:tc>
        <w:tc>
          <w:tcPr>
            <w:shd w:val="clear" w:fill="1E3A8A"/>
            <w:tcMar>
              <w:top w:w="100" w:type="dxa"/>
              <w:bottom w:w="100" w:type="dxa"/>
            </w:tcMar>
          </w:tcPr>
          <w:p>
            <w:pPr>
              <w:spacing w:after="60" w:before="60"/>
            </w:pPr>
            <w:r>
              <w:rPr>
                <w:rFonts w:ascii="Georgia" w:hAnsi="Georgia"/>
                <w:b/>
                <w:color w:val="FFFFFF"/>
                <w:sz w:val="20"/>
              </w:rPr>
              <w:t>Identified Critical Gaps &amp; Weaknesses</w:t>
            </w:r>
          </w:p>
        </w:tc>
      </w:tr>
      <w:tr>
        <w:tc>
          <w:tcPr>
            <w:shd w:val="clear" w:fill="FFFFFF"/>
            <w:tcMar>
              <w:top w:w="80" w:type="dxa"/>
              <w:bottom w:w="80" w:type="dxa"/>
            </w:tcMar>
          </w:tcPr>
          <w:p>
            <w:pPr>
              <w:spacing w:after="40" w:before="40"/>
            </w:pPr>
            <w:r>
              <w:rPr>
                <w:rFonts w:ascii="Georgia" w:hAnsi="Georgia"/>
                <w:sz w:val="19"/>
                <w:color w:val="1E293B"/>
              </w:rPr>
              <w:t>Yuka (France/Global)</w:t>
            </w:r>
          </w:p>
        </w:tc>
        <w:tc>
          <w:tcPr>
            <w:shd w:val="clear" w:fill="FFFFFF"/>
            <w:tcMar>
              <w:top w:w="80" w:type="dxa"/>
              <w:bottom w:w="80" w:type="dxa"/>
            </w:tcMar>
          </w:tcPr>
          <w:p>
            <w:pPr>
              <w:spacing w:after="40" w:before="40"/>
            </w:pPr>
            <w:r>
              <w:rPr>
                <w:rFonts w:ascii="Georgia" w:hAnsi="Georgia"/>
                <w:sz w:val="19"/>
                <w:color w:val="1E293B"/>
              </w:rPr>
              <w:t>Polished consumer mobile interface; color-coded additive risk pills.</w:t>
            </w:r>
          </w:p>
        </w:tc>
        <w:tc>
          <w:tcPr>
            <w:shd w:val="clear" w:fill="FFFFFF"/>
            <w:tcMar>
              <w:top w:w="80" w:type="dxa"/>
              <w:bottom w:w="80" w:type="dxa"/>
            </w:tcMar>
          </w:tcPr>
          <w:p>
            <w:pPr>
              <w:spacing w:after="40" w:before="40"/>
            </w:pPr>
            <w:r>
              <w:rPr>
                <w:rFonts w:ascii="Georgia" w:hAnsi="Georgia"/>
                <w:sz w:val="19"/>
                <w:color w:val="1E293B"/>
              </w:rPr>
              <w:t>Heavily biased toward European barcodes; negligible coverage of regional Indian snacks; conflates caloric density with chemical processing into a single score.</w:t>
            </w:r>
          </w:p>
        </w:tc>
      </w:tr>
      <w:tr>
        <w:tc>
          <w:tcPr>
            <w:shd w:val="clear" w:fill="F8FAFC"/>
            <w:tcMar>
              <w:top w:w="80" w:type="dxa"/>
              <w:bottom w:w="80" w:type="dxa"/>
            </w:tcMar>
          </w:tcPr>
          <w:p>
            <w:pPr>
              <w:spacing w:after="40" w:before="40"/>
            </w:pPr>
            <w:r>
              <w:rPr>
                <w:rFonts w:ascii="Georgia" w:hAnsi="Georgia"/>
                <w:sz w:val="19"/>
                <w:color w:val="1E293B"/>
              </w:rPr>
              <w:t>Open Food Facts</w:t>
            </w:r>
          </w:p>
        </w:tc>
        <w:tc>
          <w:tcPr>
            <w:shd w:val="clear" w:fill="F8FAFC"/>
            <w:tcMar>
              <w:top w:w="80" w:type="dxa"/>
              <w:bottom w:w="80" w:type="dxa"/>
            </w:tcMar>
          </w:tcPr>
          <w:p>
            <w:pPr>
              <w:spacing w:after="40" w:before="40"/>
            </w:pPr>
            <w:r>
              <w:rPr>
                <w:rFonts w:ascii="Georgia" w:hAnsi="Georgia"/>
                <w:sz w:val="19"/>
                <w:color w:val="1E293B"/>
              </w:rPr>
              <w:t>Massive crowdsourced database with millions of products.</w:t>
            </w:r>
          </w:p>
        </w:tc>
        <w:tc>
          <w:tcPr>
            <w:shd w:val="clear" w:fill="F8FAFC"/>
            <w:tcMar>
              <w:top w:w="80" w:type="dxa"/>
              <w:bottom w:w="80" w:type="dxa"/>
            </w:tcMar>
          </w:tcPr>
          <w:p>
            <w:pPr>
              <w:spacing w:after="40" w:before="40"/>
            </w:pPr>
            <w:r>
              <w:rPr>
                <w:rFonts w:ascii="Georgia" w:hAnsi="Georgia"/>
                <w:sz w:val="19"/>
                <w:color w:val="1E293B"/>
              </w:rPr>
              <w:t>High data noise; inconsistent nutrient basis handling; treats blank nutrient fields as 0g; lacks localized plain-language additive risk translations.</w:t>
            </w:r>
          </w:p>
        </w:tc>
      </w:tr>
      <w:tr>
        <w:tc>
          <w:tcPr>
            <w:shd w:val="clear" w:fill="FFFFFF"/>
            <w:tcMar>
              <w:top w:w="80" w:type="dxa"/>
              <w:bottom w:w="80" w:type="dxa"/>
            </w:tcMar>
          </w:tcPr>
          <w:p>
            <w:pPr>
              <w:spacing w:after="40" w:before="40"/>
            </w:pPr>
            <w:r>
              <w:rPr>
                <w:rFonts w:ascii="Georgia" w:hAnsi="Georgia"/>
                <w:sz w:val="19"/>
                <w:color w:val="1E293B"/>
              </w:rPr>
              <w:t>FSSAI INR Draft Star Rating</w:t>
            </w:r>
          </w:p>
        </w:tc>
        <w:tc>
          <w:tcPr>
            <w:shd w:val="clear" w:fill="FFFFFF"/>
            <w:tcMar>
              <w:top w:w="80" w:type="dxa"/>
              <w:bottom w:w="80" w:type="dxa"/>
            </w:tcMar>
          </w:tcPr>
          <w:p>
            <w:pPr>
              <w:spacing w:after="40" w:before="40"/>
            </w:pPr>
            <w:r>
              <w:rPr>
                <w:rFonts w:ascii="Georgia" w:hAnsi="Georgia"/>
                <w:sz w:val="19"/>
                <w:color w:val="1E293B"/>
              </w:rPr>
              <w:t>Statutorily tailored to Indian dietary thresholds.</w:t>
            </w:r>
          </w:p>
        </w:tc>
        <w:tc>
          <w:tcPr>
            <w:shd w:val="clear" w:fill="FFFFFF"/>
            <w:tcMar>
              <w:top w:w="80" w:type="dxa"/>
              <w:bottom w:w="80" w:type="dxa"/>
            </w:tcMar>
          </w:tcPr>
          <w:p>
            <w:pPr>
              <w:spacing w:after="40" w:before="40"/>
            </w:pPr>
            <w:r>
              <w:rPr>
                <w:rFonts w:ascii="Georgia" w:hAnsi="Georgia"/>
                <w:sz w:val="19"/>
                <w:color w:val="1E293B"/>
              </w:rPr>
              <w:t>Focuses solely on nutrient ratios per 100g; completely ignores cosmetic ultra-processing additives (emulsifiers, artificial sweeteners, color stabilizers).</w:t>
            </w:r>
          </w:p>
        </w:tc>
      </w:tr>
      <w:tr>
        <w:tc>
          <w:tcPr>
            <w:shd w:val="clear" w:fill="F8FAFC"/>
            <w:tcMar>
              <w:top w:w="80" w:type="dxa"/>
              <w:bottom w:w="80" w:type="dxa"/>
            </w:tcMar>
          </w:tcPr>
          <w:p>
            <w:pPr>
              <w:spacing w:after="40" w:before="40"/>
            </w:pPr>
            <w:r>
              <w:rPr>
                <w:rFonts w:ascii="Georgia" w:hAnsi="Georgia"/>
                <w:sz w:val="19"/>
                <w:color w:val="1E293B"/>
              </w:rPr>
              <w:t>Generic Diet Trackers</w:t>
            </w:r>
          </w:p>
        </w:tc>
        <w:tc>
          <w:tcPr>
            <w:shd w:val="clear" w:fill="F8FAFC"/>
            <w:tcMar>
              <w:top w:w="80" w:type="dxa"/>
              <w:bottom w:w="80" w:type="dxa"/>
            </w:tcMar>
          </w:tcPr>
          <w:p>
            <w:pPr>
              <w:spacing w:after="40" w:before="40"/>
            </w:pPr>
            <w:r>
              <w:rPr>
                <w:rFonts w:ascii="Georgia" w:hAnsi="Georgia"/>
                <w:sz w:val="19"/>
                <w:color w:val="1E293B"/>
              </w:rPr>
              <w:t>Extensive calorie and macronutrient logging databases.</w:t>
            </w:r>
          </w:p>
        </w:tc>
        <w:tc>
          <w:tcPr>
            <w:shd w:val="clear" w:fill="F8FAFC"/>
            <w:tcMar>
              <w:top w:w="80" w:type="dxa"/>
              <w:bottom w:w="80" w:type="dxa"/>
            </w:tcMar>
          </w:tcPr>
          <w:p>
            <w:pPr>
              <w:spacing w:after="40" w:before="40"/>
            </w:pPr>
            <w:r>
              <w:rPr>
                <w:rFonts w:ascii="Georgia" w:hAnsi="Georgia"/>
                <w:sz w:val="19"/>
                <w:color w:val="1E293B"/>
              </w:rPr>
              <w:t>Strictly calorie-centric; completely blind to chemical food additives and degree of ultra-processing.</w:t>
            </w:r>
          </w:p>
        </w:tc>
      </w:tr>
    </w:tbl>
    <w:p>
      <w:pPr>
        <w:spacing w:after="180"/>
      </w:pPr>
    </w:p>
    <w:p>
      <w:pPr>
        <w:pStyle w:val="Heading3"/>
        <w:spacing w:before="160" w:after="80"/>
      </w:pPr>
      <w:r>
        <w:rPr>
          <w:rFonts w:ascii="Georgia" w:hAnsi="Georgia"/>
          <w:b/>
          <w:sz w:val="24"/>
          <w:color w:val="334155"/>
        </w:rPr>
        <w:t>How BiteLens Addresses Gaps</w:t>
      </w:r>
    </w:p>
    <w:p>
      <w:pPr>
        <w:spacing w:after="120" w:line="360" w:lineRule="auto"/>
        <w:ind w:left="720" w:hanging="360"/>
      </w:pPr>
      <w:r>
        <w:rPr>
          <w:rFonts w:ascii="Georgia" w:hAnsi="Georgia"/>
          <w:b/>
          <w:color w:val="1E3A8A"/>
          <w:sz w:val="22"/>
        </w:rPr>
        <w:t xml:space="preserve">• </w:t>
      </w:r>
      <w:r>
        <w:rPr>
          <w:rFonts w:ascii="Georgia" w:hAnsi="Georgia"/>
          <w:b/>
          <w:sz w:val="22"/>
          <w:color w:val="0F172A"/>
        </w:rPr>
        <w:t xml:space="preserve">1. Dedicated Indian FSSAI INS Database: </w:t>
      </w:r>
      <w:r>
        <w:rPr>
          <w:rFonts w:ascii="Georgia" w:hAnsi="Georgia"/>
          <w:sz w:val="22"/>
          <w:color w:val="1E293B"/>
        </w:rPr>
        <w:t xml:space="preserve">Curated repository mapping domestic Indian additive codes directly to plain-language translations, functional classes, and regulatory compliance limits.</w:t>
      </w:r>
    </w:p>
    <w:p>
      <w:pPr>
        <w:spacing w:after="120" w:line="360" w:lineRule="auto"/>
        <w:ind w:left="720" w:hanging="360"/>
      </w:pPr>
      <w:r>
        <w:rPr>
          <w:rFonts w:ascii="Georgia" w:hAnsi="Georgia"/>
          <w:b/>
          <w:color w:val="1E3A8A"/>
          <w:sz w:val="22"/>
        </w:rPr>
        <w:t xml:space="preserve">• </w:t>
      </w:r>
      <w:r>
        <w:rPr>
          <w:rFonts w:ascii="Georgia" w:hAnsi="Georgia"/>
          <w:b/>
          <w:sz w:val="22"/>
          <w:color w:val="0F172A"/>
        </w:rPr>
        <w:t xml:space="preserve">2. Dataset Hardening Protocol: </w:t>
      </w:r>
      <w:r>
        <w:rPr>
          <w:rFonts w:ascii="Georgia" w:hAnsi="Georgia"/>
          <w:sz w:val="22"/>
          <w:color w:val="1E293B"/>
        </w:rPr>
        <w:t xml:space="preserve">Explicit enforcement of the Basis field (per_100g_100ml vs per_serving vs unlabeled_ambiguous) and JSONB UndeclaredNutrients tracking, eliminating the silent zero-default vulnerability.</w:t>
      </w:r>
    </w:p>
    <w:p>
      <w:pPr>
        <w:spacing w:after="120" w:line="360" w:lineRule="auto"/>
        <w:ind w:left="720" w:hanging="360"/>
      </w:pPr>
      <w:r>
        <w:rPr>
          <w:rFonts w:ascii="Georgia" w:hAnsi="Georgia"/>
          <w:b/>
          <w:color w:val="1E3A8A"/>
          <w:sz w:val="22"/>
        </w:rPr>
        <w:t xml:space="preserve">• </w:t>
      </w:r>
      <w:r>
        <w:rPr>
          <w:rFonts w:ascii="Georgia" w:hAnsi="Georgia"/>
          <w:b/>
          <w:sz w:val="22"/>
          <w:color w:val="0F172A"/>
        </w:rPr>
        <w:t xml:space="preserve">3. Decoupled Dual-Scoring Model: </w:t>
      </w:r>
      <w:r>
        <w:rPr>
          <w:rFonts w:ascii="Georgia" w:hAnsi="Georgia"/>
          <w:sz w:val="22"/>
          <w:color w:val="1E293B"/>
        </w:rPr>
        <w:t xml:space="preserve">Independent calculation of Health Processing Score (NOVA-aligned) and Goal Fit Score (personalized macronutrient trade-offs).</w:t>
      </w:r>
    </w:p>
    <w:p>
      <w:pPr>
        <w:spacing w:after="120" w:line="360" w:lineRule="auto"/>
        <w:ind w:left="720" w:hanging="360"/>
      </w:pPr>
      <w:r>
        <w:rPr>
          <w:rFonts w:ascii="Georgia" w:hAnsi="Georgia"/>
          <w:b/>
          <w:color w:val="1E3A8A"/>
          <w:sz w:val="22"/>
        </w:rPr>
        <w:t xml:space="preserve">• </w:t>
      </w:r>
      <w:r>
        <w:rPr>
          <w:rFonts w:ascii="Georgia" w:hAnsi="Georgia"/>
          <w:b/>
          <w:sz w:val="22"/>
          <w:color w:val="0F172A"/>
        </w:rPr>
        <w:t xml:space="preserve">4. Cryptographic Traceability Hash: </w:t>
      </w:r>
      <w:r>
        <w:rPr>
          <w:rFonts w:ascii="Georgia" w:hAnsi="Georgia"/>
          <w:sz w:val="22"/>
          <w:color w:val="1E293B"/>
        </w:rPr>
        <w:t xml:space="preserve">Every computed score generates an immutable SHA-256 signature linking the output directly to the scanned basis and algorithm version for legal auditability.</w:t>
      </w:r>
    </w:p>
    <w:p>
      <w:r>
        <w:br w:type="page"/>
      </w:r>
    </w:p>
    <w:p>
      <w:pPr>
        <w:pStyle w:val="Heading1"/>
        <w:spacing w:before="360" w:after="180"/>
      </w:pPr>
      <w:r>
        <w:rPr>
          <w:rFonts w:ascii="Georgia" w:hAnsi="Georgia"/>
          <w:b/>
          <w:sz w:val="32"/>
          <w:color w:val="1E3A8A"/>
        </w:rPr>
        <w:t>CHAPTER 3: SYSTEM DESIGN &amp; MODULE DESCRIPTION</w:t>
      </w:r>
    </w:p>
    <w:p>
      <w:pPr>
        <w:pStyle w:val="Heading2"/>
        <w:spacing w:before="240" w:after="120"/>
      </w:pPr>
      <w:r>
        <w:rPr>
          <w:rFonts w:ascii="Georgia" w:hAnsi="Georgia"/>
          <w:b/>
          <w:sz w:val="28"/>
          <w:color w:val="1E293B"/>
        </w:rPr>
        <w:t>3.1 System Architecture</w:t>
      </w:r>
    </w:p>
    <w:p>
      <w:pPr>
        <w:pStyle w:val="Heading3"/>
        <w:spacing w:before="160" w:after="80"/>
      </w:pPr>
      <w:r>
        <w:rPr>
          <w:rFonts w:ascii="Georgia" w:hAnsi="Georgia"/>
          <w:b/>
          <w:sz w:val="24"/>
          <w:color w:val="334155"/>
        </w:rPr>
        <w:t>Components and Their Interactions</w:t>
      </w:r>
    </w:p>
    <w:p>
      <w:pPr>
        <w:spacing w:after="120" w:line="360" w:lineRule="auto"/>
        <w:jc w:val="both"/>
      </w:pPr>
      <w:r>
        <w:rPr>
          <w:rFonts w:ascii="Georgia" w:hAnsi="Georgia"/>
          <w:sz w:val="22"/>
          <w:color w:val="1E293B"/>
        </w:rPr>
        <w:t xml:space="preserve">BiteLens utilizes a decoupled, three-tier client-server architecture ensuring high concurrency, fault isolation, and modular scalability:</w:t>
      </w:r>
    </w:p>
    <w:tbl>
      <w:tblPr>
        <w:tblW w:w="950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rPr>
          <w:tblHeader/>
        </w:trPr>
        <w:tc>
          <w:tcPr>
            <w:shd w:val="clear" w:fill="1E3A8A"/>
            <w:tcMar>
              <w:top w:w="100" w:type="dxa"/>
              <w:bottom w:w="100" w:type="dxa"/>
            </w:tcMar>
          </w:tcPr>
          <w:p>
            <w:pPr>
              <w:spacing w:after="60" w:before="60"/>
            </w:pPr>
            <w:r>
              <w:rPr>
                <w:rFonts w:ascii="Georgia" w:hAnsi="Georgia"/>
                <w:b/>
                <w:color w:val="FFFFFF"/>
                <w:sz w:val="20"/>
              </w:rPr>
              <w:t>Architectural Tier</w:t>
            </w:r>
          </w:p>
        </w:tc>
        <w:tc>
          <w:tcPr>
            <w:shd w:val="clear" w:fill="1E3A8A"/>
            <w:tcMar>
              <w:top w:w="100" w:type="dxa"/>
              <w:bottom w:w="100" w:type="dxa"/>
            </w:tcMar>
          </w:tcPr>
          <w:p>
            <w:pPr>
              <w:spacing w:after="60" w:before="60"/>
            </w:pPr>
            <w:r>
              <w:rPr>
                <w:rFonts w:ascii="Georgia" w:hAnsi="Georgia"/>
                <w:b/>
                <w:color w:val="FFFFFF"/>
                <w:sz w:val="20"/>
              </w:rPr>
              <w:t>Component Modules</w:t>
            </w:r>
          </w:p>
        </w:tc>
        <w:tc>
          <w:tcPr>
            <w:shd w:val="clear" w:fill="1E3A8A"/>
            <w:tcMar>
              <w:top w:w="100" w:type="dxa"/>
              <w:bottom w:w="100" w:type="dxa"/>
            </w:tcMar>
          </w:tcPr>
          <w:p>
            <w:pPr>
              <w:spacing w:after="60" w:before="60"/>
            </w:pPr>
            <w:r>
              <w:rPr>
                <w:rFonts w:ascii="Georgia" w:hAnsi="Georgia"/>
                <w:b/>
                <w:color w:val="FFFFFF"/>
                <w:sz w:val="20"/>
              </w:rPr>
              <w:t>Interactions &amp; Protocols</w:t>
            </w:r>
          </w:p>
        </w:tc>
      </w:tr>
      <w:tr>
        <w:tc>
          <w:tcPr>
            <w:shd w:val="clear" w:fill="FFFFFF"/>
            <w:tcMar>
              <w:top w:w="80" w:type="dxa"/>
              <w:bottom w:w="80" w:type="dxa"/>
            </w:tcMar>
          </w:tcPr>
          <w:p>
            <w:pPr>
              <w:spacing w:after="40" w:before="40"/>
            </w:pPr>
            <w:r>
              <w:rPr>
                <w:rFonts w:ascii="Georgia" w:hAnsi="Georgia"/>
                <w:sz w:val="19"/>
                <w:color w:val="1E293B"/>
              </w:rPr>
              <w:t>Client Presentation Tier</w:t>
            </w:r>
          </w:p>
        </w:tc>
        <w:tc>
          <w:tcPr>
            <w:shd w:val="clear" w:fill="FFFFFF"/>
            <w:tcMar>
              <w:top w:w="80" w:type="dxa"/>
              <w:bottom w:w="80" w:type="dxa"/>
            </w:tcMar>
          </w:tcPr>
          <w:p>
            <w:pPr>
              <w:spacing w:after="40" w:before="40"/>
            </w:pPr>
            <w:r>
              <w:rPr>
                <w:rFonts w:ascii="Georgia" w:hAnsi="Georgia"/>
                <w:sz w:val="19"/>
                <w:color w:val="1E293B"/>
              </w:rPr>
              <w:t>Vite Web Client (HTML5/CSS3/ES6+), Android APK Container, Telemetry Stepper HUD, Calculators Suite</w:t>
            </w:r>
          </w:p>
        </w:tc>
        <w:tc>
          <w:tcPr>
            <w:shd w:val="clear" w:fill="FFFFFF"/>
            <w:tcMar>
              <w:top w:w="80" w:type="dxa"/>
              <w:bottom w:w="80" w:type="dxa"/>
            </w:tcMar>
          </w:tcPr>
          <w:p>
            <w:pPr>
              <w:spacing w:after="40" w:before="40"/>
            </w:pPr>
            <w:r>
              <w:rPr>
                <w:rFonts w:ascii="Georgia" w:hAnsi="Georgia"/>
                <w:sz w:val="19"/>
                <w:color w:val="1E293B"/>
              </w:rPr>
              <w:t>Communicates over HTTPS REST / JSON endpoints; renders interactive score dials, animated scan beams, and plain-English ingredient translations.</w:t>
            </w:r>
          </w:p>
        </w:tc>
      </w:tr>
      <w:tr>
        <w:tc>
          <w:tcPr>
            <w:shd w:val="clear" w:fill="F8FAFC"/>
            <w:tcMar>
              <w:top w:w="80" w:type="dxa"/>
              <w:bottom w:w="80" w:type="dxa"/>
            </w:tcMar>
          </w:tcPr>
          <w:p>
            <w:pPr>
              <w:spacing w:after="40" w:before="40"/>
            </w:pPr>
            <w:r>
              <w:rPr>
                <w:rFonts w:ascii="Georgia" w:hAnsi="Georgia"/>
                <w:sz w:val="19"/>
                <w:color w:val="1E293B"/>
              </w:rPr>
              <w:t>Application Logic Tier</w:t>
            </w:r>
          </w:p>
        </w:tc>
        <w:tc>
          <w:tcPr>
            <w:shd w:val="clear" w:fill="F8FAFC"/>
            <w:tcMar>
              <w:top w:w="80" w:type="dxa"/>
              <w:bottom w:w="80" w:type="dxa"/>
            </w:tcMar>
          </w:tcPr>
          <w:p>
            <w:pPr>
              <w:spacing w:after="40" w:before="40"/>
            </w:pPr>
            <w:r>
              <w:rPr>
                <w:rFonts w:ascii="Georgia" w:hAnsi="Georgia"/>
                <w:sz w:val="19"/>
                <w:color w:val="1E293B"/>
              </w:rPr>
              <w:t>Go Gin REST Server (v1.22+), Token-Bucket Rate Limiter, Stateless JWT Auth, Dynamic Age Engine, Fuzzy Regex Tokenizer, Dual-Scoring Engine</w:t>
            </w:r>
          </w:p>
        </w:tc>
        <w:tc>
          <w:tcPr>
            <w:shd w:val="clear" w:fill="F8FAFC"/>
            <w:tcMar>
              <w:top w:w="80" w:type="dxa"/>
              <w:bottom w:w="80" w:type="dxa"/>
            </w:tcMar>
          </w:tcPr>
          <w:p>
            <w:pPr>
              <w:spacing w:after="40" w:before="40"/>
            </w:pPr>
            <w:r>
              <w:rPr>
                <w:rFonts w:ascii="Georgia" w:hAnsi="Georgia"/>
                <w:sz w:val="19"/>
                <w:color w:val="1E293B"/>
              </w:rPr>
              <w:t>Receives client requests, applies rate limiting (10 req/min), verifies JWT cookies, executes regex OCR normalization, computes NOVA deductions &amp; Goal Fit scores, and signs SHA-256 audit hashes.</w:t>
            </w:r>
          </w:p>
        </w:tc>
      </w:tr>
      <w:tr>
        <w:tc>
          <w:tcPr>
            <w:shd w:val="clear" w:fill="FFFFFF"/>
            <w:tcMar>
              <w:top w:w="80" w:type="dxa"/>
              <w:bottom w:w="80" w:type="dxa"/>
            </w:tcMar>
          </w:tcPr>
          <w:p>
            <w:pPr>
              <w:spacing w:after="40" w:before="40"/>
            </w:pPr>
            <w:r>
              <w:rPr>
                <w:rFonts w:ascii="Georgia" w:hAnsi="Georgia"/>
                <w:sz w:val="19"/>
                <w:color w:val="1E293B"/>
              </w:rPr>
              <w:t>Data Persistence Tier</w:t>
            </w:r>
          </w:p>
        </w:tc>
        <w:tc>
          <w:tcPr>
            <w:shd w:val="clear" w:fill="FFFFFF"/>
            <w:tcMar>
              <w:top w:w="80" w:type="dxa"/>
              <w:bottom w:w="80" w:type="dxa"/>
            </w:tcMar>
          </w:tcPr>
          <w:p>
            <w:pPr>
              <w:spacing w:after="40" w:before="40"/>
            </w:pPr>
            <w:r>
              <w:rPr>
                <w:rFonts w:ascii="Georgia" w:hAnsi="Georgia"/>
                <w:sz w:val="19"/>
                <w:color w:val="1E293B"/>
              </w:rPr>
              <w:t>PostgreSQL 16 with GORM ORM, JSONB Array Fields, FSSAI INS Additive Catalog, Products Registry, Audit Log History</w:t>
            </w:r>
          </w:p>
        </w:tc>
        <w:tc>
          <w:tcPr>
            <w:shd w:val="clear" w:fill="FFFFFF"/>
            <w:tcMar>
              <w:top w:w="80" w:type="dxa"/>
              <w:bottom w:w="80" w:type="dxa"/>
            </w:tcMar>
          </w:tcPr>
          <w:p>
            <w:pPr>
              <w:spacing w:after="40" w:before="40"/>
            </w:pPr>
            <w:r>
              <w:rPr>
                <w:rFonts w:ascii="Georgia" w:hAnsi="Georgia"/>
                <w:sz w:val="19"/>
                <w:color w:val="1E293B"/>
              </w:rPr>
              <w:t>Persists relational user profiles, enforces soft-delete DPDP erasure cascades, performs indexed queries for INS codes, and records scan history with audit signatures.</w:t>
            </w:r>
          </w:p>
        </w:tc>
      </w:tr>
    </w:tbl>
    <w:p>
      <w:pPr>
        <w:spacing w:after="180"/>
      </w:pPr>
    </w:p>
    <w:p>
      <w:pPr>
        <w:pStyle w:val="Heading3"/>
        <w:spacing w:before="160" w:after="80"/>
      </w:pPr>
      <w:r>
        <w:rPr>
          <w:rFonts w:ascii="Georgia" w:hAnsi="Georgia"/>
          <w:b/>
          <w:sz w:val="24"/>
          <w:color w:val="334155"/>
        </w:rPr>
        <w:t>Data Flow and Control Flow Diagrams</w:t>
      </w:r>
    </w:p>
    <w:p>
      <w:pPr>
        <w:spacing w:after="120" w:line="360" w:lineRule="auto"/>
        <w:jc w:val="both"/>
      </w:pPr>
      <w:r>
        <w:rPr>
          <w:rFonts w:ascii="Georgia" w:hAnsi="Georgia"/>
          <w:sz w:val="22"/>
          <w:color w:val="1E293B"/>
        </w:rPr>
        <w:t xml:space="preserve">The end-to-end data processing lifecycle is structured into six discrete, deterministic stages:</w:t>
      </w:r>
    </w:p>
    <w:tbl>
      <w:tblPr>
        <w:tblW w:w="950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rPr>
          <w:tblHeader/>
        </w:trPr>
        <w:tc>
          <w:tcPr>
            <w:shd w:val="clear" w:fill="1E3A8A"/>
            <w:tcMar>
              <w:top w:w="100" w:type="dxa"/>
              <w:bottom w:w="100" w:type="dxa"/>
            </w:tcMar>
          </w:tcPr>
          <w:p>
            <w:pPr>
              <w:spacing w:after="60" w:before="60"/>
            </w:pPr>
            <w:r>
              <w:rPr>
                <w:rFonts w:ascii="Georgia" w:hAnsi="Georgia"/>
                <w:b/>
                <w:color w:val="FFFFFF"/>
                <w:sz w:val="20"/>
              </w:rPr>
              <w:t>Stage</w:t>
            </w:r>
          </w:p>
        </w:tc>
        <w:tc>
          <w:tcPr>
            <w:shd w:val="clear" w:fill="1E3A8A"/>
            <w:tcMar>
              <w:top w:w="100" w:type="dxa"/>
              <w:bottom w:w="100" w:type="dxa"/>
            </w:tcMar>
          </w:tcPr>
          <w:p>
            <w:pPr>
              <w:spacing w:after="60" w:before="60"/>
            </w:pPr>
            <w:r>
              <w:rPr>
                <w:rFonts w:ascii="Georgia" w:hAnsi="Georgia"/>
                <w:b/>
                <w:color w:val="FFFFFF"/>
                <w:sz w:val="20"/>
              </w:rPr>
              <w:t>Pipeline Step</w:t>
            </w:r>
          </w:p>
        </w:tc>
        <w:tc>
          <w:tcPr>
            <w:shd w:val="clear" w:fill="1E3A8A"/>
            <w:tcMar>
              <w:top w:w="100" w:type="dxa"/>
              <w:bottom w:w="100" w:type="dxa"/>
            </w:tcMar>
          </w:tcPr>
          <w:p>
            <w:pPr>
              <w:spacing w:after="60" w:before="60"/>
            </w:pPr>
            <w:r>
              <w:rPr>
                <w:rFonts w:ascii="Georgia" w:hAnsi="Georgia"/>
                <w:b/>
                <w:color w:val="FFFFFF"/>
                <w:sz w:val="20"/>
              </w:rPr>
              <w:t>System Action &amp; Transformation</w:t>
            </w:r>
          </w:p>
        </w:tc>
      </w:tr>
      <w:tr>
        <w:tc>
          <w:tcPr>
            <w:shd w:val="clear" w:fill="FFFFFF"/>
            <w:tcMar>
              <w:top w:w="80" w:type="dxa"/>
              <w:bottom w:w="80" w:type="dxa"/>
            </w:tcMar>
          </w:tcPr>
          <w:p>
            <w:pPr>
              <w:spacing w:after="40" w:before="40"/>
            </w:pPr>
            <w:r>
              <w:rPr>
                <w:rFonts w:ascii="Georgia" w:hAnsi="Georgia"/>
                <w:sz w:val="19"/>
                <w:color w:val="1E293B"/>
              </w:rPr>
              <w:t>Stage 1</w:t>
            </w:r>
          </w:p>
        </w:tc>
        <w:tc>
          <w:tcPr>
            <w:shd w:val="clear" w:fill="FFFFFF"/>
            <w:tcMar>
              <w:top w:w="80" w:type="dxa"/>
              <w:bottom w:w="80" w:type="dxa"/>
            </w:tcMar>
          </w:tcPr>
          <w:p>
            <w:pPr>
              <w:spacing w:after="40" w:before="40"/>
            </w:pPr>
            <w:r>
              <w:rPr>
                <w:rFonts w:ascii="Georgia" w:hAnsi="Georgia"/>
                <w:sz w:val="19"/>
                <w:color w:val="1E293B"/>
              </w:rPr>
              <w:t>Camera Ingestion</w:t>
            </w:r>
          </w:p>
        </w:tc>
        <w:tc>
          <w:tcPr>
            <w:shd w:val="clear" w:fill="FFFFFF"/>
            <w:tcMar>
              <w:top w:w="80" w:type="dxa"/>
              <w:bottom w:w="80" w:type="dxa"/>
            </w:tcMar>
          </w:tcPr>
          <w:p>
            <w:pPr>
              <w:spacing w:after="40" w:before="40"/>
            </w:pPr>
            <w:r>
              <w:rPr>
                <w:rFonts w:ascii="Georgia" w:hAnsi="Georgia"/>
                <w:sz w:val="19"/>
                <w:color w:val="1E293B"/>
              </w:rPr>
              <w:t>User takes photo of ingredient panel via web camera API or Android hardware camera bridge.</w:t>
            </w:r>
          </w:p>
        </w:tc>
      </w:tr>
      <w:tr>
        <w:tc>
          <w:tcPr>
            <w:shd w:val="clear" w:fill="F8FAFC"/>
            <w:tcMar>
              <w:top w:w="80" w:type="dxa"/>
              <w:bottom w:w="80" w:type="dxa"/>
            </w:tcMar>
          </w:tcPr>
          <w:p>
            <w:pPr>
              <w:spacing w:after="40" w:before="40"/>
            </w:pPr>
            <w:r>
              <w:rPr>
                <w:rFonts w:ascii="Georgia" w:hAnsi="Georgia"/>
                <w:sz w:val="19"/>
                <w:color w:val="1E293B"/>
              </w:rPr>
              <w:t>Stage 2</w:t>
            </w:r>
          </w:p>
        </w:tc>
        <w:tc>
          <w:tcPr>
            <w:shd w:val="clear" w:fill="F8FAFC"/>
            <w:tcMar>
              <w:top w:w="80" w:type="dxa"/>
              <w:bottom w:w="80" w:type="dxa"/>
            </w:tcMar>
          </w:tcPr>
          <w:p>
            <w:pPr>
              <w:spacing w:after="40" w:before="40"/>
            </w:pPr>
            <w:r>
              <w:rPr>
                <w:rFonts w:ascii="Georgia" w:hAnsi="Georgia"/>
                <w:sz w:val="19"/>
                <w:color w:val="1E293B"/>
              </w:rPr>
              <w:t>OCR Extraction</w:t>
            </w:r>
          </w:p>
        </w:tc>
        <w:tc>
          <w:tcPr>
            <w:shd w:val="clear" w:fill="F8FAFC"/>
            <w:tcMar>
              <w:top w:w="80" w:type="dxa"/>
              <w:bottom w:w="80" w:type="dxa"/>
            </w:tcMar>
          </w:tcPr>
          <w:p>
            <w:pPr>
              <w:spacing w:after="40" w:before="40"/>
            </w:pPr>
            <w:r>
              <w:rPr>
                <w:rFonts w:ascii="Georgia" w:hAnsi="Georgia"/>
                <w:sz w:val="19"/>
                <w:color w:val="1E293B"/>
              </w:rPr>
              <w:t>Optical Character Recognition extracts raw alphanumeric text tokens from the label image.</w:t>
            </w:r>
          </w:p>
        </w:tc>
      </w:tr>
      <w:tr>
        <w:tc>
          <w:tcPr>
            <w:shd w:val="clear" w:fill="FFFFFF"/>
            <w:tcMar>
              <w:top w:w="80" w:type="dxa"/>
              <w:bottom w:w="80" w:type="dxa"/>
            </w:tcMar>
          </w:tcPr>
          <w:p>
            <w:pPr>
              <w:spacing w:after="40" w:before="40"/>
            </w:pPr>
            <w:r>
              <w:rPr>
                <w:rFonts w:ascii="Georgia" w:hAnsi="Georgia"/>
                <w:sz w:val="19"/>
                <w:color w:val="1E293B"/>
              </w:rPr>
              <w:t>Stage 3</w:t>
            </w:r>
          </w:p>
        </w:tc>
        <w:tc>
          <w:tcPr>
            <w:shd w:val="clear" w:fill="FFFFFF"/>
            <w:tcMar>
              <w:top w:w="80" w:type="dxa"/>
              <w:bottom w:w="80" w:type="dxa"/>
            </w:tcMar>
          </w:tcPr>
          <w:p>
            <w:pPr>
              <w:spacing w:after="40" w:before="40"/>
            </w:pPr>
            <w:r>
              <w:rPr>
                <w:rFonts w:ascii="Georgia" w:hAnsi="Georgia"/>
                <w:sz w:val="19"/>
                <w:color w:val="1E293B"/>
              </w:rPr>
              <w:t>Regex Normalization</w:t>
            </w:r>
          </w:p>
        </w:tc>
        <w:tc>
          <w:tcPr>
            <w:shd w:val="clear" w:fill="FFFFFF"/>
            <w:tcMar>
              <w:top w:w="80" w:type="dxa"/>
              <w:bottom w:w="80" w:type="dxa"/>
            </w:tcMar>
          </w:tcPr>
          <w:p>
            <w:pPr>
              <w:spacing w:after="40" w:before="40"/>
            </w:pPr>
            <w:r>
              <w:rPr>
                <w:rFonts w:ascii="Georgia" w:hAnsi="Georgia"/>
                <w:sz w:val="19"/>
                <w:color w:val="1E293B"/>
              </w:rPr>
              <w:t>Go tokenizer (NormalizeINSTokens) resolves OCR character confusions ('lNS' -&gt; 'INS', 'E621' -&gt; 'INS-621').</w:t>
            </w:r>
          </w:p>
        </w:tc>
      </w:tr>
      <w:tr>
        <w:tc>
          <w:tcPr>
            <w:shd w:val="clear" w:fill="F8FAFC"/>
            <w:tcMar>
              <w:top w:w="80" w:type="dxa"/>
              <w:bottom w:w="80" w:type="dxa"/>
            </w:tcMar>
          </w:tcPr>
          <w:p>
            <w:pPr>
              <w:spacing w:after="40" w:before="40"/>
            </w:pPr>
            <w:r>
              <w:rPr>
                <w:rFonts w:ascii="Georgia" w:hAnsi="Georgia"/>
                <w:sz w:val="19"/>
                <w:color w:val="1E293B"/>
              </w:rPr>
              <w:t>Stage 4</w:t>
            </w:r>
          </w:p>
        </w:tc>
        <w:tc>
          <w:tcPr>
            <w:shd w:val="clear" w:fill="F8FAFC"/>
            <w:tcMar>
              <w:top w:w="80" w:type="dxa"/>
              <w:bottom w:w="80" w:type="dxa"/>
            </w:tcMar>
          </w:tcPr>
          <w:p>
            <w:pPr>
              <w:spacing w:after="40" w:before="40"/>
            </w:pPr>
            <w:r>
              <w:rPr>
                <w:rFonts w:ascii="Georgia" w:hAnsi="Georgia"/>
                <w:sz w:val="19"/>
                <w:color w:val="1E293B"/>
              </w:rPr>
              <w:t>Database Match</w:t>
            </w:r>
          </w:p>
        </w:tc>
        <w:tc>
          <w:tcPr>
            <w:shd w:val="clear" w:fill="F8FAFC"/>
            <w:tcMar>
              <w:top w:w="80" w:type="dxa"/>
              <w:bottom w:w="80" w:type="dxa"/>
            </w:tcMar>
          </w:tcPr>
          <w:p>
            <w:pPr>
              <w:spacing w:after="40" w:before="40"/>
            </w:pPr>
            <w:r>
              <w:rPr>
                <w:rFonts w:ascii="Georgia" w:hAnsi="Georgia"/>
                <w:sz w:val="19"/>
                <w:color w:val="1E293B"/>
              </w:rPr>
              <w:t>GORM performs indexed lookup matching extracted INS codes against the curated FSSAI database.</w:t>
            </w:r>
          </w:p>
        </w:tc>
      </w:tr>
      <w:tr>
        <w:tc>
          <w:tcPr>
            <w:shd w:val="clear" w:fill="FFFFFF"/>
            <w:tcMar>
              <w:top w:w="80" w:type="dxa"/>
              <w:bottom w:w="80" w:type="dxa"/>
            </w:tcMar>
          </w:tcPr>
          <w:p>
            <w:pPr>
              <w:spacing w:after="40" w:before="40"/>
            </w:pPr>
            <w:r>
              <w:rPr>
                <w:rFonts w:ascii="Georgia" w:hAnsi="Georgia"/>
                <w:sz w:val="19"/>
                <w:color w:val="1E293B"/>
              </w:rPr>
              <w:t>Stage 5</w:t>
            </w:r>
          </w:p>
        </w:tc>
        <w:tc>
          <w:tcPr>
            <w:shd w:val="clear" w:fill="FFFFFF"/>
            <w:tcMar>
              <w:top w:w="80" w:type="dxa"/>
              <w:bottom w:w="80" w:type="dxa"/>
            </w:tcMar>
          </w:tcPr>
          <w:p>
            <w:pPr>
              <w:spacing w:after="40" w:before="40"/>
            </w:pPr>
            <w:r>
              <w:rPr>
                <w:rFonts w:ascii="Georgia" w:hAnsi="Georgia"/>
                <w:sz w:val="19"/>
                <w:color w:val="1E293B"/>
              </w:rPr>
              <w:t>Dual Scoring</w:t>
            </w:r>
          </w:p>
        </w:tc>
        <w:tc>
          <w:tcPr>
            <w:shd w:val="clear" w:fill="FFFFFF"/>
            <w:tcMar>
              <w:top w:w="80" w:type="dxa"/>
              <w:bottom w:w="80" w:type="dxa"/>
            </w:tcMar>
          </w:tcPr>
          <w:p>
            <w:pPr>
              <w:spacing w:after="40" w:before="40"/>
            </w:pPr>
            <w:r>
              <w:rPr>
                <w:rFonts w:ascii="Georgia" w:hAnsi="Georgia"/>
                <w:sz w:val="19"/>
                <w:color w:val="1E293B"/>
              </w:rPr>
              <w:t>Telemetry Engine independently computes NOVA Health Processing Score (0–100) and Goal Fit Score (0–100).</w:t>
            </w:r>
          </w:p>
        </w:tc>
      </w:tr>
      <w:tr>
        <w:tc>
          <w:tcPr>
            <w:shd w:val="clear" w:fill="F8FAFC"/>
            <w:tcMar>
              <w:top w:w="80" w:type="dxa"/>
              <w:bottom w:w="80" w:type="dxa"/>
            </w:tcMar>
          </w:tcPr>
          <w:p>
            <w:pPr>
              <w:spacing w:after="40" w:before="40"/>
            </w:pPr>
            <w:r>
              <w:rPr>
                <w:rFonts w:ascii="Georgia" w:hAnsi="Georgia"/>
                <w:sz w:val="19"/>
                <w:color w:val="1E293B"/>
              </w:rPr>
              <w:t>Stage 6</w:t>
            </w:r>
          </w:p>
        </w:tc>
        <w:tc>
          <w:tcPr>
            <w:shd w:val="clear" w:fill="F8FAFC"/>
            <w:tcMar>
              <w:top w:w="80" w:type="dxa"/>
              <w:bottom w:w="80" w:type="dxa"/>
            </w:tcMar>
          </w:tcPr>
          <w:p>
            <w:pPr>
              <w:spacing w:after="40" w:before="40"/>
            </w:pPr>
            <w:r>
              <w:rPr>
                <w:rFonts w:ascii="Georgia" w:hAnsi="Georgia"/>
                <w:sz w:val="19"/>
                <w:color w:val="1E293B"/>
              </w:rPr>
              <w:t>Audit Hash &amp; Display</w:t>
            </w:r>
          </w:p>
        </w:tc>
        <w:tc>
          <w:tcPr>
            <w:shd w:val="clear" w:fill="F8FAFC"/>
            <w:tcMar>
              <w:top w:w="80" w:type="dxa"/>
              <w:bottom w:w="80" w:type="dxa"/>
            </w:tcMar>
          </w:tcPr>
          <w:p>
            <w:pPr>
              <w:spacing w:after="40" w:before="40"/>
            </w:pPr>
            <w:r>
              <w:rPr>
                <w:rFonts w:ascii="Georgia" w:hAnsi="Georgia"/>
                <w:sz w:val="19"/>
                <w:color w:val="1E293B"/>
              </w:rPr>
              <w:t>SHA-256 signature is generated and returned with JSON payload; client renders animated HUD telemetry dials.</w:t>
            </w:r>
          </w:p>
        </w:tc>
      </w:tr>
    </w:tbl>
    <w:p>
      <w:pPr>
        <w:spacing w:after="180"/>
      </w:pPr>
    </w:p>
    <w:p>
      <w:pPr>
        <w:pStyle w:val="Heading2"/>
        <w:spacing w:before="240" w:after="120"/>
      </w:pPr>
      <w:r>
        <w:rPr>
          <w:rFonts w:ascii="Georgia" w:hAnsi="Georgia"/>
          <w:b/>
          <w:sz w:val="28"/>
          <w:color w:val="1E293B"/>
        </w:rPr>
        <w:t>3.2 Module Description</w:t>
      </w:r>
    </w:p>
    <w:p>
      <w:pPr>
        <w:spacing w:after="120" w:line="360" w:lineRule="auto"/>
        <w:jc w:val="both"/>
      </w:pPr>
      <w:r>
        <w:rPr>
          <w:rFonts w:ascii="Georgia" w:hAnsi="Georgia"/>
          <w:b/>
          <w:sz w:val="22"/>
          <w:color w:val="0F172A"/>
        </w:rPr>
        <w:t xml:space="preserve">1. Authentication &amp; Minor Consent Module (`internal/auth`, `models/user.go`): </w:t>
      </w:r>
      <w:r>
        <w:rPr>
          <w:rFonts w:ascii="Georgia" w:hAnsi="Georgia"/>
          <w:sz w:val="22"/>
          <w:color w:val="1E293B"/>
        </w:rPr>
        <w:t xml:space="preserve">Manages user identity, bcrypt password hashing (cost factor 12), and stateless JWT cookie sessions. Crucially, the system implements read-time dynamic age calculation in UTC from DateOfBirth (user.CalculateAge(time.Now().UTC())), completely avoiding stale integer age columns. If a user is under 18, parental consent recording is enforced under the DPDP Act 2023 before personalized telemetry can be stored.</w:t>
      </w:r>
    </w:p>
    <w:p>
      <w:pPr>
        <w:spacing w:after="120" w:line="360" w:lineRule="auto"/>
        <w:jc w:val="both"/>
      </w:pPr>
      <w:r>
        <w:rPr>
          <w:rFonts w:ascii="Georgia" w:hAnsi="Georgia"/>
          <w:b/>
          <w:sz w:val="22"/>
          <w:color w:val="0F172A"/>
        </w:rPr>
        <w:t xml:space="preserve">2. INS Additive Search &amp; Decoding Module (`internal/handlers/scan.go`, `models/additive.go`): </w:t>
      </w:r>
      <w:r>
        <w:rPr>
          <w:rFonts w:ascii="Georgia" w:hAnsi="Georgia"/>
          <w:sz w:val="22"/>
          <w:color w:val="1E293B"/>
        </w:rPr>
        <w:t xml:space="preserve">Provides indexed search over FSSAI additive codes supporting direct query parameters (?code=INS621) and regex tokenization (NormalizeINSTokens) that normalizes OCR character confusions (e.g. 'lNS 621' or '1NS-621' to canonical 'INS-621') and maps them to 3-tier risk classifications (Low, Medium, High).</w:t>
      </w:r>
    </w:p>
    <w:p>
      <w:pPr>
        <w:spacing w:after="120" w:line="360" w:lineRule="auto"/>
        <w:jc w:val="both"/>
      </w:pPr>
      <w:r>
        <w:rPr>
          <w:rFonts w:ascii="Georgia" w:hAnsi="Georgia"/>
          <w:b/>
          <w:sz w:val="22"/>
          <w:color w:val="0F172A"/>
        </w:rPr>
        <w:t xml:space="preserve">3. Dual-Scoring Telemetry Engine (`internal/telemetry`): </w:t>
      </w:r>
      <w:r>
        <w:rPr>
          <w:rFonts w:ascii="Georgia" w:hAnsi="Georgia"/>
          <w:sz w:val="22"/>
          <w:color w:val="1E293B"/>
        </w:rPr>
        <w:t xml:space="preserve">Computes two independent metrics: (a) Health Processing Score (0–100) applying NOVA group deductions (Group 1: 0, Group 2: -10, Group 3: -25, Group 4: -50), excessive sodium/sugar penalties, and additive risk weights; and (b) Goal Fit Score (0–100) evaluating macronutrient alignment for weight loss or muscle gain. Scores are cryptographically signed using SHA-256 for audit traceability.</w:t>
      </w:r>
    </w:p>
    <w:p>
      <w:pPr>
        <w:spacing w:after="120" w:line="360" w:lineRule="auto"/>
        <w:jc w:val="both"/>
      </w:pPr>
      <w:r>
        <w:rPr>
          <w:rFonts w:ascii="Georgia" w:hAnsi="Georgia"/>
          <w:b/>
          <w:sz w:val="22"/>
          <w:color w:val="0F172A"/>
        </w:rPr>
        <w:t xml:space="preserve">4. Nutritional Calculators Engine (`js/calculators.js`): </w:t>
      </w:r>
      <w:r>
        <w:rPr>
          <w:rFonts w:ascii="Georgia" w:hAnsi="Georgia"/>
          <w:sz w:val="22"/>
          <w:color w:val="1E293B"/>
        </w:rPr>
        <w:t xml:space="preserve">Verified client-side implementations of the Mifflin-St Jeor equation for Basal Metabolic Rate (BMR), Total Daily Energy Expenditure (TDEE), and dual WHO vs. Asian-specific Body Mass Index (BMI) cutoffs (Normal threshold &lt;= 22.9 kg/m²).</w:t>
      </w:r>
    </w:p>
    <w:p>
      <w:pPr>
        <w:pStyle w:val="Heading2"/>
        <w:spacing w:before="240" w:after="120"/>
      </w:pPr>
      <w:r>
        <w:rPr>
          <w:rFonts w:ascii="Georgia" w:hAnsi="Georgia"/>
          <w:b/>
          <w:sz w:val="28"/>
          <w:color w:val="1E293B"/>
        </w:rPr>
        <w:t>3.3 Screenshots &amp; Functionality Overview</w:t>
      </w:r>
    </w:p>
    <w:p>
      <w:pPr>
        <w:spacing w:after="120" w:line="360" w:lineRule="auto"/>
        <w:jc w:val="both"/>
      </w:pPr>
      <w:r>
        <w:rPr>
          <w:rFonts w:ascii="Georgia" w:hAnsi="Georgia"/>
          <w:sz w:val="22"/>
          <w:color w:val="1E293B"/>
        </w:rPr>
        <w:t xml:space="preserve">The BiteLens web platform comprises 14 dedicated routes compiled via Vite, featuring elevated white card surfaces, soft drop shadows, and Lucide vector icons:</w:t>
      </w:r>
    </w:p>
    <w:tbl>
      <w:tblPr>
        <w:tblW w:w="950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rPr>
          <w:tblHeader/>
        </w:trPr>
        <w:tc>
          <w:tcPr>
            <w:shd w:val="clear" w:fill="1E3A8A"/>
            <w:tcMar>
              <w:top w:w="100" w:type="dxa"/>
              <w:bottom w:w="100" w:type="dxa"/>
            </w:tcMar>
          </w:tcPr>
          <w:p>
            <w:pPr>
              <w:spacing w:after="60" w:before="60"/>
            </w:pPr>
            <w:r>
              <w:rPr>
                <w:rFonts w:ascii="Georgia" w:hAnsi="Georgia"/>
                <w:b/>
                <w:color w:val="FFFFFF"/>
                <w:sz w:val="20"/>
              </w:rPr>
              <w:t>Route / View</w:t>
            </w:r>
          </w:p>
        </w:tc>
        <w:tc>
          <w:tcPr>
            <w:shd w:val="clear" w:fill="1E3A8A"/>
            <w:tcMar>
              <w:top w:w="100" w:type="dxa"/>
              <w:bottom w:w="100" w:type="dxa"/>
            </w:tcMar>
          </w:tcPr>
          <w:p>
            <w:pPr>
              <w:spacing w:after="60" w:before="60"/>
            </w:pPr>
            <w:r>
              <w:rPr>
                <w:rFonts w:ascii="Georgia" w:hAnsi="Georgia"/>
                <w:b/>
                <w:color w:val="FFFFFF"/>
                <w:sz w:val="20"/>
              </w:rPr>
              <w:t>HTML Artifact</w:t>
            </w:r>
          </w:p>
        </w:tc>
        <w:tc>
          <w:tcPr>
            <w:shd w:val="clear" w:fill="1E3A8A"/>
            <w:tcMar>
              <w:top w:w="100" w:type="dxa"/>
              <w:bottom w:w="100" w:type="dxa"/>
            </w:tcMar>
          </w:tcPr>
          <w:p>
            <w:pPr>
              <w:spacing w:after="60" w:before="60"/>
            </w:pPr>
            <w:r>
              <w:rPr>
                <w:rFonts w:ascii="Georgia" w:hAnsi="Georgia"/>
                <w:b/>
                <w:color w:val="FFFFFF"/>
                <w:sz w:val="20"/>
              </w:rPr>
              <w:t>Visual UI Layout &amp; Interactive Functionality</w:t>
            </w:r>
          </w:p>
        </w:tc>
      </w:tr>
      <w:tr>
        <w:tc>
          <w:tcPr>
            <w:shd w:val="clear" w:fill="FFFFFF"/>
            <w:tcMar>
              <w:top w:w="80" w:type="dxa"/>
              <w:bottom w:w="80" w:type="dxa"/>
            </w:tcMar>
          </w:tcPr>
          <w:p>
            <w:pPr>
              <w:spacing w:after="40" w:before="40"/>
            </w:pPr>
            <w:r>
              <w:rPr>
                <w:rFonts w:ascii="Georgia" w:hAnsi="Georgia"/>
                <w:sz w:val="19"/>
                <w:color w:val="1E293B"/>
              </w:rPr>
              <w:t>Home Showcase</w:t>
            </w:r>
          </w:p>
        </w:tc>
        <w:tc>
          <w:tcPr>
            <w:shd w:val="clear" w:fill="FFFFFF"/>
            <w:tcMar>
              <w:top w:w="80" w:type="dxa"/>
              <w:bottom w:w="80" w:type="dxa"/>
            </w:tcMar>
          </w:tcPr>
          <w:p>
            <w:pPr>
              <w:spacing w:after="40" w:before="40"/>
            </w:pPr>
            <w:r>
              <w:rPr>
                <w:rFonts w:ascii="Georgia" w:hAnsi="Georgia"/>
                <w:sz w:val="19"/>
                <w:color w:val="1E293B"/>
              </w:rPr>
              <w:t>index.html</w:t>
            </w:r>
          </w:p>
        </w:tc>
        <w:tc>
          <w:tcPr>
            <w:shd w:val="clear" w:fill="FFFFFF"/>
            <w:tcMar>
              <w:top w:w="80" w:type="dxa"/>
              <w:bottom w:w="80" w:type="dxa"/>
            </w:tcMar>
          </w:tcPr>
          <w:p>
            <w:pPr>
              <w:spacing w:after="40" w:before="40"/>
            </w:pPr>
            <w:r>
              <w:rPr>
                <w:rFonts w:ascii="Georgia" w:hAnsi="Georgia"/>
                <w:sz w:val="19"/>
                <w:color w:val="1E293B"/>
              </w:rPr>
              <w:t>Interactive smartphone scanner mockup with live food presets (Oats Crisp, Greek Yogurt, Makhana), animated scan beams, and dual score badges.</w:t>
            </w:r>
          </w:p>
        </w:tc>
      </w:tr>
      <w:tr>
        <w:tc>
          <w:tcPr>
            <w:shd w:val="clear" w:fill="F8FAFC"/>
            <w:tcMar>
              <w:top w:w="80" w:type="dxa"/>
              <w:bottom w:w="80" w:type="dxa"/>
            </w:tcMar>
          </w:tcPr>
          <w:p>
            <w:pPr>
              <w:spacing w:after="40" w:before="40"/>
            </w:pPr>
            <w:r>
              <w:rPr>
                <w:rFonts w:ascii="Georgia" w:hAnsi="Georgia"/>
                <w:sz w:val="19"/>
                <w:color w:val="1E293B"/>
              </w:rPr>
              <w:t>Scanner Studio</w:t>
            </w:r>
          </w:p>
        </w:tc>
        <w:tc>
          <w:tcPr>
            <w:shd w:val="clear" w:fill="F8FAFC"/>
            <w:tcMar>
              <w:top w:w="80" w:type="dxa"/>
              <w:bottom w:w="80" w:type="dxa"/>
            </w:tcMar>
          </w:tcPr>
          <w:p>
            <w:pPr>
              <w:spacing w:after="40" w:before="40"/>
            </w:pPr>
            <w:r>
              <w:rPr>
                <w:rFonts w:ascii="Georgia" w:hAnsi="Georgia"/>
                <w:sz w:val="19"/>
                <w:color w:val="1E293B"/>
              </w:rPr>
              <w:t>scanner-demo.html</w:t>
            </w:r>
          </w:p>
        </w:tc>
        <w:tc>
          <w:tcPr>
            <w:shd w:val="clear" w:fill="F8FAFC"/>
            <w:tcMar>
              <w:top w:w="80" w:type="dxa"/>
              <w:bottom w:w="80" w:type="dxa"/>
            </w:tcMar>
          </w:tcPr>
          <w:p>
            <w:pPr>
              <w:spacing w:after="40" w:before="40"/>
            </w:pPr>
            <w:r>
              <w:rPr>
                <w:rFonts w:ascii="Georgia" w:hAnsi="Georgia"/>
                <w:sz w:val="19"/>
                <w:color w:val="1E293B"/>
              </w:rPr>
              <w:t>Interactive label analysis simulator displaying camera viewport, live OCR text extraction stream, and real-time decoded additive breakdown.</w:t>
            </w:r>
          </w:p>
        </w:tc>
      </w:tr>
      <w:tr>
        <w:tc>
          <w:tcPr>
            <w:shd w:val="clear" w:fill="FFFFFF"/>
            <w:tcMar>
              <w:top w:w="80" w:type="dxa"/>
              <w:bottom w:w="80" w:type="dxa"/>
            </w:tcMar>
          </w:tcPr>
          <w:p>
            <w:pPr>
              <w:spacing w:after="40" w:before="40"/>
            </w:pPr>
            <w:r>
              <w:rPr>
                <w:rFonts w:ascii="Georgia" w:hAnsi="Georgia"/>
                <w:sz w:val="19"/>
                <w:color w:val="1E293B"/>
              </w:rPr>
              <w:t>Telemetry Lab</w:t>
            </w:r>
          </w:p>
        </w:tc>
        <w:tc>
          <w:tcPr>
            <w:shd w:val="clear" w:fill="FFFFFF"/>
            <w:tcMar>
              <w:top w:w="80" w:type="dxa"/>
              <w:bottom w:w="80" w:type="dxa"/>
            </w:tcMar>
          </w:tcPr>
          <w:p>
            <w:pPr>
              <w:spacing w:after="40" w:before="40"/>
            </w:pPr>
            <w:r>
              <w:rPr>
                <w:rFonts w:ascii="Georgia" w:hAnsi="Georgia"/>
                <w:sz w:val="19"/>
                <w:color w:val="1E293B"/>
              </w:rPr>
              <w:t>how-it-works.html</w:t>
            </w:r>
          </w:p>
        </w:tc>
        <w:tc>
          <w:tcPr>
            <w:shd w:val="clear" w:fill="FFFFFF"/>
            <w:tcMar>
              <w:top w:w="80" w:type="dxa"/>
              <w:bottom w:w="80" w:type="dxa"/>
            </w:tcMar>
          </w:tcPr>
          <w:p>
            <w:pPr>
              <w:spacing w:after="40" w:before="40"/>
            </w:pPr>
            <w:r>
              <w:rPr>
                <w:rFonts w:ascii="Georgia" w:hAnsi="Georgia"/>
                <w:sz w:val="19"/>
                <w:color w:val="1E293B"/>
              </w:rPr>
              <w:t>Interactive 4-step walkthrough lab allowing users to inspect camera OCR tokens, compare raw vs decoded labels, examine NOVA group tiers, and simulate goal trade-offs.</w:t>
            </w:r>
          </w:p>
        </w:tc>
      </w:tr>
      <w:tr>
        <w:tc>
          <w:tcPr>
            <w:shd w:val="clear" w:fill="F8FAFC"/>
            <w:tcMar>
              <w:top w:w="80" w:type="dxa"/>
              <w:bottom w:w="80" w:type="dxa"/>
            </w:tcMar>
          </w:tcPr>
          <w:p>
            <w:pPr>
              <w:spacing w:after="40" w:before="40"/>
            </w:pPr>
            <w:r>
              <w:rPr>
                <w:rFonts w:ascii="Georgia" w:hAnsi="Georgia"/>
                <w:sz w:val="19"/>
                <w:color w:val="1E293B"/>
              </w:rPr>
              <w:t>HUD Decoder</w:t>
            </w:r>
          </w:p>
        </w:tc>
        <w:tc>
          <w:tcPr>
            <w:shd w:val="clear" w:fill="F8FAFC"/>
            <w:tcMar>
              <w:top w:w="80" w:type="dxa"/>
              <w:bottom w:w="80" w:type="dxa"/>
            </w:tcMar>
          </w:tcPr>
          <w:p>
            <w:pPr>
              <w:spacing w:after="40" w:before="40"/>
            </w:pPr>
            <w:r>
              <w:rPr>
                <w:rFonts w:ascii="Georgia" w:hAnsi="Georgia"/>
                <w:sz w:val="19"/>
                <w:color w:val="1E293B"/>
              </w:rPr>
              <w:t>additive-decoder.html</w:t>
            </w:r>
          </w:p>
        </w:tc>
        <w:tc>
          <w:tcPr>
            <w:shd w:val="clear" w:fill="F8FAFC"/>
            <w:tcMar>
              <w:top w:w="80" w:type="dxa"/>
              <w:bottom w:w="80" w:type="dxa"/>
            </w:tcMar>
          </w:tcPr>
          <w:p>
            <w:pPr>
              <w:spacing w:after="40" w:before="40"/>
            </w:pPr>
            <w:r>
              <w:rPr>
                <w:rFonts w:ascii="Georgia" w:hAnsi="Georgia"/>
                <w:sz w:val="19"/>
                <w:color w:val="1E293B"/>
              </w:rPr>
              <w:t>Futuristic search workbench featuring debounced live lookup, category filters, and regulatory safety status badges.</w:t>
            </w:r>
          </w:p>
        </w:tc>
      </w:tr>
      <w:tr>
        <w:tc>
          <w:tcPr>
            <w:shd w:val="clear" w:fill="FFFFFF"/>
            <w:tcMar>
              <w:top w:w="80" w:type="dxa"/>
              <w:bottom w:w="80" w:type="dxa"/>
            </w:tcMar>
          </w:tcPr>
          <w:p>
            <w:pPr>
              <w:spacing w:after="40" w:before="40"/>
            </w:pPr>
            <w:r>
              <w:rPr>
                <w:rFonts w:ascii="Georgia" w:hAnsi="Georgia"/>
                <w:sz w:val="19"/>
                <w:color w:val="1E293B"/>
              </w:rPr>
              <w:t>Product Compare</w:t>
            </w:r>
          </w:p>
        </w:tc>
        <w:tc>
          <w:tcPr>
            <w:shd w:val="clear" w:fill="FFFFFF"/>
            <w:tcMar>
              <w:top w:w="80" w:type="dxa"/>
              <w:bottom w:w="80" w:type="dxa"/>
            </w:tcMar>
          </w:tcPr>
          <w:p>
            <w:pPr>
              <w:spacing w:after="40" w:before="40"/>
            </w:pPr>
            <w:r>
              <w:rPr>
                <w:rFonts w:ascii="Georgia" w:hAnsi="Georgia"/>
                <w:sz w:val="19"/>
                <w:color w:val="1E293B"/>
              </w:rPr>
              <w:t>compare.html</w:t>
            </w:r>
          </w:p>
        </w:tc>
        <w:tc>
          <w:tcPr>
            <w:shd w:val="clear" w:fill="FFFFFF"/>
            <w:tcMar>
              <w:top w:w="80" w:type="dxa"/>
              <w:bottom w:w="80" w:type="dxa"/>
            </w:tcMar>
          </w:tcPr>
          <w:p>
            <w:pPr>
              <w:spacing w:after="40" w:before="40"/>
            </w:pPr>
            <w:r>
              <w:rPr>
                <w:rFonts w:ascii="Georgia" w:hAnsi="Georgia"/>
                <w:sz w:val="19"/>
                <w:color w:val="1E293B"/>
              </w:rPr>
              <w:t>Side-by-side nutritional telemetry comparison tool evaluating two packaged items across NOVA rating, calorie density, and Goal Fit.</w:t>
            </w:r>
          </w:p>
        </w:tc>
      </w:tr>
      <w:tr>
        <w:tc>
          <w:tcPr>
            <w:shd w:val="clear" w:fill="F8FAFC"/>
            <w:tcMar>
              <w:top w:w="80" w:type="dxa"/>
              <w:bottom w:w="80" w:type="dxa"/>
            </w:tcMar>
          </w:tcPr>
          <w:p>
            <w:pPr>
              <w:spacing w:after="40" w:before="40"/>
            </w:pPr>
            <w:r>
              <w:rPr>
                <w:rFonts w:ascii="Georgia" w:hAnsi="Georgia"/>
                <w:sz w:val="19"/>
                <w:color w:val="1E293B"/>
              </w:rPr>
              <w:t>User Dashboard</w:t>
            </w:r>
          </w:p>
        </w:tc>
        <w:tc>
          <w:tcPr>
            <w:shd w:val="clear" w:fill="F8FAFC"/>
            <w:tcMar>
              <w:top w:w="80" w:type="dxa"/>
              <w:bottom w:w="80" w:type="dxa"/>
            </w:tcMar>
          </w:tcPr>
          <w:p>
            <w:pPr>
              <w:spacing w:after="40" w:before="40"/>
            </w:pPr>
            <w:r>
              <w:rPr>
                <w:rFonts w:ascii="Georgia" w:hAnsi="Georgia"/>
                <w:sz w:val="19"/>
                <w:color w:val="1E293B"/>
              </w:rPr>
              <w:t>dashboard.html</w:t>
            </w:r>
          </w:p>
        </w:tc>
        <w:tc>
          <w:tcPr>
            <w:shd w:val="clear" w:fill="F8FAFC"/>
            <w:tcMar>
              <w:top w:w="80" w:type="dxa"/>
              <w:bottom w:w="80" w:type="dxa"/>
            </w:tcMar>
          </w:tcPr>
          <w:p>
            <w:pPr>
              <w:spacing w:after="40" w:before="40"/>
            </w:pPr>
            <w:r>
              <w:rPr>
                <w:rFonts w:ascii="Georgia" w:hAnsi="Georgia"/>
                <w:sz w:val="19"/>
                <w:color w:val="1E293B"/>
              </w:rPr>
              <w:t>Aggregated dietary dashboard tracking scanned product logs, average daily Health Scores, and additive exposure frequency.</w:t>
            </w:r>
          </w:p>
        </w:tc>
      </w:tr>
      <w:tr>
        <w:tc>
          <w:tcPr>
            <w:shd w:val="clear" w:fill="FFFFFF"/>
            <w:tcMar>
              <w:top w:w="80" w:type="dxa"/>
              <w:bottom w:w="80" w:type="dxa"/>
            </w:tcMar>
          </w:tcPr>
          <w:p>
            <w:pPr>
              <w:spacing w:after="40" w:before="40"/>
            </w:pPr>
            <w:r>
              <w:rPr>
                <w:rFonts w:ascii="Georgia" w:hAnsi="Georgia"/>
                <w:sz w:val="19"/>
                <w:color w:val="1E293B"/>
              </w:rPr>
              <w:t>BMI Calculator</w:t>
            </w:r>
          </w:p>
        </w:tc>
        <w:tc>
          <w:tcPr>
            <w:shd w:val="clear" w:fill="FFFFFF"/>
            <w:tcMar>
              <w:top w:w="80" w:type="dxa"/>
              <w:bottom w:w="80" w:type="dxa"/>
            </w:tcMar>
          </w:tcPr>
          <w:p>
            <w:pPr>
              <w:spacing w:after="40" w:before="40"/>
            </w:pPr>
            <w:r>
              <w:rPr>
                <w:rFonts w:ascii="Georgia" w:hAnsi="Georgia"/>
                <w:sz w:val="19"/>
                <w:color w:val="1E293B"/>
              </w:rPr>
              <w:t>bmi-calculator.html</w:t>
            </w:r>
          </w:p>
        </w:tc>
        <w:tc>
          <w:tcPr>
            <w:shd w:val="clear" w:fill="FFFFFF"/>
            <w:tcMar>
              <w:top w:w="80" w:type="dxa"/>
              <w:bottom w:w="80" w:type="dxa"/>
            </w:tcMar>
          </w:tcPr>
          <w:p>
            <w:pPr>
              <w:spacing w:after="40" w:before="40"/>
            </w:pPr>
            <w:r>
              <w:rPr>
                <w:rFonts w:ascii="Georgia" w:hAnsi="Georgia"/>
                <w:sz w:val="19"/>
                <w:color w:val="1E293B"/>
              </w:rPr>
              <w:t>Dynamic client-side health calculator with instant input validation, metric/imperial unit conversions, and Asian-specific body composition indicators.</w:t>
            </w:r>
          </w:p>
        </w:tc>
      </w:tr>
      <w:tr>
        <w:tc>
          <w:tcPr>
            <w:shd w:val="clear" w:fill="F8FAFC"/>
            <w:tcMar>
              <w:top w:w="80" w:type="dxa"/>
              <w:bottom w:w="80" w:type="dxa"/>
            </w:tcMar>
          </w:tcPr>
          <w:p>
            <w:pPr>
              <w:spacing w:after="40" w:before="40"/>
            </w:pPr>
            <w:r>
              <w:rPr>
                <w:rFonts w:ascii="Georgia" w:hAnsi="Georgia"/>
                <w:sz w:val="19"/>
                <w:color w:val="1E293B"/>
              </w:rPr>
              <w:t>Calorie Calculator</w:t>
            </w:r>
          </w:p>
        </w:tc>
        <w:tc>
          <w:tcPr>
            <w:shd w:val="clear" w:fill="F8FAFC"/>
            <w:tcMar>
              <w:top w:w="80" w:type="dxa"/>
              <w:bottom w:w="80" w:type="dxa"/>
            </w:tcMar>
          </w:tcPr>
          <w:p>
            <w:pPr>
              <w:spacing w:after="40" w:before="40"/>
            </w:pPr>
            <w:r>
              <w:rPr>
                <w:rFonts w:ascii="Georgia" w:hAnsi="Georgia"/>
                <w:sz w:val="19"/>
                <w:color w:val="1E293B"/>
              </w:rPr>
              <w:t>calorie-calculator.html</w:t>
            </w:r>
          </w:p>
        </w:tc>
        <w:tc>
          <w:tcPr>
            <w:shd w:val="clear" w:fill="F8FAFC"/>
            <w:tcMar>
              <w:top w:w="80" w:type="dxa"/>
              <w:bottom w:w="80" w:type="dxa"/>
            </w:tcMar>
          </w:tcPr>
          <w:p>
            <w:pPr>
              <w:spacing w:after="40" w:before="40"/>
            </w:pPr>
            <w:r>
              <w:rPr>
                <w:rFonts w:ascii="Georgia" w:hAnsi="Georgia"/>
                <w:sz w:val="19"/>
                <w:color w:val="1E293B"/>
              </w:rPr>
              <w:t>Mifflin-St Jeor predictive BMR and activity-adjusted TDEE calculator with personalized macro targets.</w:t>
            </w:r>
          </w:p>
        </w:tc>
      </w:tr>
      <w:tr>
        <w:tc>
          <w:tcPr>
            <w:shd w:val="clear" w:fill="FFFFFF"/>
            <w:tcMar>
              <w:top w:w="80" w:type="dxa"/>
              <w:bottom w:w="80" w:type="dxa"/>
            </w:tcMar>
          </w:tcPr>
          <w:p>
            <w:pPr>
              <w:spacing w:after="40" w:before="40"/>
            </w:pPr>
            <w:r>
              <w:rPr>
                <w:rFonts w:ascii="Georgia" w:hAnsi="Georgia"/>
                <w:sz w:val="19"/>
                <w:color w:val="1E293B"/>
              </w:rPr>
              <w:t>Download Center</w:t>
            </w:r>
          </w:p>
        </w:tc>
        <w:tc>
          <w:tcPr>
            <w:shd w:val="clear" w:fill="FFFFFF"/>
            <w:tcMar>
              <w:top w:w="80" w:type="dxa"/>
              <w:bottom w:w="80" w:type="dxa"/>
            </w:tcMar>
          </w:tcPr>
          <w:p>
            <w:pPr>
              <w:spacing w:after="40" w:before="40"/>
            </w:pPr>
            <w:r>
              <w:rPr>
                <w:rFonts w:ascii="Georgia" w:hAnsi="Georgia"/>
                <w:sz w:val="19"/>
                <w:color w:val="1E293B"/>
              </w:rPr>
              <w:t>download.html</w:t>
            </w:r>
          </w:p>
        </w:tc>
        <w:tc>
          <w:tcPr>
            <w:shd w:val="clear" w:fill="FFFFFF"/>
            <w:tcMar>
              <w:top w:w="80" w:type="dxa"/>
              <w:bottom w:w="80" w:type="dxa"/>
            </w:tcMar>
          </w:tcPr>
          <w:p>
            <w:pPr>
              <w:spacing w:after="40" w:before="40"/>
            </w:pPr>
            <w:r>
              <w:rPr>
                <w:rFonts w:ascii="Georgia" w:hAnsi="Georgia"/>
                <w:sz w:val="19"/>
                <w:color w:val="1E293B"/>
              </w:rPr>
              <w:t>Download portal distributing the compiled and signed Android APK (bitelens.apk, 1.36 MB) with MD5/SHA-256 verification hashes.</w:t>
            </w:r>
          </w:p>
        </w:tc>
      </w:tr>
    </w:tbl>
    <w:p>
      <w:pPr>
        <w:spacing w:after="180"/>
      </w:pPr>
    </w:p>
    <w:p>
      <w:pPr>
        <w:pStyle w:val="Heading2"/>
        <w:spacing w:before="240" w:after="120"/>
      </w:pPr>
      <w:r>
        <w:rPr>
          <w:rFonts w:ascii="Georgia" w:hAnsi="Georgia"/>
          <w:b/>
          <w:sz w:val="28"/>
          <w:color w:val="1E293B"/>
        </w:rPr>
        <w:t>3.4 Results and Analysis</w:t>
      </w:r>
    </w:p>
    <w:p>
      <w:pPr>
        <w:pStyle w:val="Heading3"/>
        <w:spacing w:before="160" w:after="80"/>
      </w:pPr>
      <w:r>
        <w:rPr>
          <w:rFonts w:ascii="Georgia" w:hAnsi="Georgia"/>
          <w:b/>
          <w:sz w:val="24"/>
          <w:color w:val="334155"/>
        </w:rPr>
        <w:t>Code Snippets and Explanations</w:t>
      </w:r>
    </w:p>
    <w:p>
      <w:pPr>
        <w:spacing w:after="120" w:line="360" w:lineRule="auto"/>
        <w:jc w:val="both"/>
      </w:pPr>
      <w:r>
        <w:rPr>
          <w:rFonts w:ascii="Georgia" w:hAnsi="Georgia"/>
          <w:b/>
          <w:sz w:val="22"/>
          <w:color w:val="0F172A"/>
        </w:rPr>
        <w:t xml:space="preserve">Listing 3.1: </w:t>
      </w:r>
      <w:r>
        <w:rPr>
          <w:rFonts w:ascii="Georgia" w:hAnsi="Georgia"/>
          <w:sz w:val="22"/>
          <w:color w:val="1E293B"/>
        </w:rPr>
        <w:t xml:space="preserve">1. Dynamic Minor Age Calculation in UTC (`backend/internal/models/user.go`):</w:t>
      </w:r>
    </w:p>
    <w:p>
      <w:pPr>
        <w:pBdr>
          <w:left w:val="single" w:sz="24" w:space="12" w:color="1E3A8A"/>
        </w:pBdr>
        <w:shd w:val="clear" w:fill="F1F5F9"/>
        <w:spacing w:before="120" w:after="120" w:line="240" w:lineRule="auto"/>
        <w:ind w:left="360" w:right="360"/>
      </w:pPr>
      <w:r>
        <w:rPr>
          <w:rFonts w:ascii="Consolas" w:hAnsi="Consolas"/>
          <w:sz w:val="19"/>
          <w:color w:val="0F172A"/>
        </w:rPr>
        <w:t xml:space="preserve">// Dynamic Read-Time Age Calculation in UTC (models/user.go)</w:t>
      </w:r>
      <w:r>
        <w:br/>
      </w:r>
      <w:r>
        <w:rPr>
          <w:rFonts w:ascii="Consolas" w:hAnsi="Consolas"/>
          <w:sz w:val="19"/>
          <w:color w:val="0F172A"/>
        </w:rPr>
        <w:t xml:space="preserve">func (u *User) CalculateAge(atDate time.Time) int {</w:t>
      </w:r>
      <w:r>
        <w:br/>
      </w:r>
      <w:r>
        <w:rPr>
          <w:rFonts w:ascii="Consolas" w:hAnsi="Consolas"/>
          <w:sz w:val="19"/>
          <w:color w:val="0F172A"/>
        </w:rPr>
        <w:t xml:space="preserve">    dob := u.DateOfBirth.UTC()</w:t>
      </w:r>
      <w:r>
        <w:br/>
      </w:r>
      <w:r>
        <w:rPr>
          <w:rFonts w:ascii="Consolas" w:hAnsi="Consolas"/>
          <w:sz w:val="19"/>
          <w:color w:val="0F172A"/>
        </w:rPr>
        <w:t xml:space="preserve">    ref := atDate.UTC()</w:t>
      </w:r>
      <w:r>
        <w:br/>
      </w:r>
      <w:r>
        <w:rPr>
          <w:rFonts w:ascii="Consolas" w:hAnsi="Consolas"/>
          <w:sz w:val="19"/>
          <w:color w:val="0F172A"/>
        </w:rPr>
        <w:t xml:space="preserve">    if dob.After(ref) { return 0 }</w:t>
      </w:r>
      <w:r>
        <w:br/>
      </w:r>
      <w:r>
        <w:rPr>
          <w:rFonts w:ascii="Consolas" w:hAnsi="Consolas"/>
          <w:sz w:val="19"/>
          <w:color w:val="0F172A"/>
        </w:rPr>
        <w:t xml:space="preserve">    years := ref.Year() - dob.Year()</w:t>
      </w:r>
      <w:r>
        <w:br/>
      </w:r>
      <w:r>
        <w:rPr>
          <w:rFonts w:ascii="Consolas" w:hAnsi="Consolas"/>
          <w:sz w:val="19"/>
          <w:color w:val="0F172A"/>
        </w:rPr>
        <w:t xml:space="preserve">    if ref.Month() &lt; dob.Month() || (ref.Month() == dob.Month() &amp;&amp; ref.Day() &lt; dob.Day()) {</w:t>
      </w:r>
      <w:r>
        <w:br/>
      </w:r>
      <w:r>
        <w:rPr>
          <w:rFonts w:ascii="Consolas" w:hAnsi="Consolas"/>
          <w:sz w:val="19"/>
          <w:color w:val="0F172A"/>
        </w:rPr>
        <w:t xml:space="preserve">        years--</w:t>
      </w:r>
      <w:r>
        <w:br/>
      </w:r>
      <w:r>
        <w:rPr>
          <w:rFonts w:ascii="Consolas" w:hAnsi="Consolas"/>
          <w:sz w:val="19"/>
          <w:color w:val="0F172A"/>
        </w:rPr>
        <w:t xml:space="preserve">    }</w:t>
      </w:r>
      <w:r>
        <w:br/>
      </w:r>
      <w:r>
        <w:rPr>
          <w:rFonts w:ascii="Consolas" w:hAnsi="Consolas"/>
          <w:sz w:val="19"/>
          <w:color w:val="0F172A"/>
        </w:rPr>
        <w:t xml:space="preserve">    if years &lt; 0 { return 0 }</w:t>
      </w:r>
      <w:r>
        <w:br/>
      </w:r>
      <w:r>
        <w:rPr>
          <w:rFonts w:ascii="Consolas" w:hAnsi="Consolas"/>
          <w:sz w:val="19"/>
          <w:color w:val="0F172A"/>
        </w:rPr>
        <w:t xml:space="preserve">    return years</w:t>
      </w:r>
      <w:r>
        <w:br/>
      </w:r>
      <w:r>
        <w:rPr>
          <w:rFonts w:ascii="Consolas" w:hAnsi="Consolas"/>
          <w:sz w:val="19"/>
          <w:color w:val="0F172A"/>
        </w:rPr>
        <w:t xml:space="preserve">}</w:t>
      </w:r>
      <w:r>
        <w:br/>
      </w:r>
      <w:r>
        <w:rPr>
          <w:rFonts w:ascii="Consolas" w:hAnsi="Consolas"/>
          <w:sz w:val="19"/>
          <w:color w:val="0F172A"/>
        </w:rPr>
        <w:t xml:space="preserve"/>
      </w:r>
      <w:r>
        <w:br/>
      </w:r>
      <w:r>
        <w:rPr>
          <w:rFonts w:ascii="Consolas" w:hAnsi="Consolas"/>
          <w:sz w:val="19"/>
          <w:color w:val="0F172A"/>
        </w:rPr>
        <w:t xml:space="preserve">func (u *User) IsMinor(atDate time.Time) bool {</w:t>
      </w:r>
      <w:r>
        <w:br/>
      </w:r>
      <w:r>
        <w:rPr>
          <w:rFonts w:ascii="Consolas" w:hAnsi="Consolas"/>
          <w:sz w:val="19"/>
          <w:color w:val="0F172A"/>
        </w:rPr>
        <w:t xml:space="preserve">    return u.CalculateAge(atDate) &lt; 18</w:t>
      </w:r>
      <w:r>
        <w:br/>
      </w:r>
      <w:r>
        <w:rPr>
          <w:rFonts w:ascii="Consolas" w:hAnsi="Consolas"/>
          <w:sz w:val="19"/>
          <w:color w:val="0F172A"/>
        </w:rPr>
        <w:t xml:space="preserve">}</w:t>
      </w:r>
    </w:p>
    <w:p>
      <w:pPr>
        <w:spacing w:after="120" w:line="360" w:lineRule="auto"/>
        <w:jc w:val="both"/>
      </w:pPr>
      <w:r>
        <w:rPr>
          <w:rFonts w:ascii="Georgia" w:hAnsi="Georgia"/>
          <w:b/>
          <w:sz w:val="22"/>
          <w:color w:val="0F172A"/>
        </w:rPr>
        <w:t xml:space="preserve">Listing 3.2: </w:t>
      </w:r>
      <w:r>
        <w:rPr>
          <w:rFonts w:ascii="Georgia" w:hAnsi="Georgia"/>
          <w:sz w:val="22"/>
          <w:color w:val="1E293B"/>
        </w:rPr>
        <w:t xml:space="preserve">2. NOVA-Aligned Health Score Deduction Engine (`backend/internal/telemetry/telemetry.go`):</w:t>
      </w:r>
    </w:p>
    <w:p>
      <w:pPr>
        <w:pBdr>
          <w:left w:val="single" w:sz="24" w:space="12" w:color="1E3A8A"/>
        </w:pBdr>
        <w:shd w:val="clear" w:fill="F1F5F9"/>
        <w:spacing w:before="120" w:after="120" w:line="240" w:lineRule="auto"/>
        <w:ind w:left="360" w:right="360"/>
      </w:pPr>
      <w:r>
        <w:rPr>
          <w:rFonts w:ascii="Consolas" w:hAnsi="Consolas"/>
          <w:sz w:val="19"/>
          <w:color w:val="0F172A"/>
        </w:rPr>
        <w:t xml:space="preserve">// CalculateHealthScore computes the NOVA-aligned health score (0-100)</w:t>
      </w:r>
      <w:r>
        <w:br/>
      </w:r>
      <w:r>
        <w:rPr>
          <w:rFonts w:ascii="Consolas" w:hAnsi="Consolas"/>
          <w:sz w:val="19"/>
          <w:color w:val="0F172A"/>
        </w:rPr>
        <w:t xml:space="preserve">func CalculateHealthScore(novaGroup int, additives []models.Additive, undeclared []string) (int, string) {</w:t>
      </w:r>
      <w:r>
        <w:br/>
      </w:r>
      <w:r>
        <w:rPr>
          <w:rFonts w:ascii="Consolas" w:hAnsi="Consolas"/>
          <w:sz w:val="19"/>
          <w:color w:val="0F172A"/>
        </w:rPr>
        <w:t xml:space="preserve">    score := 100</w:t>
      </w:r>
      <w:r>
        <w:br/>
      </w:r>
      <w:r>
        <w:rPr>
          <w:rFonts w:ascii="Consolas" w:hAnsi="Consolas"/>
          <w:sz w:val="19"/>
          <w:color w:val="0F172A"/>
        </w:rPr>
        <w:t xml:space="preserve">    switch novaGroup {</w:t>
      </w:r>
      <w:r>
        <w:br/>
      </w:r>
      <w:r>
        <w:rPr>
          <w:rFonts w:ascii="Consolas" w:hAnsi="Consolas"/>
          <w:sz w:val="19"/>
          <w:color w:val="0F172A"/>
        </w:rPr>
        <w:t xml:space="preserve">    case 1: score -= 0   // Minimally processed</w:t>
      </w:r>
      <w:r>
        <w:br/>
      </w:r>
      <w:r>
        <w:rPr>
          <w:rFonts w:ascii="Consolas" w:hAnsi="Consolas"/>
          <w:sz w:val="19"/>
          <w:color w:val="0F172A"/>
        </w:rPr>
        <w:t xml:space="preserve">    case 2: score -= 10  // Culinary ingredients</w:t>
      </w:r>
      <w:r>
        <w:br/>
      </w:r>
      <w:r>
        <w:rPr>
          <w:rFonts w:ascii="Consolas" w:hAnsi="Consolas"/>
          <w:sz w:val="19"/>
          <w:color w:val="0F172A"/>
        </w:rPr>
        <w:t xml:space="preserve">    case 3: score -= 25  // Processed foods</w:t>
      </w:r>
      <w:r>
        <w:br/>
      </w:r>
      <w:r>
        <w:rPr>
          <w:rFonts w:ascii="Consolas" w:hAnsi="Consolas"/>
          <w:sz w:val="19"/>
          <w:color w:val="0F172A"/>
        </w:rPr>
        <w:t xml:space="preserve">    case 4: score -= 50  // Ultra-processed foods</w:t>
      </w:r>
      <w:r>
        <w:br/>
      </w:r>
      <w:r>
        <w:rPr>
          <w:rFonts w:ascii="Consolas" w:hAnsi="Consolas"/>
          <w:sz w:val="19"/>
          <w:color w:val="0F172A"/>
        </w:rPr>
        <w:t xml:space="preserve">    }</w:t>
      </w:r>
      <w:r>
        <w:br/>
      </w:r>
      <w:r>
        <w:rPr>
          <w:rFonts w:ascii="Consolas" w:hAnsi="Consolas"/>
          <w:sz w:val="19"/>
          <w:color w:val="0F172A"/>
        </w:rPr>
        <w:t xml:space="preserve">    for _, a := range additives {</w:t>
      </w:r>
      <w:r>
        <w:br/>
      </w:r>
      <w:r>
        <w:rPr>
          <w:rFonts w:ascii="Consolas" w:hAnsi="Consolas"/>
          <w:sz w:val="19"/>
          <w:color w:val="0F172A"/>
        </w:rPr>
        <w:t xml:space="preserve">        if a.RiskLevel == "HIGH" { score -= 15 }</w:t>
      </w:r>
      <w:r>
        <w:br/>
      </w:r>
      <w:r>
        <w:rPr>
          <w:rFonts w:ascii="Consolas" w:hAnsi="Consolas"/>
          <w:sz w:val="19"/>
          <w:color w:val="0F172A"/>
        </w:rPr>
        <w:t xml:space="preserve">        if a.RiskLevel == "MEDIUM" { score -= 5 }</w:t>
      </w:r>
      <w:r>
        <w:br/>
      </w:r>
      <w:r>
        <w:rPr>
          <w:rFonts w:ascii="Consolas" w:hAnsi="Consolas"/>
          <w:sz w:val="19"/>
          <w:color w:val="0F172A"/>
        </w:rPr>
        <w:t xml:space="preserve">    }</w:t>
      </w:r>
      <w:r>
        <w:br/>
      </w:r>
      <w:r>
        <w:rPr>
          <w:rFonts w:ascii="Consolas" w:hAnsi="Consolas"/>
          <w:sz w:val="19"/>
          <w:color w:val="0F172A"/>
        </w:rPr>
        <w:t xml:space="preserve">    // Penalize unlisted mandatory nutrients (anti-silent-default)</w:t>
      </w:r>
      <w:r>
        <w:br/>
      </w:r>
      <w:r>
        <w:rPr>
          <w:rFonts w:ascii="Consolas" w:hAnsi="Consolas"/>
          <w:sz w:val="19"/>
          <w:color w:val="0F172A"/>
        </w:rPr>
        <w:t xml:space="preserve">    score -= len(undeclared) * 5</w:t>
      </w:r>
      <w:r>
        <w:br/>
      </w:r>
      <w:r>
        <w:rPr>
          <w:rFonts w:ascii="Consolas" w:hAnsi="Consolas"/>
          <w:sz w:val="19"/>
          <w:color w:val="0F172A"/>
        </w:rPr>
        <w:t xml:space="preserve">    if score &lt; 0 { score = 0 }</w:t>
      </w:r>
      <w:r>
        <w:br/>
      </w:r>
      <w:r>
        <w:rPr>
          <w:rFonts w:ascii="Consolas" w:hAnsi="Consolas"/>
          <w:sz w:val="19"/>
          <w:color w:val="0F172A"/>
        </w:rPr>
        <w:t xml:space="preserve">    return score, getClassificationLabel(score)</w:t>
      </w:r>
      <w:r>
        <w:br/>
      </w:r>
      <w:r>
        <w:rPr>
          <w:rFonts w:ascii="Consolas" w:hAnsi="Consolas"/>
          <w:sz w:val="19"/>
          <w:color w:val="0F172A"/>
        </w:rPr>
        <w:t xml:space="preserve">}</w:t>
      </w:r>
    </w:p>
    <w:p>
      <w:pPr>
        <w:pStyle w:val="Heading3"/>
        <w:spacing w:before="160" w:after="80"/>
      </w:pPr>
      <w:r>
        <w:rPr>
          <w:rFonts w:ascii="Georgia" w:hAnsi="Georgia"/>
          <w:b/>
          <w:sz w:val="24"/>
          <w:color w:val="334155"/>
        </w:rPr>
        <w:t>Mathematical &amp; Empirical Validation</w:t>
      </w:r>
    </w:p>
    <w:p>
      <w:pPr>
        <w:pBdr>
          <w:left w:val="single" w:sz="24" w:space="12" w:color="1E3A8A"/>
        </w:pBdr>
        <w:shd w:val="clear" w:fill="F1F5F9"/>
        <w:spacing w:before="120" w:after="120" w:line="240" w:lineRule="auto"/>
        <w:ind w:left="360" w:right="360"/>
      </w:pPr>
      <w:r>
        <w:rPr>
          <w:rFonts w:ascii="Consolas" w:hAnsi="Consolas"/>
          <w:sz w:val="19"/>
          <w:color w:val="0F172A"/>
        </w:rPr>
        <w:t xml:space="preserve">=== RUNNING MATHEMATICAL VERIFICATION FOR SECTION 8 WORKED EXAMPLE ===</w:t>
      </w:r>
      <w:r>
        <w:br/>
      </w:r>
      <w:r>
        <w:rPr>
          <w:rFonts w:ascii="Consolas" w:hAnsi="Consolas"/>
          <w:sz w:val="19"/>
          <w:color w:val="0F172A"/>
        </w:rPr>
        <w:t xml:space="preserve">BMR calculated: 1648.75 kcal | Expected BMR: 1648.75 kcal -&gt; PASS</w:t>
      </w:r>
      <w:r>
        <w:br/>
      </w:r>
      <w:r>
        <w:rPr>
          <w:rFonts w:ascii="Consolas" w:hAnsi="Consolas"/>
          <w:sz w:val="19"/>
          <w:color w:val="0F172A"/>
        </w:rPr>
        <w:t xml:space="preserve">TDEE calculated: 2555.56 kcal | Expected TDEE: 2555.56 kcal -&gt; PASS</w:t>
      </w:r>
      <w:r>
        <w:br/>
      </w:r>
      <w:r>
        <w:rPr>
          <w:rFonts w:ascii="Consolas" w:hAnsi="Consolas"/>
          <w:sz w:val="19"/>
          <w:color w:val="0F172A"/>
        </w:rPr>
        <w:t xml:space="preserve">BMI calculated: 22.90 kg/m²   | Expected BMI: 22.90 kg/m²   -&gt; PASS</w:t>
      </w:r>
      <w:r>
        <w:br/>
      </w:r>
      <w:r>
        <w:rPr>
          <w:rFonts w:ascii="Consolas" w:hAnsi="Consolas"/>
          <w:sz w:val="19"/>
          <w:color w:val="0F172A"/>
        </w:rPr>
        <w:t xml:space="preserve">Asian Cutoff Category: Normal | Expected: Normal           -&gt; PASS</w:t>
      </w:r>
      <w:r>
        <w:br/>
      </w:r>
      <w:r>
        <w:rPr>
          <w:rFonts w:ascii="Consolas" w:hAnsi="Consolas"/>
          <w:sz w:val="19"/>
          <w:color w:val="0F172A"/>
        </w:rPr>
        <w:t xml:space="preserve">SUCCESS: All mathematical worked examples matched with 100% precision!</w:t>
      </w:r>
    </w:p>
    <w:p>
      <w:pPr>
        <w:spacing w:after="120" w:line="360" w:lineRule="auto"/>
        <w:jc w:val="both"/>
      </w:pPr>
      <w:r>
        <w:rPr>
          <w:rFonts w:ascii="Georgia" w:hAnsi="Georgia"/>
          <w:b/>
          <w:sz w:val="22"/>
          <w:color w:val="0F172A"/>
        </w:rPr>
        <w:t xml:space="preserve">Verification Summary: </w:t>
      </w:r>
      <w:r>
        <w:rPr>
          <w:rFonts w:ascii="Georgia" w:hAnsi="Georgia"/>
          <w:sz w:val="22"/>
          <w:color w:val="1E293B"/>
        </w:rPr>
        <w:t xml:space="preserve">Automated Unit &amp; Integration Test Suite Verification:</w:t>
      </w:r>
    </w:p>
    <w:tbl>
      <w:tblPr>
        <w:tblW w:w="950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rPr>
          <w:tblHeader/>
        </w:trPr>
        <w:tc>
          <w:tcPr>
            <w:shd w:val="clear" w:fill="1E3A8A"/>
            <w:tcMar>
              <w:top w:w="100" w:type="dxa"/>
              <w:bottom w:w="100" w:type="dxa"/>
            </w:tcMar>
          </w:tcPr>
          <w:p>
            <w:pPr>
              <w:spacing w:after="60" w:before="60"/>
            </w:pPr>
            <w:r>
              <w:rPr>
                <w:rFonts w:ascii="Georgia" w:hAnsi="Georgia"/>
                <w:b/>
                <w:color w:val="FFFFFF"/>
                <w:sz w:val="20"/>
              </w:rPr>
              <w:t>Go Backend Package</w:t>
            </w:r>
          </w:p>
        </w:tc>
        <w:tc>
          <w:tcPr>
            <w:shd w:val="clear" w:fill="1E3A8A"/>
            <w:tcMar>
              <w:top w:w="100" w:type="dxa"/>
              <w:bottom w:w="100" w:type="dxa"/>
            </w:tcMar>
          </w:tcPr>
          <w:p>
            <w:pPr>
              <w:spacing w:after="60" w:before="60"/>
            </w:pPr>
            <w:r>
              <w:rPr>
                <w:rFonts w:ascii="Georgia" w:hAnsi="Georgia"/>
                <w:b/>
                <w:color w:val="FFFFFF"/>
                <w:sz w:val="20"/>
              </w:rPr>
              <w:t>Test Suite Scope</w:t>
            </w:r>
          </w:p>
        </w:tc>
        <w:tc>
          <w:tcPr>
            <w:shd w:val="clear" w:fill="1E3A8A"/>
            <w:tcMar>
              <w:top w:w="100" w:type="dxa"/>
              <w:bottom w:w="100" w:type="dxa"/>
            </w:tcMar>
          </w:tcPr>
          <w:p>
            <w:pPr>
              <w:spacing w:after="60" w:before="60"/>
            </w:pPr>
            <w:r>
              <w:rPr>
                <w:rFonts w:ascii="Georgia" w:hAnsi="Georgia"/>
                <w:b/>
                <w:color w:val="FFFFFF"/>
                <w:sz w:val="20"/>
              </w:rPr>
              <w:t>Execution Duration</w:t>
            </w:r>
          </w:p>
        </w:tc>
        <w:tc>
          <w:tcPr>
            <w:shd w:val="clear" w:fill="1E3A8A"/>
            <w:tcMar>
              <w:top w:w="100" w:type="dxa"/>
              <w:bottom w:w="100" w:type="dxa"/>
            </w:tcMar>
          </w:tcPr>
          <w:p>
            <w:pPr>
              <w:spacing w:after="60" w:before="60"/>
            </w:pPr>
            <w:r>
              <w:rPr>
                <w:rFonts w:ascii="Georgia" w:hAnsi="Georgia"/>
                <w:b/>
                <w:color w:val="FFFFFF"/>
                <w:sz w:val="20"/>
              </w:rPr>
              <w:t>Pass Rate</w:t>
            </w:r>
          </w:p>
        </w:tc>
      </w:tr>
      <w:tr>
        <w:tc>
          <w:tcPr>
            <w:shd w:val="clear" w:fill="FFFFFF"/>
            <w:tcMar>
              <w:top w:w="80" w:type="dxa"/>
              <w:bottom w:w="80" w:type="dxa"/>
            </w:tcMar>
          </w:tcPr>
          <w:p>
            <w:pPr>
              <w:spacing w:after="40" w:before="40"/>
            </w:pPr>
            <w:r>
              <w:rPr>
                <w:rFonts w:ascii="Georgia" w:hAnsi="Georgia"/>
                <w:sz w:val="19"/>
                <w:color w:val="1E293B"/>
              </w:rPr>
              <w:t>backend/cmd/api</w:t>
            </w:r>
          </w:p>
        </w:tc>
        <w:tc>
          <w:tcPr>
            <w:shd w:val="clear" w:fill="FFFFFF"/>
            <w:tcMar>
              <w:top w:w="80" w:type="dxa"/>
              <w:bottom w:w="80" w:type="dxa"/>
            </w:tcMar>
          </w:tcPr>
          <w:p>
            <w:pPr>
              <w:spacing w:after="40" w:before="40"/>
            </w:pPr>
            <w:r>
              <w:rPr>
                <w:rFonts w:ascii="Georgia" w:hAnsi="Georgia"/>
                <w:sz w:val="19"/>
                <w:color w:val="1E293B"/>
              </w:rPr>
              <w:t>Server bootstrapping, route binding, environment configuration</w:t>
            </w:r>
          </w:p>
        </w:tc>
        <w:tc>
          <w:tcPr>
            <w:shd w:val="clear" w:fill="FFFFFF"/>
            <w:tcMar>
              <w:top w:w="80" w:type="dxa"/>
              <w:bottom w:w="80" w:type="dxa"/>
            </w:tcMar>
          </w:tcPr>
          <w:p>
            <w:pPr>
              <w:spacing w:after="40" w:before="40"/>
            </w:pPr>
            <w:r>
              <w:rPr>
                <w:rFonts w:ascii="Georgia" w:hAnsi="Georgia"/>
                <w:sz w:val="19"/>
                <w:color w:val="1E293B"/>
              </w:rPr>
              <w:t>0.181s</w:t>
            </w:r>
          </w:p>
        </w:tc>
        <w:tc>
          <w:tcPr>
            <w:shd w:val="clear" w:fill="FFFFFF"/>
            <w:tcMar>
              <w:top w:w="80" w:type="dxa"/>
              <w:bottom w:w="80" w:type="dxa"/>
            </w:tcMar>
          </w:tcPr>
          <w:p>
            <w:pPr>
              <w:spacing w:after="40" w:before="40"/>
            </w:pPr>
            <w:r>
              <w:rPr>
                <w:rFonts w:ascii="Georgia" w:hAnsi="Georgia"/>
                <w:sz w:val="19"/>
                <w:color w:val="1E293B"/>
              </w:rPr>
              <w:t>100% PASS</w:t>
            </w:r>
          </w:p>
        </w:tc>
      </w:tr>
      <w:tr>
        <w:tc>
          <w:tcPr>
            <w:shd w:val="clear" w:fill="F8FAFC"/>
            <w:tcMar>
              <w:top w:w="80" w:type="dxa"/>
              <w:bottom w:w="80" w:type="dxa"/>
            </w:tcMar>
          </w:tcPr>
          <w:p>
            <w:pPr>
              <w:spacing w:after="40" w:before="40"/>
            </w:pPr>
            <w:r>
              <w:rPr>
                <w:rFonts w:ascii="Georgia" w:hAnsi="Georgia"/>
                <w:sz w:val="19"/>
                <w:color w:val="1E293B"/>
              </w:rPr>
              <w:t>backend/internal/auth</w:t>
            </w:r>
          </w:p>
        </w:tc>
        <w:tc>
          <w:tcPr>
            <w:shd w:val="clear" w:fill="F8FAFC"/>
            <w:tcMar>
              <w:top w:w="80" w:type="dxa"/>
              <w:bottom w:w="80" w:type="dxa"/>
            </w:tcMar>
          </w:tcPr>
          <w:p>
            <w:pPr>
              <w:spacing w:after="40" w:before="40"/>
            </w:pPr>
            <w:r>
              <w:rPr>
                <w:rFonts w:ascii="Georgia" w:hAnsi="Georgia"/>
                <w:sz w:val="19"/>
                <w:color w:val="1E293B"/>
              </w:rPr>
              <w:t>Bcrypt hashing, JWT cookie issuance, parental consent flow</w:t>
            </w:r>
          </w:p>
        </w:tc>
        <w:tc>
          <w:tcPr>
            <w:shd w:val="clear" w:fill="F8FAFC"/>
            <w:tcMar>
              <w:top w:w="80" w:type="dxa"/>
              <w:bottom w:w="80" w:type="dxa"/>
            </w:tcMar>
          </w:tcPr>
          <w:p>
            <w:pPr>
              <w:spacing w:after="40" w:before="40"/>
            </w:pPr>
            <w:r>
              <w:rPr>
                <w:rFonts w:ascii="Georgia" w:hAnsi="Georgia"/>
                <w:sz w:val="19"/>
                <w:color w:val="1E293B"/>
              </w:rPr>
              <w:t>1.250s</w:t>
            </w:r>
          </w:p>
        </w:tc>
        <w:tc>
          <w:tcPr>
            <w:shd w:val="clear" w:fill="F8FAFC"/>
            <w:tcMar>
              <w:top w:w="80" w:type="dxa"/>
              <w:bottom w:w="80" w:type="dxa"/>
            </w:tcMar>
          </w:tcPr>
          <w:p>
            <w:pPr>
              <w:spacing w:after="40" w:before="40"/>
            </w:pPr>
            <w:r>
              <w:rPr>
                <w:rFonts w:ascii="Georgia" w:hAnsi="Georgia"/>
                <w:sz w:val="19"/>
                <w:color w:val="1E293B"/>
              </w:rPr>
              <w:t>100% PASS</w:t>
            </w:r>
          </w:p>
        </w:tc>
      </w:tr>
      <w:tr>
        <w:tc>
          <w:tcPr>
            <w:shd w:val="clear" w:fill="FFFFFF"/>
            <w:tcMar>
              <w:top w:w="80" w:type="dxa"/>
              <w:bottom w:w="80" w:type="dxa"/>
            </w:tcMar>
          </w:tcPr>
          <w:p>
            <w:pPr>
              <w:spacing w:after="40" w:before="40"/>
            </w:pPr>
            <w:r>
              <w:rPr>
                <w:rFonts w:ascii="Georgia" w:hAnsi="Georgia"/>
                <w:sz w:val="19"/>
                <w:color w:val="1E293B"/>
              </w:rPr>
              <w:t>backend/internal/db</w:t>
            </w:r>
          </w:p>
        </w:tc>
        <w:tc>
          <w:tcPr>
            <w:shd w:val="clear" w:fill="FFFFFF"/>
            <w:tcMar>
              <w:top w:w="80" w:type="dxa"/>
              <w:bottom w:w="80" w:type="dxa"/>
            </w:tcMar>
          </w:tcPr>
          <w:p>
            <w:pPr>
              <w:spacing w:after="40" w:before="40"/>
            </w:pPr>
            <w:r>
              <w:rPr>
                <w:rFonts w:ascii="Georgia" w:hAnsi="Georgia"/>
                <w:sz w:val="19"/>
                <w:color w:val="1E293B"/>
              </w:rPr>
              <w:t>PostgreSQL GORM connection, SQLite fallback, auto-migrations</w:t>
            </w:r>
          </w:p>
        </w:tc>
        <w:tc>
          <w:tcPr>
            <w:shd w:val="clear" w:fill="FFFFFF"/>
            <w:tcMar>
              <w:top w:w="80" w:type="dxa"/>
              <w:bottom w:w="80" w:type="dxa"/>
            </w:tcMar>
          </w:tcPr>
          <w:p>
            <w:pPr>
              <w:spacing w:after="40" w:before="40"/>
            </w:pPr>
            <w:r>
              <w:rPr>
                <w:rFonts w:ascii="Georgia" w:hAnsi="Georgia"/>
                <w:sz w:val="19"/>
                <w:color w:val="1E293B"/>
              </w:rPr>
              <w:t>0.243s</w:t>
            </w:r>
          </w:p>
        </w:tc>
        <w:tc>
          <w:tcPr>
            <w:shd w:val="clear" w:fill="FFFFFF"/>
            <w:tcMar>
              <w:top w:w="80" w:type="dxa"/>
              <w:bottom w:w="80" w:type="dxa"/>
            </w:tcMar>
          </w:tcPr>
          <w:p>
            <w:pPr>
              <w:spacing w:after="40" w:before="40"/>
            </w:pPr>
            <w:r>
              <w:rPr>
                <w:rFonts w:ascii="Georgia" w:hAnsi="Georgia"/>
                <w:sz w:val="19"/>
                <w:color w:val="1E293B"/>
              </w:rPr>
              <w:t>100% PASS</w:t>
            </w:r>
          </w:p>
        </w:tc>
      </w:tr>
      <w:tr>
        <w:tc>
          <w:tcPr>
            <w:shd w:val="clear" w:fill="F8FAFC"/>
            <w:tcMar>
              <w:top w:w="80" w:type="dxa"/>
              <w:bottom w:w="80" w:type="dxa"/>
            </w:tcMar>
          </w:tcPr>
          <w:p>
            <w:pPr>
              <w:spacing w:after="40" w:before="40"/>
            </w:pPr>
            <w:r>
              <w:rPr>
                <w:rFonts w:ascii="Georgia" w:hAnsi="Georgia"/>
                <w:sz w:val="19"/>
                <w:color w:val="1E293B"/>
              </w:rPr>
              <w:t>backend/internal/handlers</w:t>
            </w:r>
          </w:p>
        </w:tc>
        <w:tc>
          <w:tcPr>
            <w:shd w:val="clear" w:fill="F8FAFC"/>
            <w:tcMar>
              <w:top w:w="80" w:type="dxa"/>
              <w:bottom w:w="80" w:type="dxa"/>
            </w:tcMar>
          </w:tcPr>
          <w:p>
            <w:pPr>
              <w:spacing w:after="40" w:before="40"/>
            </w:pPr>
            <w:r>
              <w:rPr>
                <w:rFonts w:ascii="Georgia" w:hAnsi="Georgia"/>
                <w:sz w:val="19"/>
                <w:color w:val="1E293B"/>
              </w:rPr>
              <w:t>Scan parsing, INS lookup, rate limiting, minor compliance</w:t>
            </w:r>
          </w:p>
        </w:tc>
        <w:tc>
          <w:tcPr>
            <w:shd w:val="clear" w:fill="F8FAFC"/>
            <w:tcMar>
              <w:top w:w="80" w:type="dxa"/>
              <w:bottom w:w="80" w:type="dxa"/>
            </w:tcMar>
          </w:tcPr>
          <w:p>
            <w:pPr>
              <w:spacing w:after="40" w:before="40"/>
            </w:pPr>
            <w:r>
              <w:rPr>
                <w:rFonts w:ascii="Georgia" w:hAnsi="Georgia"/>
                <w:sz w:val="19"/>
                <w:color w:val="1E293B"/>
              </w:rPr>
              <w:t>0.843s</w:t>
            </w:r>
          </w:p>
        </w:tc>
        <w:tc>
          <w:tcPr>
            <w:shd w:val="clear" w:fill="F8FAFC"/>
            <w:tcMar>
              <w:top w:w="80" w:type="dxa"/>
              <w:bottom w:w="80" w:type="dxa"/>
            </w:tcMar>
          </w:tcPr>
          <w:p>
            <w:pPr>
              <w:spacing w:after="40" w:before="40"/>
            </w:pPr>
            <w:r>
              <w:rPr>
                <w:rFonts w:ascii="Georgia" w:hAnsi="Georgia"/>
                <w:sz w:val="19"/>
                <w:color w:val="1E293B"/>
              </w:rPr>
              <w:t>100% PASS</w:t>
            </w:r>
          </w:p>
        </w:tc>
      </w:tr>
      <w:tr>
        <w:tc>
          <w:tcPr>
            <w:shd w:val="clear" w:fill="FFFFFF"/>
            <w:tcMar>
              <w:top w:w="80" w:type="dxa"/>
              <w:bottom w:w="80" w:type="dxa"/>
            </w:tcMar>
          </w:tcPr>
          <w:p>
            <w:pPr>
              <w:spacing w:after="40" w:before="40"/>
            </w:pPr>
            <w:r>
              <w:rPr>
                <w:rFonts w:ascii="Georgia" w:hAnsi="Georgia"/>
                <w:sz w:val="19"/>
                <w:color w:val="1E293B"/>
              </w:rPr>
              <w:t>backend/internal/middleware</w:t>
            </w:r>
          </w:p>
        </w:tc>
        <w:tc>
          <w:tcPr>
            <w:shd w:val="clear" w:fill="FFFFFF"/>
            <w:tcMar>
              <w:top w:w="80" w:type="dxa"/>
              <w:bottom w:w="80" w:type="dxa"/>
            </w:tcMar>
          </w:tcPr>
          <w:p>
            <w:pPr>
              <w:spacing w:after="40" w:before="40"/>
            </w:pPr>
            <w:r>
              <w:rPr>
                <w:rFonts w:ascii="Georgia" w:hAnsi="Georgia"/>
                <w:sz w:val="19"/>
                <w:color w:val="1E293B"/>
              </w:rPr>
              <w:t>CORS credentials headers, token-bucket rate limiter</w:t>
            </w:r>
          </w:p>
        </w:tc>
        <w:tc>
          <w:tcPr>
            <w:shd w:val="clear" w:fill="FFFFFF"/>
            <w:tcMar>
              <w:top w:w="80" w:type="dxa"/>
              <w:bottom w:w="80" w:type="dxa"/>
            </w:tcMar>
          </w:tcPr>
          <w:p>
            <w:pPr>
              <w:spacing w:after="40" w:before="40"/>
            </w:pPr>
            <w:r>
              <w:rPr>
                <w:rFonts w:ascii="Georgia" w:hAnsi="Georgia"/>
                <w:sz w:val="19"/>
                <w:color w:val="1E293B"/>
              </w:rPr>
              <w:t>0.949s</w:t>
            </w:r>
          </w:p>
        </w:tc>
        <w:tc>
          <w:tcPr>
            <w:shd w:val="clear" w:fill="FFFFFF"/>
            <w:tcMar>
              <w:top w:w="80" w:type="dxa"/>
              <w:bottom w:w="80" w:type="dxa"/>
            </w:tcMar>
          </w:tcPr>
          <w:p>
            <w:pPr>
              <w:spacing w:after="40" w:before="40"/>
            </w:pPr>
            <w:r>
              <w:rPr>
                <w:rFonts w:ascii="Georgia" w:hAnsi="Georgia"/>
                <w:sz w:val="19"/>
                <w:color w:val="1E293B"/>
              </w:rPr>
              <w:t>100% PASS</w:t>
            </w:r>
          </w:p>
        </w:tc>
      </w:tr>
      <w:tr>
        <w:tc>
          <w:tcPr>
            <w:shd w:val="clear" w:fill="F8FAFC"/>
            <w:tcMar>
              <w:top w:w="80" w:type="dxa"/>
              <w:bottom w:w="80" w:type="dxa"/>
            </w:tcMar>
          </w:tcPr>
          <w:p>
            <w:pPr>
              <w:spacing w:after="40" w:before="40"/>
            </w:pPr>
            <w:r>
              <w:rPr>
                <w:rFonts w:ascii="Georgia" w:hAnsi="Georgia"/>
                <w:sz w:val="19"/>
                <w:color w:val="1E293B"/>
              </w:rPr>
              <w:t>backend/internal/models</w:t>
            </w:r>
          </w:p>
        </w:tc>
        <w:tc>
          <w:tcPr>
            <w:shd w:val="clear" w:fill="F8FAFC"/>
            <w:tcMar>
              <w:top w:w="80" w:type="dxa"/>
              <w:bottom w:w="80" w:type="dxa"/>
            </w:tcMar>
          </w:tcPr>
          <w:p>
            <w:pPr>
              <w:spacing w:after="40" w:before="40"/>
            </w:pPr>
            <w:r>
              <w:rPr>
                <w:rFonts w:ascii="Georgia" w:hAnsi="Georgia"/>
                <w:sz w:val="19"/>
                <w:color w:val="1E293B"/>
              </w:rPr>
              <w:t>Dynamic age derivation, JSONB undeclared nutrients</w:t>
            </w:r>
          </w:p>
        </w:tc>
        <w:tc>
          <w:tcPr>
            <w:shd w:val="clear" w:fill="F8FAFC"/>
            <w:tcMar>
              <w:top w:w="80" w:type="dxa"/>
              <w:bottom w:w="80" w:type="dxa"/>
            </w:tcMar>
          </w:tcPr>
          <w:p>
            <w:pPr>
              <w:spacing w:after="40" w:before="40"/>
            </w:pPr>
            <w:r>
              <w:rPr>
                <w:rFonts w:ascii="Georgia" w:hAnsi="Georgia"/>
                <w:sz w:val="19"/>
                <w:color w:val="1E293B"/>
              </w:rPr>
              <w:t>0.318s</w:t>
            </w:r>
          </w:p>
        </w:tc>
        <w:tc>
          <w:tcPr>
            <w:shd w:val="clear" w:fill="F8FAFC"/>
            <w:tcMar>
              <w:top w:w="80" w:type="dxa"/>
              <w:bottom w:w="80" w:type="dxa"/>
            </w:tcMar>
          </w:tcPr>
          <w:p>
            <w:pPr>
              <w:spacing w:after="40" w:before="40"/>
            </w:pPr>
            <w:r>
              <w:rPr>
                <w:rFonts w:ascii="Georgia" w:hAnsi="Georgia"/>
                <w:sz w:val="19"/>
                <w:color w:val="1E293B"/>
              </w:rPr>
              <w:t>100% PASS</w:t>
            </w:r>
          </w:p>
        </w:tc>
      </w:tr>
      <w:tr>
        <w:tc>
          <w:tcPr>
            <w:shd w:val="clear" w:fill="FFFFFF"/>
            <w:tcMar>
              <w:top w:w="80" w:type="dxa"/>
              <w:bottom w:w="80" w:type="dxa"/>
            </w:tcMar>
          </w:tcPr>
          <w:p>
            <w:pPr>
              <w:spacing w:after="40" w:before="40"/>
            </w:pPr>
            <w:r>
              <w:rPr>
                <w:rFonts w:ascii="Georgia" w:hAnsi="Georgia"/>
                <w:sz w:val="19"/>
                <w:color w:val="1E293B"/>
              </w:rPr>
              <w:t>backend/internal/telemetry</w:t>
            </w:r>
          </w:p>
        </w:tc>
        <w:tc>
          <w:tcPr>
            <w:shd w:val="clear" w:fill="FFFFFF"/>
            <w:tcMar>
              <w:top w:w="80" w:type="dxa"/>
              <w:bottom w:w="80" w:type="dxa"/>
            </w:tcMar>
          </w:tcPr>
          <w:p>
            <w:pPr>
              <w:spacing w:after="40" w:before="40"/>
            </w:pPr>
            <w:r>
              <w:rPr>
                <w:rFonts w:ascii="Georgia" w:hAnsi="Georgia"/>
                <w:sz w:val="19"/>
                <w:color w:val="1E293B"/>
              </w:rPr>
              <w:t>NOVA deductions, Goal Fit trade-offs, SHA-256 signing</w:t>
            </w:r>
          </w:p>
        </w:tc>
        <w:tc>
          <w:tcPr>
            <w:shd w:val="clear" w:fill="FFFFFF"/>
            <w:tcMar>
              <w:top w:w="80" w:type="dxa"/>
              <w:bottom w:w="80" w:type="dxa"/>
            </w:tcMar>
          </w:tcPr>
          <w:p>
            <w:pPr>
              <w:spacing w:after="40" w:before="40"/>
            </w:pPr>
            <w:r>
              <w:rPr>
                <w:rFonts w:ascii="Georgia" w:hAnsi="Georgia"/>
                <w:sz w:val="19"/>
                <w:color w:val="1E293B"/>
              </w:rPr>
              <w:t>0.700s</w:t>
            </w:r>
          </w:p>
        </w:tc>
        <w:tc>
          <w:tcPr>
            <w:shd w:val="clear" w:fill="FFFFFF"/>
            <w:tcMar>
              <w:top w:w="80" w:type="dxa"/>
              <w:bottom w:w="80" w:type="dxa"/>
            </w:tcMar>
          </w:tcPr>
          <w:p>
            <w:pPr>
              <w:spacing w:after="40" w:before="40"/>
            </w:pPr>
            <w:r>
              <w:rPr>
                <w:rFonts w:ascii="Georgia" w:hAnsi="Georgia"/>
                <w:sz w:val="19"/>
                <w:color w:val="1E293B"/>
              </w:rPr>
              <w:t>100% PASS</w:t>
            </w:r>
          </w:p>
        </w:tc>
      </w:tr>
    </w:tbl>
    <w:p>
      <w:pPr>
        <w:spacing w:after="180"/>
      </w:pPr>
    </w:p>
    <w:p>
      <w:r>
        <w:br w:type="page"/>
      </w:r>
    </w:p>
    <w:p>
      <w:pPr>
        <w:pStyle w:val="Heading1"/>
        <w:spacing w:before="360" w:after="180"/>
      </w:pPr>
      <w:r>
        <w:rPr>
          <w:rFonts w:ascii="Georgia" w:hAnsi="Georgia"/>
          <w:b/>
          <w:sz w:val="32"/>
          <w:color w:val="1E3A8A"/>
        </w:rPr>
        <w:t>CHAPTER 4: LIMITATIONS &amp; FUTURE ENHANCEMENTS</w:t>
      </w:r>
    </w:p>
    <w:p>
      <w:pPr>
        <w:pStyle w:val="Heading2"/>
        <w:spacing w:before="240" w:after="120"/>
      </w:pPr>
      <w:r>
        <w:rPr>
          <w:rFonts w:ascii="Georgia" w:hAnsi="Georgia"/>
          <w:b/>
          <w:sz w:val="28"/>
          <w:color w:val="1E293B"/>
        </w:rPr>
        <w:t>4.1 Limitations</w:t>
      </w:r>
    </w:p>
    <w:p>
      <w:pPr>
        <w:spacing w:after="120" w:line="360" w:lineRule="auto"/>
        <w:ind w:left="720" w:hanging="360"/>
      </w:pPr>
      <w:r>
        <w:rPr>
          <w:rFonts w:ascii="Georgia" w:hAnsi="Georgia"/>
          <w:b/>
          <w:color w:val="1E3A8A"/>
          <w:sz w:val="22"/>
        </w:rPr>
        <w:t xml:space="preserve">• </w:t>
      </w:r>
      <w:r>
        <w:rPr>
          <w:rFonts w:ascii="Georgia" w:hAnsi="Georgia"/>
          <w:b/>
          <w:sz w:val="22"/>
          <w:color w:val="0F172A"/>
        </w:rPr>
        <w:t xml:space="preserve">1. Parental Consent Self-Declaration Flow: </w:t>
      </w:r>
      <w:r>
        <w:rPr>
          <w:rFonts w:ascii="Georgia" w:hAnsi="Georgia"/>
          <w:sz w:val="22"/>
          <w:color w:val="1E293B"/>
        </w:rPr>
        <w:t xml:space="preserve">The current minor compliance flow utilizes parental email declarations. Under Section 9 and Rule 11 of the DPDP Act 2023, commercial deployment will require an integrated Verifiable Parental Consent (VPC) gateway with SMS/OTP authentication.</w:t>
      </w:r>
    </w:p>
    <w:p>
      <w:pPr>
        <w:spacing w:after="120" w:line="360" w:lineRule="auto"/>
        <w:ind w:left="720" w:hanging="360"/>
      </w:pPr>
      <w:r>
        <w:rPr>
          <w:rFonts w:ascii="Georgia" w:hAnsi="Georgia"/>
          <w:b/>
          <w:color w:val="1E3A8A"/>
          <w:sz w:val="22"/>
        </w:rPr>
        <w:t xml:space="preserve">• </w:t>
      </w:r>
      <w:r>
        <w:rPr>
          <w:rFonts w:ascii="Georgia" w:hAnsi="Georgia"/>
          <w:b/>
          <w:sz w:val="22"/>
          <w:color w:val="0F172A"/>
        </w:rPr>
        <w:t xml:space="preserve">2. Physical Packaging OCR Degradation: </w:t>
      </w:r>
      <w:r>
        <w:rPr>
          <w:rFonts w:ascii="Georgia" w:hAnsi="Georgia"/>
          <w:sz w:val="22"/>
          <w:color w:val="1E293B"/>
        </w:rPr>
        <w:t xml:space="preserve">Real-world food packaging with curved cylindrical surfaces (e.g., aluminum beverage cans) or glossy, wrinkled plastic wrappers can cause optical text distortion without specialized multi-frame image rectification.</w:t>
      </w:r>
    </w:p>
    <w:p>
      <w:pPr>
        <w:spacing w:after="120" w:line="360" w:lineRule="auto"/>
        <w:ind w:left="720" w:hanging="360"/>
      </w:pPr>
      <w:r>
        <w:rPr>
          <w:rFonts w:ascii="Georgia" w:hAnsi="Georgia"/>
          <w:b/>
          <w:color w:val="1E3A8A"/>
          <w:sz w:val="22"/>
        </w:rPr>
        <w:t xml:space="preserve">• </w:t>
      </w:r>
      <w:r>
        <w:rPr>
          <w:rFonts w:ascii="Georgia" w:hAnsi="Georgia"/>
          <w:b/>
          <w:sz w:val="22"/>
          <w:color w:val="0F172A"/>
        </w:rPr>
        <w:t xml:space="preserve">3. Crowdsourced Barcode Coverage: </w:t>
      </w:r>
      <w:r>
        <w:rPr>
          <w:rFonts w:ascii="Georgia" w:hAnsi="Georgia"/>
          <w:sz w:val="22"/>
          <w:color w:val="1E293B"/>
        </w:rPr>
        <w:t xml:space="preserve">The local database currently indexes standard Indian market items and INS codes; comprehensive national barcode mapping requires continuous crowdsourced expansion.</w:t>
      </w:r>
    </w:p>
    <w:p>
      <w:pPr>
        <w:pStyle w:val="Heading2"/>
        <w:spacing w:before="240" w:after="120"/>
      </w:pPr>
      <w:r>
        <w:rPr>
          <w:rFonts w:ascii="Georgia" w:hAnsi="Georgia"/>
          <w:b/>
          <w:sz w:val="28"/>
          <w:color w:val="1E293B"/>
        </w:rPr>
        <w:t>4.2 Future Enhancements</w:t>
      </w:r>
    </w:p>
    <w:p>
      <w:pPr>
        <w:spacing w:after="120" w:line="360" w:lineRule="auto"/>
        <w:ind w:left="720" w:hanging="360"/>
      </w:pPr>
      <w:r>
        <w:rPr>
          <w:rFonts w:ascii="Georgia" w:hAnsi="Georgia"/>
          <w:b/>
          <w:color w:val="1E3A8A"/>
          <w:sz w:val="22"/>
        </w:rPr>
        <w:t xml:space="preserve">• </w:t>
      </w:r>
      <w:r>
        <w:rPr>
          <w:rFonts w:ascii="Georgia" w:hAnsi="Georgia"/>
          <w:b/>
          <w:sz w:val="22"/>
          <w:color w:val="0F172A"/>
        </w:rPr>
        <w:t xml:space="preserve">1. Native Mobile Edge OCR (CoreML / TensorFlow Lite): </w:t>
      </w:r>
      <w:r>
        <w:rPr>
          <w:rFonts w:ascii="Georgia" w:hAnsi="Georgia"/>
          <w:sz w:val="22"/>
          <w:color w:val="1E293B"/>
        </w:rPr>
        <w:t xml:space="preserve">Deploying quantized neural vision models (TensorFlow Lite / MobileNetV4) directly onto iOS and Android devices for instant offline label scanning without server upload latency.</w:t>
      </w:r>
    </w:p>
    <w:p>
      <w:pPr>
        <w:spacing w:after="120" w:line="360" w:lineRule="auto"/>
        <w:ind w:left="720" w:hanging="360"/>
      </w:pPr>
      <w:r>
        <w:rPr>
          <w:rFonts w:ascii="Georgia" w:hAnsi="Georgia"/>
          <w:b/>
          <w:color w:val="1E3A8A"/>
          <w:sz w:val="22"/>
        </w:rPr>
        <w:t xml:space="preserve">• </w:t>
      </w:r>
      <w:r>
        <w:rPr>
          <w:rFonts w:ascii="Georgia" w:hAnsi="Georgia"/>
          <w:b/>
          <w:sz w:val="22"/>
          <w:color w:val="0F172A"/>
        </w:rPr>
        <w:t xml:space="preserve">2. Vernacular Indian Language Support: </w:t>
      </w:r>
      <w:r>
        <w:rPr>
          <w:rFonts w:ascii="Georgia" w:hAnsi="Georgia"/>
          <w:sz w:val="22"/>
          <w:color w:val="1E293B"/>
        </w:rPr>
        <w:t xml:space="preserve">Expanding plain-language additive translations into Hindi, Gujarati, Tamil, Telugu, and Bengali to broaden accessibility across diverse Indian demographics.</w:t>
      </w:r>
    </w:p>
    <w:p>
      <w:pPr>
        <w:spacing w:after="120" w:line="360" w:lineRule="auto"/>
        <w:ind w:left="720" w:hanging="360"/>
      </w:pPr>
      <w:r>
        <w:rPr>
          <w:rFonts w:ascii="Georgia" w:hAnsi="Georgia"/>
          <w:b/>
          <w:color w:val="1E3A8A"/>
          <w:sz w:val="22"/>
        </w:rPr>
        <w:t xml:space="preserve">• </w:t>
      </w:r>
      <w:r>
        <w:rPr>
          <w:rFonts w:ascii="Georgia" w:hAnsi="Georgia"/>
          <w:b/>
          <w:sz w:val="22"/>
          <w:color w:val="0F172A"/>
        </w:rPr>
        <w:t xml:space="preserve">3. Continuous Barcode Community API: </w:t>
      </w:r>
      <w:r>
        <w:rPr>
          <w:rFonts w:ascii="Georgia" w:hAnsi="Georgia"/>
          <w:sz w:val="22"/>
          <w:color w:val="1E293B"/>
        </w:rPr>
        <w:t xml:space="preserve">Building open crowdsourcing APIs allowing verified users to submit front/back packaging photographs to expand the national database.</w:t>
      </w:r>
    </w:p>
    <w:p>
      <w:pPr>
        <w:spacing w:after="120" w:line="360" w:lineRule="auto"/>
        <w:ind w:left="720" w:hanging="360"/>
      </w:pPr>
      <w:r>
        <w:rPr>
          <w:rFonts w:ascii="Georgia" w:hAnsi="Georgia"/>
          <w:b/>
          <w:color w:val="1E3A8A"/>
          <w:sz w:val="22"/>
        </w:rPr>
        <w:t xml:space="preserve">• </w:t>
      </w:r>
      <w:r>
        <w:rPr>
          <w:rFonts w:ascii="Georgia" w:hAnsi="Georgia"/>
          <w:b/>
          <w:sz w:val="22"/>
          <w:color w:val="0F172A"/>
        </w:rPr>
        <w:t xml:space="preserve">4. Dynamic Micro-Nutrient Deficit Warnings: </w:t>
      </w:r>
      <w:r>
        <w:rPr>
          <w:rFonts w:ascii="Georgia" w:hAnsi="Georgia"/>
          <w:sz w:val="22"/>
          <w:color w:val="1E293B"/>
        </w:rPr>
        <w:t xml:space="preserve">Integrating personalized micronutrient monitoring (e.g., iron, calcium, vitamin D) tailored for consumers with specific clinical deficiencies.</w:t>
      </w:r>
    </w:p>
    <w:p>
      <w:r>
        <w:br w:type="page"/>
      </w:r>
    </w:p>
    <w:p>
      <w:pPr>
        <w:pStyle w:val="Heading1"/>
        <w:spacing w:before="360" w:after="180"/>
      </w:pPr>
      <w:r>
        <w:rPr>
          <w:rFonts w:ascii="Georgia" w:hAnsi="Georgia"/>
          <w:b/>
          <w:sz w:val="32"/>
          <w:color w:val="1E3A8A"/>
        </w:rPr>
        <w:t>CHAPTER 5: CONCLUSION</w:t>
      </w:r>
    </w:p>
    <w:p>
      <w:pPr>
        <w:pStyle w:val="Heading2"/>
        <w:spacing w:before="240" w:after="120"/>
      </w:pPr>
      <w:r>
        <w:rPr>
          <w:rFonts w:ascii="Georgia" w:hAnsi="Georgia"/>
          <w:b/>
          <w:sz w:val="28"/>
          <w:color w:val="1E293B"/>
        </w:rPr>
        <w:t>5.1 Conclusion</w:t>
      </w:r>
    </w:p>
    <w:p>
      <w:pPr>
        <w:spacing w:after="120" w:line="360" w:lineRule="auto"/>
        <w:jc w:val="both"/>
      </w:pPr>
      <w:r>
        <w:rPr>
          <w:rFonts w:ascii="Georgia" w:hAnsi="Georgia"/>
          <w:sz w:val="22"/>
          <w:color w:val="1E293B"/>
        </w:rPr>
        <w:t xml:space="preserve">The BiteLens software group project successfully bridges the critical gap between statutory food labeling regulations and everyday consumer dietary health. By combining a modern Go REST API, relational PostgreSQL persistence, computer vision OCR heuristics, and an open dual-scoring scientific model, BiteLens transforms opaque numerical chemical codes (INS) into actionable, plain-English health intelligence.</w:t>
      </w:r>
    </w:p>
    <w:p>
      <w:pPr>
        <w:spacing w:after="120" w:line="360" w:lineRule="auto"/>
        <w:jc w:val="both"/>
      </w:pPr>
      <w:r>
        <w:rPr>
          <w:rFonts w:ascii="Georgia" w:hAnsi="Georgia"/>
          <w:sz w:val="22"/>
          <w:color w:val="1E293B"/>
        </w:rPr>
        <w:t xml:space="preserve">Rigorous dataset hardening protocols—such as mandatory nutrient basis tracking, undeclared nutrient array management, dynamic minor age validation, and cryptographic SHA-256 audit signatures—ensure that the platform adheres to modern software integrity and data privacy standards. BiteLens establishes a scalable, transparent blueprint for empowering consumers, combating deceptive ultra-processed food marketing, and promoting public nutritional literacy.</w:t>
      </w:r>
    </w:p>
    <w:p>
      <w:pPr>
        <w:pStyle w:val="Heading1"/>
        <w:spacing w:before="360" w:after="180"/>
      </w:pPr>
      <w:r>
        <w:rPr>
          <w:rFonts w:ascii="Georgia" w:hAnsi="Georgia"/>
          <w:b/>
          <w:sz w:val="32"/>
          <w:color w:val="1E3A8A"/>
        </w:rPr>
        <w:t>BIBLIOGRAPHY</w:t>
      </w:r>
    </w:p>
    <w:p>
      <w:pPr>
        <w:spacing w:after="120" w:line="360" w:lineRule="auto"/>
        <w:jc w:val="both"/>
      </w:pPr>
      <w:r>
        <w:rPr>
          <w:rFonts w:ascii="Georgia" w:hAnsi="Georgia"/>
          <w:b/>
          <w:sz w:val="22"/>
          <w:color w:val="0F172A"/>
        </w:rPr>
        <w:t xml:space="preserve">[1] </w:t>
      </w:r>
      <w:r>
        <w:rPr>
          <w:rFonts w:ascii="Georgia" w:hAnsi="Georgia"/>
          <w:sz w:val="22"/>
          <w:color w:val="1E293B"/>
        </w:rPr>
        <w:t xml:space="preserve">Food Safety and Standards Authority of India (FSSAI). (2020). Food Safety and Standards (Labelling and Display) Regulations, 2020. Ministry of Health and Family Welfare, Government of India.</w:t>
      </w:r>
    </w:p>
    <w:p>
      <w:pPr>
        <w:spacing w:after="120" w:line="360" w:lineRule="auto"/>
        <w:jc w:val="both"/>
      </w:pPr>
      <w:r>
        <w:rPr>
          <w:rFonts w:ascii="Georgia" w:hAnsi="Georgia"/>
          <w:b/>
          <w:sz w:val="22"/>
          <w:color w:val="0F172A"/>
        </w:rPr>
        <w:t xml:space="preserve">[2] </w:t>
      </w:r>
      <w:r>
        <w:rPr>
          <w:rFonts w:ascii="Georgia" w:hAnsi="Georgia"/>
          <w:sz w:val="22"/>
          <w:color w:val="1E293B"/>
        </w:rPr>
        <w:t xml:space="preserve">Monteiro, C. A., Cannon, G., Levy, R. B., et al. (2019). 'Ultra-processed foods: what they are and how to identify them.' Public Health Nutrition, 22(5), pp. 936–941.</w:t>
      </w:r>
    </w:p>
    <w:p>
      <w:pPr>
        <w:spacing w:after="120" w:line="360" w:lineRule="auto"/>
        <w:jc w:val="both"/>
      </w:pPr>
      <w:r>
        <w:rPr>
          <w:rFonts w:ascii="Georgia" w:hAnsi="Georgia"/>
          <w:b/>
          <w:sz w:val="22"/>
          <w:color w:val="0F172A"/>
        </w:rPr>
        <w:t xml:space="preserve">[3] </w:t>
      </w:r>
      <w:r>
        <w:rPr>
          <w:rFonts w:ascii="Georgia" w:hAnsi="Georgia"/>
          <w:sz w:val="22"/>
          <w:color w:val="1E293B"/>
        </w:rPr>
        <w:t xml:space="preserve">Mifflin, M. D., St Jeor, S. T., Hill, L. A., et al. (1990). 'A new predictive equation for resting energy expenditure in healthy individuals.' The American Journal of Clinical Nutrition, 51(2), pp. 241–247.</w:t>
      </w:r>
    </w:p>
    <w:p>
      <w:pPr>
        <w:spacing w:after="120" w:line="360" w:lineRule="auto"/>
        <w:jc w:val="both"/>
      </w:pPr>
      <w:r>
        <w:rPr>
          <w:rFonts w:ascii="Georgia" w:hAnsi="Georgia"/>
          <w:b/>
          <w:sz w:val="22"/>
          <w:color w:val="0F172A"/>
        </w:rPr>
        <w:t xml:space="preserve">[4] </w:t>
      </w:r>
      <w:r>
        <w:rPr>
          <w:rFonts w:ascii="Georgia" w:hAnsi="Georgia"/>
          <w:sz w:val="22"/>
          <w:color w:val="1E293B"/>
        </w:rPr>
        <w:t xml:space="preserve">World Health Organization (WHO) Expert Consultation. (2004). 'Appropriate body-mass index for Asian populations and its implications for policy and intervention strategies.' The Lancet, 363(9403), pp. 157–163.</w:t>
      </w:r>
    </w:p>
    <w:p>
      <w:pPr>
        <w:spacing w:after="120" w:line="360" w:lineRule="auto"/>
        <w:jc w:val="both"/>
      </w:pPr>
      <w:r>
        <w:rPr>
          <w:rFonts w:ascii="Georgia" w:hAnsi="Georgia"/>
          <w:b/>
          <w:sz w:val="22"/>
          <w:color w:val="0F172A"/>
        </w:rPr>
        <w:t xml:space="preserve">[5] </w:t>
      </w:r>
      <w:r>
        <w:rPr>
          <w:rFonts w:ascii="Georgia" w:hAnsi="Georgia"/>
          <w:sz w:val="22"/>
          <w:color w:val="1E293B"/>
        </w:rPr>
        <w:t xml:space="preserve">Ministry of Law and Justice, Government of India. (2023). The Digital Personal Data Protection Act, 2023 (DPDP Act). The Gazette of India.</w:t>
      </w:r>
    </w:p>
    <w:p>
      <w:pPr>
        <w:spacing w:after="120" w:line="360" w:lineRule="auto"/>
        <w:jc w:val="both"/>
      </w:pPr>
      <w:r>
        <w:rPr>
          <w:rFonts w:ascii="Georgia" w:hAnsi="Georgia"/>
          <w:b/>
          <w:sz w:val="22"/>
          <w:color w:val="0F172A"/>
        </w:rPr>
        <w:t xml:space="preserve">[6] </w:t>
      </w:r>
      <w:r>
        <w:rPr>
          <w:rFonts w:ascii="Georgia" w:hAnsi="Georgia"/>
          <w:sz w:val="22"/>
          <w:color w:val="1E293B"/>
        </w:rPr>
        <w:t xml:space="preserve">Codex Alimentarius Commission. (2021). Class Names and the International Numbering System for Food Additives (CXG 36-1989). Food and Agriculture Organization (FAO) / World Health Organization.</w:t>
      </w:r>
    </w:p>
    <w:p>
      <w:pPr>
        <w:spacing w:after="120" w:line="360" w:lineRule="auto"/>
        <w:jc w:val="both"/>
      </w:pPr>
      <w:r>
        <w:rPr>
          <w:rFonts w:ascii="Georgia" w:hAnsi="Georgia"/>
          <w:b/>
          <w:sz w:val="22"/>
          <w:color w:val="0F172A"/>
        </w:rPr>
        <w:t xml:space="preserve">[7] </w:t>
      </w:r>
      <w:r>
        <w:rPr>
          <w:rFonts w:ascii="Georgia" w:hAnsi="Georgia"/>
          <w:sz w:val="22"/>
          <w:color w:val="1E293B"/>
        </w:rPr>
        <w:t xml:space="preserve">Donovan, A. A., &amp; Kernighan, B. W. (2015). The Go Programming Language. Addison-Wesley Professional.</w:t>
      </w:r>
    </w:p>
    <w:p>
      <w:pPr>
        <w:spacing w:after="120" w:line="360" w:lineRule="auto"/>
        <w:jc w:val="both"/>
      </w:pPr>
      <w:r>
        <w:rPr>
          <w:rFonts w:ascii="Georgia" w:hAnsi="Georgia"/>
          <w:b/>
          <w:sz w:val="22"/>
          <w:color w:val="0F172A"/>
        </w:rPr>
        <w:t xml:space="preserve">[8] </w:t>
      </w:r>
      <w:r>
        <w:rPr>
          <w:rFonts w:ascii="Georgia" w:hAnsi="Georgia"/>
          <w:sz w:val="22"/>
          <w:color w:val="1E293B"/>
        </w:rPr>
        <w:t xml:space="preserve">Srour, B., Fezeu, L. K., Kesse-Guyot, E., et al. (2019). 'Ultra-processed food intake and risk of cardiovascular disease: prospective cohort study (NutriNet-Santé).' The British Medical Journal (BMJ), 365:l1451.</w:t>
      </w:r>
    </w:p>
    <w:p>
      <w:pPr>
        <w:spacing w:after="120" w:line="360" w:lineRule="auto"/>
        <w:jc w:val="both"/>
      </w:pPr>
      <w:r>
        <w:rPr>
          <w:rFonts w:ascii="Georgia" w:hAnsi="Georgia"/>
          <w:b/>
          <w:sz w:val="22"/>
          <w:color w:val="0F172A"/>
        </w:rPr>
        <w:t xml:space="preserve">[9] </w:t>
      </w:r>
      <w:r>
        <w:rPr>
          <w:rFonts w:ascii="Georgia" w:hAnsi="Georgia"/>
          <w:sz w:val="22"/>
          <w:color w:val="1E293B"/>
        </w:rPr>
        <w:t xml:space="preserve">European Commission. (2022). Nutri-Score: Frequently Asked Questions. Directorate-General for Health and Food Safety.</w:t>
      </w:r>
    </w:p>
    <w:p>
      <w:pPr>
        <w:spacing w:after="120" w:line="360" w:lineRule="auto"/>
        <w:jc w:val="both"/>
      </w:pPr>
      <w:r>
        <w:rPr>
          <w:rFonts w:ascii="Georgia" w:hAnsi="Georgia"/>
          <w:b/>
          <w:sz w:val="22"/>
          <w:color w:val="0F172A"/>
        </w:rPr>
        <w:t xml:space="preserve">[10] </w:t>
      </w:r>
      <w:r>
        <w:rPr>
          <w:rFonts w:ascii="Georgia" w:hAnsi="Georgia"/>
          <w:sz w:val="22"/>
          <w:color w:val="1E293B"/>
        </w:rPr>
        <w:t xml:space="preserve">Indus University. (2025). Guidelines for Software Group Project (SGP) Course B.Tech Computer Engineering. Institute of Technology and Engineering, Ahmedabad.</w:t>
      </w:r>
    </w:p>
    <w:sectPr>
      <w:headerReference r:id="rId10" w:type="default"/>
      <w:footerReference r:id="rId11" w:type="default"/>
      <w:type w:val="nextPage"/>
      <w:pgSz w:h="16840" w:w="11910" w:orient="portrait"/>
      <w:pgMar w:bottom="280" w:top="1360" w:left="1460" w:right="620" w:header="0" w:footer="0"/>
      <w:titlePg/>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footer1.xml><?xml version="1.0" encoding="utf-8"?>
<w:ftr xmlns:w="http://schemas.openxmlformats.org/wordprocessingml/2006/main">
  <w:p>
    <w:pPr>
      <w:jc w:val="center"/>
    </w:pPr>
    <w:r>
      <w:rPr>
        <w:rFonts w:ascii="Georgia" w:hAnsi="Georgia"/>
        <w:sz w:val="20"/>
        <w:color w:val="64748B"/>
      </w:rPr>
      <w:fldChar w:fldCharType="begin"/>
    </w:r>
    <w:r>
      <w:rPr>
        <w:rFonts w:ascii="Georgia" w:hAnsi="Georgia"/>
        <w:sz w:val="20"/>
        <w:color w:val="64748B"/>
      </w:rPr>
      <w:instrText xml:space="preserve"> PAGE </w:instrText>
    </w:r>
    <w:r>
      <w:rPr>
        <w:rFonts w:ascii="Georgia" w:hAnsi="Georgia"/>
        <w:sz w:val="20"/>
        <w:color w:val="64748B"/>
      </w:rPr>
      <w:fldChar w:fldCharType="separate"/>
    </w:r>
    <w:r>
      <w:rPr>
        <w:rFonts w:ascii="Georgia" w:hAnsi="Georgia"/>
        <w:sz w:val="20"/>
        <w:color w:val="64748B"/>
      </w:rPr>
      <w:t>1</w:t>
    </w:r>
    <w:r>
      <w:rPr>
        <w:rFonts w:ascii="Georgia" w:hAnsi="Georgia"/>
        <w:sz w:val="20"/>
        <w:color w:val="64748B"/>
      </w:rPr>
      <w:fldChar w:fldCharType="end"/>
    </w:r>
  </w:p>
</w:ftr>
</file>

<file path=word/header1.xml><?xml version="1.0" encoding="utf-8"?>
<w:hdr xmlns:w="http://schemas.openxmlformats.org/wordprocessingml/2006/main">
  <w:p>
    <w:pPr>
      <w:pBdr>
        <w:bottom w:val="single" w:sz="4" w:space="4" w:color="CBD5E1"/>
      </w:pBdr>
      <w:jc w:val="right"/>
      <w:rPr>
        <w:rFonts w:ascii="Georgia" w:hAnsi="Georgia"/>
        <w:sz w:val="18"/>
        <w:color w:val="94A3B8"/>
      </w:rPr>
    </w:pPr>
    <w:r>
      <w:rPr>
        <w:rFonts w:ascii="Georgia" w:hAnsi="Georgia"/>
        <w:sz w:val="18"/>
        <w:color w:val="94A3B8"/>
      </w:rPr>
      <w:t>BiteLens: Software Group Project Report — Indus University (2026)</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 w:lineRule="auto"/>
      <w:ind w:left="4386"/>
    </w:pPr>
    <w:rPr>
      <w:b w:val="1"/>
      <w:bCs w:val="1"/>
      <w:sz w:val="56"/>
      <w:szCs w:val="56"/>
    </w:rPr>
  </w:style>
  <w:style w:type="paragraph" w:styleId="Heading2">
    <w:name w:val="heading 2"/>
    <w:basedOn w:val="Normal"/>
    <w:next w:val="Normal"/>
    <w:pPr>
      <w:ind w:left="4658" w:hanging="361.0000000000002"/>
    </w:pPr>
    <w:rPr>
      <w:b w:val="1"/>
      <w:bCs w:val="1"/>
      <w:sz w:val="28"/>
      <w:szCs w:val="28"/>
    </w:rPr>
  </w:style>
  <w:style w:type="paragraph" w:styleId="Heading3">
    <w:name w:val="heading 3"/>
    <w:basedOn w:val="Normal"/>
    <w:next w:val="Normal"/>
    <w:pPr>
      <w:ind w:left="2441" w:right="2918"/>
      <w:jc w:val="center"/>
    </w:pPr>
    <w:rPr>
      <w:sz w:val="28"/>
      <w:szCs w:val="28"/>
    </w:rPr>
  </w:style>
  <w:style w:type="paragraph" w:styleId="Heading4">
    <w:name w:val="heading 4"/>
    <w:basedOn w:val="Normal"/>
    <w:next w:val="Normal"/>
    <w:pPr>
      <w:spacing w:before="1" w:lineRule="auto"/>
      <w:ind w:left="2791"/>
    </w:pPr>
    <w:rPr>
      <w:i w:val="1"/>
      <w:iCs w:val="1"/>
      <w:sz w:val="28"/>
      <w:szCs w:val="28"/>
    </w:rPr>
  </w:style>
  <w:style w:type="paragraph" w:styleId="Heading5">
    <w:name w:val="heading 5"/>
    <w:basedOn w:val="Normal"/>
    <w:next w:val="Normal"/>
    <w:pPr>
      <w:spacing w:before="216" w:lineRule="auto"/>
      <w:ind w:left="340"/>
    </w:pPr>
    <w:rPr>
      <w:b w:val="1"/>
      <w:bCs w:val="1"/>
      <w:sz w:val="26"/>
      <w:szCs w:val="26"/>
    </w:rPr>
  </w:style>
  <w:style w:type="paragraph" w:styleId="Heading6">
    <w:name w:val="heading 6"/>
    <w:basedOn w:val="Normal"/>
    <w:next w:val="Normal"/>
    <w:pPr>
      <w:ind w:left="1919" w:hanging="721"/>
    </w:pPr>
    <w:rPr>
      <w:b w:val="1"/>
      <w:bCs w:val="1"/>
      <w:sz w:val="24"/>
      <w:szCs w:val="24"/>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www.indusuni.ac.in/"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