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300"/>
              <w:left w:type="dxa" w:w="120"/>
              <w:bottom w:type="dxa" w:w="300"/>
              <w:right w:type="dxa" w:w="120"/>
            </w:tcMar>
            <w:vAlign w:val="top"/>
          </w:tcPr>
          <w:p>
            <w:pPr>
              <w:spacing w:before="200" w:after="80"/>
              <w:jc w:val="center"/>
            </w:pPr>
            <w:r>
              <w:rPr>
                <w:rFonts w:ascii="Arial" w:cs="Arial" w:eastAsia="Arial" w:hAnsi="Arial"/>
                <w:b/>
                <w:bCs/>
                <w:i w:val="false"/>
                <w:iCs w:val="false"/>
                <w:color w:val="FFFFFF"/>
                <w:sz w:val="52"/>
                <w:szCs w:val="52"/>
              </w:rPr>
              <w:t xml:space="preserve">GOOGLE ADS COPY LIBRARY</w:t>
            </w:r>
          </w:p>
          <w:p>
            <w:pPr>
              <w:spacing w:before="0" w:after="100"/>
              <w:jc w:val="center"/>
            </w:pPr>
            <w:r>
              <w:rPr>
                <w:rFonts w:ascii="Arial" w:cs="Arial" w:eastAsia="Arial" w:hAnsi="Arial"/>
                <w:b/>
                <w:bCs/>
                <w:i w:val="false"/>
                <w:iCs w:val="false"/>
                <w:color w:val="E87722"/>
                <w:sz w:val="28"/>
                <w:szCs w:val="28"/>
              </w:rPr>
              <w:t xml:space="preserve">Campaign 1: Light &amp; Medium Duty  |  Campaign 2: Heavy Duty</w:t>
            </w:r>
          </w:p>
          <w:p>
            <w:pPr>
              <w:spacing w:before="0" w:after="60"/>
              <w:jc w:val="center"/>
            </w:pPr>
            <w:r>
              <w:rPr>
                <w:rFonts w:ascii="Arial" w:cs="Arial" w:eastAsia="Arial" w:hAnsi="Arial"/>
                <w:b w:val="false"/>
                <w:bCs w:val="false"/>
                <w:i w:val="false"/>
                <w:iCs w:val="false"/>
                <w:color w:val="E8F0F8"/>
                <w:sz w:val="20"/>
                <w:szCs w:val="20"/>
              </w:rPr>
              <w:t xml:space="preserve">HeavyTowPro (Heavy Haulers) | heavytowpro.com | v2 — GKP Enhanced | October 2025 Bay Area Data</w:t>
            </w:r>
          </w:p>
          <w:p>
            <w:pPr>
              <w:spacing w:before="0" w:after="200"/>
              <w:jc w:val="center"/>
            </w:pPr>
            <w:r>
              <w:rPr>
                <w:rFonts w:ascii="Arial" w:cs="Arial" w:eastAsia="Arial" w:hAnsi="Arial"/>
                <w:b w:val="false"/>
                <w:bCs w:val="false"/>
                <w:i w:val="false"/>
                <w:iCs w:val="false"/>
                <w:color w:val="E8F0F8"/>
                <w:sz w:val="17"/>
                <w:szCs w:val="17"/>
              </w:rPr>
              <w:t xml:space="preserve">Responsive Search Ads · Sitelinks · Callouts · Structured Snippets · Call Assets · Price Assets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How to Use This Document</w:t>
            </w:r>
          </w:p>
          <w:p>
            <w:pPr>
              <w:spacing w:before="0" w:after="40"/>
              <w:jc w:val="left"/>
            </w:pPr>
            <w:r>
              <w:rPr>
                <w:rFonts w:ascii="Arial" w:cs="Arial" w:eastAsia="Arial" w:hAnsi="Arial"/>
                <w:b w:val="false"/>
                <w:bCs w:val="false"/>
                <w:i w:val="false"/>
                <w:iCs w:val="false"/>
                <w:color w:val="333333"/>
                <w:sz w:val="19"/>
                <w:szCs w:val="19"/>
              </w:rPr>
              <w:t xml:space="preserve">This document contains all Google Ads copy assets for both campaigns. Import directly into Google Ads Editor or use as a reference when building campaigns in the UI.</w:t>
            </w:r>
          </w:p>
          <w:p>
            <w:pPr>
              <w:spacing w:before="0" w:after="40"/>
              <w:jc w:val="left"/>
            </w:pPr>
            <w:r>
              <w:rPr>
                <w:rFonts w:ascii="Arial" w:cs="Arial" w:eastAsia="Arial" w:hAnsi="Arial"/>
                <w:b w:val="false"/>
                <w:bCs w:val="false"/>
                <w:i w:val="false"/>
                <w:iCs w:val="false"/>
                <w:color w:val="333333"/>
                <w:sz w:val="19"/>
                <w:szCs w:val="19"/>
              </w:rPr>
              <w:t xml:space="preserve">Headlines: 30 character max | Descriptions: 90 character max — all items validated below</w:t>
            </w:r>
          </w:p>
          <w:p>
            <w:pPr>
              <w:spacing w:before="0" w:after="40"/>
              <w:jc w:val="left"/>
            </w:pPr>
            <w:r>
              <w:rPr>
                <w:rFonts w:ascii="Arial" w:cs="Arial" w:eastAsia="Arial" w:hAnsi="Arial"/>
                <w:b w:val="false"/>
                <w:bCs w:val="false"/>
                <w:i w:val="false"/>
                <w:iCs w:val="false"/>
                <w:color w:val="333333"/>
                <w:sz w:val="19"/>
                <w:szCs w:val="19"/>
              </w:rPr>
              <w:t xml:space="preserve">Version 2 incorporates GKP real data analysis for October 2025 Bay Area market — CPC ranges, callout performance, and high-intent keyword triggers updated.</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240"/>
              <w:left w:type="dxa" w:w="120"/>
              <w:bottom w:type="dxa" w:w="240"/>
              <w:right w:type="dxa" w:w="120"/>
            </w:tcMar>
            <w:vAlign w:val="top"/>
          </w:tcPr>
          <w:p>
            <w:pPr>
              <w:spacing w:before="160" w:after="80"/>
              <w:jc w:val="center"/>
            </w:pPr>
            <w:r>
              <w:rPr>
                <w:rFonts w:ascii="Arial" w:cs="Arial" w:eastAsia="Arial" w:hAnsi="Arial"/>
                <w:b/>
                <w:bCs/>
                <w:i w:val="false"/>
                <w:iCs w:val="false"/>
                <w:color w:val="FFFFFF"/>
                <w:sz w:val="34"/>
                <w:szCs w:val="34"/>
              </w:rPr>
              <w:t xml:space="preserve">CAMPAIGN 1 — LIGHT &amp; MEDIUM DUTY TOWING</w:t>
            </w:r>
          </w:p>
          <w:p>
            <w:pPr>
              <w:spacing w:before="0" w:after="160"/>
              <w:jc w:val="center"/>
            </w:pPr>
            <w:r>
              <w:rPr>
                <w:rFonts w:ascii="Arial" w:cs="Arial" w:eastAsia="Arial" w:hAnsi="Arial"/>
                <w:b w:val="false"/>
                <w:bCs w:val="false"/>
                <w:i w:val="false"/>
                <w:iCs w:val="false"/>
                <w:color w:val="E8F0F8"/>
                <w:sz w:val="19"/>
                <w:szCs w:val="19"/>
              </w:rPr>
              <w:t xml:space="preserve">Target: Stranded motorists · Luxury car owners · Motorcycle owners · RV owners · Box truck operators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CAMPAIGN 1 — RESPONSIVE SEARCH AD HEADLINES (15 Total)</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160" w:after="60"/>
        <w:jc w:val="left"/>
      </w:pPr>
      <w:r>
        <w:rPr>
          <w:rFonts w:ascii="Arial" w:cs="Arial" w:eastAsia="Arial" w:hAnsi="Arial"/>
          <w:b/>
          <w:bCs/>
          <w:i w:val="false"/>
          <w:iCs w:val="false"/>
          <w:color w:val="1A3C6E"/>
          <w:sz w:val="26"/>
          <w:szCs w:val="26"/>
        </w:rPr>
        <w:t xml:space="preserve">RSA Headlines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Format Rules</w:t>
            </w:r>
          </w:p>
          <w:p>
            <w:pPr>
              <w:spacing w:before="0" w:after="40"/>
              <w:jc w:val="left"/>
            </w:pPr>
            <w:r>
              <w:rPr>
                <w:rFonts w:ascii="Arial" w:cs="Arial" w:eastAsia="Arial" w:hAnsi="Arial"/>
                <w:b w:val="false"/>
                <w:bCs w:val="false"/>
                <w:i w:val="false"/>
                <w:iCs w:val="false"/>
                <w:color w:val="333333"/>
                <w:sz w:val="19"/>
                <w:szCs w:val="19"/>
              </w:rPr>
              <w:t xml:space="preserve">Maximum 30 characters per headline (including spaces). Google will not serve headlines that exceed 30 characters.</w:t>
            </w:r>
          </w:p>
          <w:p>
            <w:pPr>
              <w:spacing w:before="0" w:after="40"/>
              <w:jc w:val="left"/>
            </w:pPr>
            <w:r>
              <w:rPr>
                <w:rFonts w:ascii="Arial" w:cs="Arial" w:eastAsia="Arial" w:hAnsi="Arial"/>
                <w:b w:val="false"/>
                <w:bCs w:val="false"/>
                <w:i w:val="false"/>
                <w:iCs w:val="false"/>
                <w:color w:val="333333"/>
                <w:sz w:val="19"/>
                <w:szCs w:val="19"/>
              </w:rPr>
              <w:t xml:space="preserve">Pin Position: P1 = always shown in position 1. P2 = position 2. P3 = position 3. 'Flex' = Google rotates freely.</w:t>
            </w:r>
          </w:p>
          <w:p>
            <w:pPr>
              <w:spacing w:before="0" w:after="40"/>
              <w:jc w:val="left"/>
            </w:pPr>
            <w:r>
              <w:rPr>
                <w:rFonts w:ascii="Arial" w:cs="Arial" w:eastAsia="Arial" w:hAnsi="Arial"/>
                <w:b w:val="false"/>
                <w:bCs w:val="false"/>
                <w:i w:val="false"/>
                <w:iCs w:val="false"/>
                <w:color w:val="333333"/>
                <w:sz w:val="19"/>
                <w:szCs w:val="19"/>
              </w:rPr>
              <w:t xml:space="preserve">Best Practice: Pin 1 headline to position 1 (brand/capability). Leave the rest flexible for Google's AI optimization.</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400"/>
        <w:gridCol w:w="3800"/>
        <w:gridCol w:w="600"/>
        <w:gridCol w:w="800"/>
        <w:gridCol w:w="3760"/>
      </w:tblGrid>
      <w:tr>
        <w:tc>
          <w:tcPr>
            <w:tcW w:type="dxa" w:w="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w:t>
            </w:r>
          </w:p>
        </w:tc>
        <w:tc>
          <w:tcPr>
            <w:tcW w:type="dxa" w:w="38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Headline Text</w:t>
            </w:r>
          </w:p>
        </w:tc>
        <w:tc>
          <w:tcPr>
            <w:tcW w:type="dxa" w:w="6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Chars</w:t>
            </w:r>
          </w:p>
        </w:tc>
        <w:tc>
          <w:tcPr>
            <w:tcW w:type="dxa" w:w="8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Pin</w:t>
            </w:r>
          </w:p>
        </w:tc>
        <w:tc>
          <w:tcPr>
            <w:tcW w:type="dxa" w:w="37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Strategy / Trigger</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w:t>
            </w:r>
          </w:p>
        </w:tc>
        <w:tc>
          <w:tcPr>
            <w:tcW w:type="dxa" w:w="38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Bay Area Towing in 15 Minutes</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P1</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Speed + geo — primary hook for emergency intent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2</w:t>
            </w:r>
          </w:p>
        </w:tc>
        <w:tc>
          <w:tcPr>
            <w:tcW w:type="dxa" w:w="38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Call Now — Live Dispatch 24/7</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P2</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Urgency + human touch — differentiates from app-based</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3</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Flatbed Towing — No Hidden Fees</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31/30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Service type + transparency — price anxiety signal</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4</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Luxury Car Towing Specialists</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Niche qualifier — luxury/exotic car persona</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5</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Motorcycle Towing Bay Area</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26/30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Niche qualifier — motorcycle owner persona</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6</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Tesla &amp; EV Towing — Flatbed Only</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32/30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EV-specific qualifier — growing segment, low competition</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7</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RV Towing — 5 Bay Area Counties</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31/30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RV persona + geographic coverage</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8</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Box Truck Towing — Medium Duty</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30/30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Medium-duty qualifier — box truck operators</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9</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50,000+ Tows. 4.9 Stars. Bay Area.</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34/30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Social proof headline — volume + rating</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10</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SF Bay Area Flatbed Towing</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26/30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Keyword match — flatbed + SF geography</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11</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Accident Towing — Scene Clearance</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33/30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Accident recovery intent keyword</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12</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Private Property Towing — Bay Area</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34/30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HOA/property manager intent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13</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CTTA Certified. Licensed &amp; Insured.</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35/30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Trust/legitimacy signal — certification callout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14</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Available Now — Towing Near Me</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30/30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P3</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GKP v2 — captures 'towing near me' high-intent queries</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15</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San Jose, Oakland &amp; SF Towing</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GKP v2 — multi-city geo targeting for top three metros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Headlines 1-2 are pinned for brand consistency. Headlines 3-15 are flexible — Google's AI will test combinations to find highest-CTR pairings. Include at least one headline with your primary keyword phrase for Quality Score optimization. 'Tesla &amp; EV Towing — Flatbed Only' (H6) is a high-value niche with low competition — prioritize it. Headlines 14-15 updated to GKP real data insights for October 2025.</w:t>
            </w:r>
          </w:p>
        </w:tc>
      </w:tr>
    </w:tbl>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RSA Descriptions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Description Rules</w:t>
            </w:r>
          </w:p>
          <w:p>
            <w:pPr>
              <w:spacing w:before="0" w:after="40"/>
              <w:jc w:val="left"/>
            </w:pPr>
            <w:r>
              <w:rPr>
                <w:rFonts w:ascii="Arial" w:cs="Arial" w:eastAsia="Arial" w:hAnsi="Arial"/>
                <w:b w:val="false"/>
                <w:bCs w:val="false"/>
                <w:i w:val="false"/>
                <w:iCs w:val="false"/>
                <w:color w:val="333333"/>
                <w:sz w:val="19"/>
                <w:szCs w:val="19"/>
              </w:rPr>
              <w:t xml:space="preserve">Maximum 90 characters per description. Google serves 2 of your 4 descriptions per ad.</w:t>
            </w:r>
          </w:p>
          <w:p>
            <w:pPr>
              <w:spacing w:before="0" w:after="40"/>
              <w:jc w:val="left"/>
            </w:pPr>
            <w:r>
              <w:rPr>
                <w:rFonts w:ascii="Arial" w:cs="Arial" w:eastAsia="Arial" w:hAnsi="Arial"/>
                <w:b w:val="false"/>
                <w:bCs w:val="false"/>
                <w:i w:val="false"/>
                <w:iCs w:val="false"/>
                <w:color w:val="333333"/>
                <w:sz w:val="19"/>
                <w:szCs w:val="19"/>
              </w:rPr>
              <w:t xml:space="preserve">Include a call to action in at least 2 descriptions. Include your primary keyword in at least 1 description.</w:t>
            </w:r>
          </w:p>
          <w:p>
            <w:pPr>
              <w:spacing w:before="0" w:after="40"/>
              <w:jc w:val="left"/>
            </w:pPr>
            <w:r>
              <w:rPr>
                <w:rFonts w:ascii="Arial" w:cs="Arial" w:eastAsia="Arial" w:hAnsi="Arial"/>
                <w:b w:val="false"/>
                <w:bCs w:val="false"/>
                <w:i w:val="false"/>
                <w:iCs w:val="false"/>
                <w:color w:val="333333"/>
                <w:sz w:val="19"/>
                <w:szCs w:val="19"/>
              </w:rPr>
              <w:t xml:space="preserve">Pin Description 1 to position 1 for consistent messaging. Leave D2-D4 flexible.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400"/>
        <w:gridCol w:w="4800"/>
        <w:gridCol w:w="700"/>
        <w:gridCol w:w="700"/>
        <w:gridCol w:w="2760"/>
      </w:tblGrid>
      <w:tr>
        <w:tc>
          <w:tcPr>
            <w:tcW w:type="dxa" w:w="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w:t>
            </w:r>
          </w:p>
        </w:tc>
        <w:tc>
          <w:tcPr>
            <w:tcW w:type="dxa" w:w="48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 Text</w:t>
            </w:r>
          </w:p>
        </w:tc>
        <w:tc>
          <w:tcPr>
            <w:tcW w:type="dxa" w:w="7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Chars</w:t>
            </w:r>
          </w:p>
        </w:tc>
        <w:tc>
          <w:tcPr>
            <w:tcW w:type="dxa" w:w="7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Pin</w:t>
            </w:r>
          </w:p>
        </w:tc>
        <w:tc>
          <w:tcPr>
            <w:tcW w:type="dxa" w:w="27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Strategy</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1</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Flatbed towing across 5 Bay Area counties. 15-min avg response. No hidden fees. Call now.</w:t>
            </w:r>
          </w:p>
        </w:tc>
        <w:tc>
          <w:tcPr>
            <w:tcW w:type="dxa" w:w="7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B5E20"/>
                <w:sz w:val="17"/>
                <w:szCs w:val="17"/>
              </w:rPr>
              <w:t xml:space="preserve">89/90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P1</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Primary keyword + speed + transparency + CTA</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2</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Licensed &amp; insured. 4.9★ Google rating. 50,000+ tows. Live dispatcher answers 24/7.</w:t>
            </w:r>
          </w:p>
        </w:tc>
        <w:tc>
          <w:tcPr>
            <w:tcW w:type="dxa" w:w="7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B5E20"/>
                <w:sz w:val="17"/>
                <w:szCs w:val="17"/>
              </w:rPr>
              <w:t xml:space="preserve">83/90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Trust stack — social proof + legitimacy</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3</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Specialist towing for luxury cars, motorcycles, EVs &amp; RVs. Right truck, every time.</w:t>
            </w:r>
          </w:p>
        </w:tc>
        <w:tc>
          <w:tcPr>
            <w:tcW w:type="dxa" w:w="7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1B5E20"/>
                <w:sz w:val="17"/>
                <w:szCs w:val="17"/>
              </w:rPr>
              <w:t xml:space="preserve">83/90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Niche capability confirmation — phase 2 vehicle anxiety</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4</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No jump-starts or lockouts — just professional towing. CTTA certified Bay Area specialists.</w:t>
            </w:r>
          </w:p>
        </w:tc>
        <w:tc>
          <w:tcPr>
            <w:tcW w:type="dxa" w:w="70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C62828"/>
                <w:sz w:val="17"/>
                <w:szCs w:val="17"/>
              </w:rPr>
              <w:t xml:space="preserve">91/90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Specialist positioning + certification trust</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Sitelink Assets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Sitelinks appear below the ad text and link to specific pages. Use them to pre-qualify click intent. Recommended: 6-10 sitelinks per campaign. Each sitelink = link text (25 chars max) + 2 description lines (35 chars each) + URL.</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000"/>
        <w:gridCol w:w="2200"/>
        <w:gridCol w:w="2200"/>
        <w:gridCol w:w="2960"/>
      </w:tblGrid>
      <w:tr>
        <w:tc>
          <w:tcPr>
            <w:tcW w:type="dxa" w:w="2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Sitelink Text</w:t>
            </w:r>
          </w:p>
        </w:tc>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 Line 1</w:t>
            </w:r>
          </w:p>
        </w:tc>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 Line 2</w:t>
            </w:r>
          </w:p>
        </w:tc>
        <w:tc>
          <w:tcPr>
            <w:tcW w:type="dxa" w:w="29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Destination URL</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Flatbed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AWD &amp; luxury cars require flatbeds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We never wheel-lift AWD vehicles</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/services/flatbed-towing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Motorcycle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Dedicated motorcycle rigs &amp; chocks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Soft tie-downs — zero damage policy</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/services/motorcycle-towing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Luxury Car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Ferrari, Porsche, Tesla specialists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Low-clearance flatbeds &amp; soft straps</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/services/luxury-car-towing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RV &amp; Motorhome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Class A, B &amp; C motorhomes + trailers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Heavy flatbeds sized for your rig</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/services/rv-towing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Box Truck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Up to 26,000 lb GVW medium duty</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Proper medium-duty rigs dispatched</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/services/box-truck-towing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Service Areas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5 Bay Area counties, 60+ cities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Confirm your area in 30 seconds</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/service-areas</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Get a Quote</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Call 650-881-2400 for instant quote</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No obligation. Quoted before we load.</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/contact</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About Heavy Haulers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CTTA certified. 50,000+ tows.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Licensed, insured, Bay Area professionals</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/about</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Callout Assets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Callouts appear below the ad as short phrases highlighting features. Max 25 characters each. Use 8-10 callouts. These rotate and appear in groups of 2-4. Focus on trust signals, differentiators, and service facts.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3000"/>
        <w:gridCol w:w="700"/>
        <w:gridCol w:w="5660"/>
      </w:tblGrid>
      <w:tr>
        <w:tc>
          <w:tcPr>
            <w:tcW w:type="dxa" w:w="3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Callout Text</w:t>
            </w:r>
          </w:p>
        </w:tc>
        <w:tc>
          <w:tcPr>
            <w:tcW w:type="dxa" w:w="7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Chars</w:t>
            </w:r>
          </w:p>
        </w:tc>
        <w:tc>
          <w:tcPr>
            <w:tcW w:type="dxa" w:w="56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Strategy / Note</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15-Min Avg Response</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19/25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Speed promise — primary C1 value prop</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24/7 Live Dispatch</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18/25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Human availability differentiator</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No Hidden Fees</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14/25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Price transparency — top C1 fear buster</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Flatbed Towing Only</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19/25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Service method differentiator</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Licensed &amp; Insured</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18/25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Legitimacy/trust signal</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4.9 Stars on Google</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19/25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Social proof signal</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50,000+ Tows Completed</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22/25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Volume social proof</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CTTA Certified</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14/25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Industry certification</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5 Bay Area Counties</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19/25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Geographic coverage</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No Surge Pricing</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16/25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Price fairness guarantee</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EV Towing Specialists</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21/25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EV niche callout</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Free Upfront Quote</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18/25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No-risk signal</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Available 24/7 — Open Now</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25/25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GKP v2 — captures 'towing near me open now' ($6.90 CPC)</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Affordable Bay Area Towing</w:t>
            </w:r>
          </w:p>
        </w:tc>
        <w:tc>
          <w:tcPr>
            <w:tcW w:type="dxa" w:w="7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26/25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GKP v2 — captures 'affordable towing near me' (500/mo, 10% imp share)</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Callout 13-14 added in GKP v2 based on real market data. 'Available 24/7 — Open Now' targets high-intent emergency searches. 'Affordable Bay Area Towing' directly addresses price comparison intent — both perform well in October 2025 Bay Area market.</w:t>
            </w:r>
          </w:p>
        </w:tc>
      </w:tr>
    </w:tbl>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Structured Snippet Assets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Structured Snippet Format</w:t>
            </w:r>
          </w:p>
          <w:p>
            <w:pPr>
              <w:spacing w:before="0" w:after="40"/>
              <w:jc w:val="left"/>
            </w:pPr>
            <w:r>
              <w:rPr>
                <w:rFonts w:ascii="Arial" w:cs="Arial" w:eastAsia="Arial" w:hAnsi="Arial"/>
                <w:b w:val="false"/>
                <w:bCs w:val="false"/>
                <w:i w:val="false"/>
                <w:iCs w:val="false"/>
                <w:color w:val="333333"/>
                <w:sz w:val="19"/>
                <w:szCs w:val="19"/>
              </w:rPr>
              <w:t xml:space="preserve">Header (mandatory) + up to 13 values. Google shows 3-4 values in the ad.</w:t>
            </w:r>
          </w:p>
          <w:p>
            <w:pPr>
              <w:spacing w:before="0" w:after="40"/>
              <w:jc w:val="left"/>
            </w:pPr>
            <w:r>
              <w:rPr>
                <w:rFonts w:ascii="Arial" w:cs="Arial" w:eastAsia="Arial" w:hAnsi="Arial"/>
                <w:b w:val="false"/>
                <w:bCs w:val="false"/>
                <w:i w:val="false"/>
                <w:iCs w:val="false"/>
                <w:color w:val="333333"/>
                <w:sz w:val="19"/>
                <w:szCs w:val="19"/>
              </w:rPr>
              <w:t xml:space="preserve">Header should be descriptive — e.g., 'Services', 'Features', 'Types of Vehicles', etc.</w:t>
            </w:r>
          </w:p>
          <w:p>
            <w:pPr>
              <w:spacing w:before="0" w:after="40"/>
              <w:jc w:val="left"/>
            </w:pPr>
            <w:r>
              <w:rPr>
                <w:rFonts w:ascii="Arial" w:cs="Arial" w:eastAsia="Arial" w:hAnsi="Arial"/>
                <w:b w:val="false"/>
                <w:bCs w:val="false"/>
                <w:i w:val="false"/>
                <w:iCs w:val="false"/>
                <w:color w:val="333333"/>
                <w:sz w:val="19"/>
                <w:szCs w:val="19"/>
              </w:rPr>
              <w:t xml:space="preserve">Use to pre-qualify click intent by listing what you specialize in.</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Snippet Header</w:t>
            </w:r>
          </w:p>
        </w:tc>
        <w:tc>
          <w:tcPr>
            <w:tcW w:type="dxa" w:w="71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Values (Google shows 3-4)</w:t>
            </w:r>
          </w:p>
        </w:tc>
      </w:tr>
      <w:tr>
        <w:tc>
          <w:tcPr>
            <w:tcW w:type="dxa" w:w="22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Types of Towing</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Flatbed Towing, Luxury Car Towing, Motorcycle Towing, Tesla Towing, RV Towing, Box Truck Towing, Accident Towing, Private Property Towing</w:t>
            </w:r>
          </w:p>
        </w:tc>
      </w:tr>
      <w:tr>
        <w:tc>
          <w:tcPr>
            <w:tcW w:type="dxa" w:w="22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Service Areas</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San Francisco, Oakland, San Jose, Fremont, Palo Alto, Mountain View, Hayward, Santa Clara, Sunnyvale, Cupertino</w:t>
            </w:r>
          </w:p>
        </w:tc>
      </w:tr>
      <w:tr>
        <w:tc>
          <w:tcPr>
            <w:tcW w:type="dxa" w:w="22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Why Choose Us</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15-Min Response, 24/7 Dispatch, No Hidden Fees, CTTA Certified, 4.9 Star Rating, 50,000+ Tows Completed, Licensed &amp; Insured</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Call Assets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Call assets enable direct phone calling from the ad. Use county-specific numbers when possible for geo-targeting. Set call reporting to 45+ seconds = conversion.</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400"/>
        <w:gridCol w:w="2400"/>
        <w:gridCol w:w="2400"/>
        <w:gridCol w:w="2160"/>
      </w:tblGrid>
      <w:tr>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Hub / County</w:t>
            </w:r>
          </w:p>
        </w:tc>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Phone Number</w:t>
            </w:r>
          </w:p>
        </w:tc>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Ad Group / Campaign</w:t>
            </w:r>
          </w:p>
        </w:tc>
        <w:tc>
          <w:tcPr>
            <w:tcW w:type="dxa" w:w="21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Setup Note</w:t>
            </w:r>
          </w:p>
        </w:tc>
      </w:tr>
      <w:tr>
        <w:tc>
          <w:tcPr>
            <w:tcW w:type="dxa" w:w="24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Brisbane HQ</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E87722"/>
                <w:sz w:val="20"/>
                <w:szCs w:val="20"/>
              </w:rPr>
              <w:t xml:space="preserve">650-881-2400</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Campaign 1 (default)</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666666"/>
                <w:sz w:val="16"/>
                <w:szCs w:val="16"/>
              </w:rPr>
              <w:t xml:space="preserve">Primary — all ad groups</w:t>
            </w:r>
          </w:p>
        </w:tc>
      </w:tr>
      <w:tr>
        <w:tc>
          <w:tcPr>
            <w:tcW w:type="dxa" w:w="24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Oakland Hub</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E87722"/>
                <w:sz w:val="20"/>
                <w:szCs w:val="20"/>
              </w:rPr>
              <w:t xml:space="preserve">510-800-3800</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East Bay / Alameda AG</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666666"/>
                <w:sz w:val="16"/>
                <w:szCs w:val="16"/>
              </w:rPr>
              <w:t xml:space="preserve">Geo-targeted — ad group level</w:t>
            </w:r>
          </w:p>
        </w:tc>
      </w:tr>
      <w:tr>
        <w:tc>
          <w:tcPr>
            <w:tcW w:type="dxa" w:w="24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San Jose Hub</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E87722"/>
                <w:sz w:val="20"/>
                <w:szCs w:val="20"/>
              </w:rPr>
              <w:t xml:space="preserve">408-800-3800</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South Bay / Santa Clara AG</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666666"/>
                <w:sz w:val="16"/>
                <w:szCs w:val="16"/>
              </w:rPr>
              <w:t xml:space="preserve">Geo-targeted — ad group level</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Price Assets — Campaign 1: Light &amp; Medium Duty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Price assets appear as an extension showing service rates. This builds trust and pre-qualifies clicks. Keep prices visible in ads to reduce inquiries from price-sensitive competitors' customers.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400"/>
        <w:gridCol w:w="1200"/>
        <w:gridCol w:w="3000"/>
        <w:gridCol w:w="2760"/>
      </w:tblGrid>
      <w:tr>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Service Header</w:t>
            </w:r>
          </w:p>
        </w:tc>
        <w:tc>
          <w:tcPr>
            <w:tcW w:type="dxa" w:w="1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Price / Rate</w:t>
            </w:r>
          </w:p>
        </w:tc>
        <w:tc>
          <w:tcPr>
            <w:tcW w:type="dxa" w:w="3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w:t>
            </w:r>
          </w:p>
        </w:tc>
        <w:tc>
          <w:tcPr>
            <w:tcW w:type="dxa" w:w="27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Final URL</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Flatbed Towing</w:t>
            </w:r>
          </w:p>
        </w:tc>
        <w:tc>
          <w:tcPr>
            <w:tcW w:type="dxa" w:w="1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$85</w:t>
            </w:r>
          </w:p>
        </w:tc>
        <w:tc>
          <w:tcPr>
            <w:tcW w:type="dxa" w:w="3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Light &amp; medium duty — up to 26,000 lb</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/services/flatbed-towing</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Luxury Car Towing</w:t>
            </w:r>
          </w:p>
        </w:tc>
        <w:tc>
          <w:tcPr>
            <w:tcW w:type="dxa" w:w="1200"/>
            <w:tcBorders>
              <w:top w:val="none" w:color="FFFFFF" w:sz="0"/>
              <w:left w:val="none" w:color="FFFFFF" w:sz="0"/>
              <w:bottom w:val="none" w:color="FFFFFF" w:sz="0"/>
              <w:right w:val="none" w:color="FFFFFF" w:sz="0"/>
            </w:tcBorders>
            <w:shd w:fill="F1F8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$125</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Flat-rate specialty towing with care</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/services/luxury-car-towing</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Motorcycle Towing</w:t>
            </w:r>
          </w:p>
        </w:tc>
        <w:tc>
          <w:tcPr>
            <w:tcW w:type="dxa" w:w="1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$95</w:t>
            </w:r>
          </w:p>
        </w:tc>
        <w:tc>
          <w:tcPr>
            <w:tcW w:type="dxa" w:w="3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Dedicated bikes with soft tie-down safety</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/services/motorcycle-towing</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RV &amp; Motorhome Towing</w:t>
            </w:r>
          </w:p>
        </w:tc>
        <w:tc>
          <w:tcPr>
            <w:tcW w:type="dxa" w:w="1200"/>
            <w:tcBorders>
              <w:top w:val="none" w:color="FFFFFF" w:sz="0"/>
              <w:left w:val="none" w:color="FFFFFF" w:sz="0"/>
              <w:bottom w:val="none" w:color="FFFFFF" w:sz="0"/>
              <w:right w:val="none" w:color="FFFFFF" w:sz="0"/>
            </w:tcBorders>
            <w:shd w:fill="F1F8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$150</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Class A, B, C &amp; travel trailers</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/services/rv-towing</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EV Towing</w:t>
            </w:r>
          </w:p>
        </w:tc>
        <w:tc>
          <w:tcPr>
            <w:tcW w:type="dxa" w:w="1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$110</w:t>
            </w:r>
          </w:p>
        </w:tc>
        <w:tc>
          <w:tcPr>
            <w:tcW w:type="dxa" w:w="3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Tesla, Lucid, EV-specialist flatbed tech</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/services/ev-towing</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240"/>
              <w:left w:type="dxa" w:w="120"/>
              <w:bottom w:type="dxa" w:w="240"/>
              <w:right w:type="dxa" w:w="120"/>
            </w:tcMar>
            <w:vAlign w:val="top"/>
          </w:tcPr>
          <w:p>
            <w:pPr>
              <w:spacing w:before="160" w:after="80"/>
              <w:jc w:val="center"/>
            </w:pPr>
            <w:r>
              <w:rPr>
                <w:rFonts w:ascii="Arial" w:cs="Arial" w:eastAsia="Arial" w:hAnsi="Arial"/>
                <w:b/>
                <w:bCs/>
                <w:i w:val="false"/>
                <w:iCs w:val="false"/>
                <w:color w:val="FFFFFF"/>
                <w:sz w:val="34"/>
                <w:szCs w:val="34"/>
              </w:rPr>
              <w:t xml:space="preserve">CAMPAIGN 2 — HEAVY DUTY &amp; COMMERCIAL TOWING</w:t>
            </w:r>
          </w:p>
          <w:p>
            <w:pPr>
              <w:spacing w:before="0" w:after="160"/>
              <w:jc w:val="center"/>
            </w:pPr>
            <w:r>
              <w:rPr>
                <w:rFonts w:ascii="Arial" w:cs="Arial" w:eastAsia="Arial" w:hAnsi="Arial"/>
                <w:b w:val="false"/>
                <w:bCs w:val="false"/>
                <w:i w:val="false"/>
                <w:iCs w:val="false"/>
                <w:color w:val="E8F0F8"/>
                <w:sz w:val="19"/>
                <w:szCs w:val="19"/>
              </w:rPr>
              <w:t xml:space="preserve">Target: Fleet managers · Construction companies · Logistics operators · Port/route specialists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CAMPAIGN 2 — RESPONSIVE SEARCH AD HEADLINES (15 Total)</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160" w:after="60"/>
        <w:jc w:val="left"/>
      </w:pPr>
      <w:r>
        <w:rPr>
          <w:rFonts w:ascii="Arial" w:cs="Arial" w:eastAsia="Arial" w:hAnsi="Arial"/>
          <w:b/>
          <w:bCs/>
          <w:i w:val="false"/>
          <w:iCs w:val="false"/>
          <w:color w:val="1A3C6E"/>
          <w:sz w:val="26"/>
          <w:szCs w:val="26"/>
        </w:rPr>
        <w:t xml:space="preserve">RSA Headlines — Campaign 2: Heavy Duty &amp; Commercial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Format Rules</w:t>
            </w:r>
          </w:p>
          <w:p>
            <w:pPr>
              <w:spacing w:before="0" w:after="40"/>
              <w:jc w:val="left"/>
            </w:pPr>
            <w:r>
              <w:rPr>
                <w:rFonts w:ascii="Arial" w:cs="Arial" w:eastAsia="Arial" w:hAnsi="Arial"/>
                <w:b w:val="false"/>
                <w:bCs w:val="false"/>
                <w:i w:val="false"/>
                <w:iCs w:val="false"/>
                <w:color w:val="333333"/>
                <w:sz w:val="19"/>
                <w:szCs w:val="19"/>
              </w:rPr>
              <w:t xml:space="preserve">Maximum 30 characters per headline (including spaces). Google will not serve headlines that exceed 30 characters.</w:t>
            </w:r>
          </w:p>
          <w:p>
            <w:pPr>
              <w:spacing w:before="0" w:after="40"/>
              <w:jc w:val="left"/>
            </w:pPr>
            <w:r>
              <w:rPr>
                <w:rFonts w:ascii="Arial" w:cs="Arial" w:eastAsia="Arial" w:hAnsi="Arial"/>
                <w:b w:val="false"/>
                <w:bCs w:val="false"/>
                <w:i w:val="false"/>
                <w:iCs w:val="false"/>
                <w:color w:val="333333"/>
                <w:sz w:val="19"/>
                <w:szCs w:val="19"/>
              </w:rPr>
              <w:t xml:space="preserve">Pin Position: P1 = always shown in position 1. P2 = position 2. P3 = position 3. 'Flex' = Google rotates freely.</w:t>
            </w:r>
          </w:p>
          <w:p>
            <w:pPr>
              <w:spacing w:before="0" w:after="40"/>
              <w:jc w:val="left"/>
            </w:pPr>
            <w:r>
              <w:rPr>
                <w:rFonts w:ascii="Arial" w:cs="Arial" w:eastAsia="Arial" w:hAnsi="Arial"/>
                <w:b w:val="false"/>
                <w:bCs w:val="false"/>
                <w:i w:val="false"/>
                <w:iCs w:val="false"/>
                <w:color w:val="333333"/>
                <w:sz w:val="19"/>
                <w:szCs w:val="19"/>
              </w:rPr>
              <w:t xml:space="preserve">For heavy duty: Pin capability-focused headline for brand consistency. Leave others flexible for Google optimization.</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400"/>
        <w:gridCol w:w="3800"/>
        <w:gridCol w:w="600"/>
        <w:gridCol w:w="800"/>
        <w:gridCol w:w="3760"/>
      </w:tblGrid>
      <w:tr>
        <w:tc>
          <w:tcPr>
            <w:tcW w:type="dxa" w:w="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w:t>
            </w:r>
          </w:p>
        </w:tc>
        <w:tc>
          <w:tcPr>
            <w:tcW w:type="dxa" w:w="38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Headline Text</w:t>
            </w:r>
          </w:p>
        </w:tc>
        <w:tc>
          <w:tcPr>
            <w:tcW w:type="dxa" w:w="6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Chars</w:t>
            </w:r>
          </w:p>
        </w:tc>
        <w:tc>
          <w:tcPr>
            <w:tcW w:type="dxa" w:w="8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Pin</w:t>
            </w:r>
          </w:p>
        </w:tc>
        <w:tc>
          <w:tcPr>
            <w:tcW w:type="dxa" w:w="37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Strategy / Trigger</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w:t>
            </w:r>
          </w:p>
        </w:tc>
        <w:tc>
          <w:tcPr>
            <w:tcW w:type="dxa" w:w="38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Semi Truck Towing Bay Area 24/7</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31/30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P1</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GKP v2 — primary keyword + availability + geo</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2</w:t>
            </w:r>
          </w:p>
        </w:tc>
        <w:tc>
          <w:tcPr>
            <w:tcW w:type="dxa" w:w="38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Heavy Duty Towing — Bay Area</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28/30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P2</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Broad commercial capability signal</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3</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Rotator Recovery — 75+ Ton Capacity</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35/30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Max capability signal — rotator is the differentiator</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4</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Fleet Towing SLA — Bay Area</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27/30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GKP v2 — B2B SLA/contract buyers high-intent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5</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Construction Equipment Transport</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32/30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Niche: excavators, loaders, lowboy transport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6</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Jackknife &amp; Rollover Recovery</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High-intent emergency — complex incident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7</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18-Wheeler Towing — Bay Area</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28/30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Keyword match — 18-wheeler specific query</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8</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DOT Compliant Heavy Recovery</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28/30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Compliance signal — B2B qualification filter</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9</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Bus &amp; Transit Vehicle Towing</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28/30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Transit/municipal niche — low competition</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10</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CTTA + ITRA Certified Operators</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31/30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Dual certification — heavy-duty legitimacy</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11</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Port of Oakland Towing — 24/7</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Geo/route niche — port logistics operators</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12</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Fleet SLA — Priority Dispatch</w:t>
            </w:r>
          </w:p>
        </w:tc>
        <w:tc>
          <w:tcPr>
            <w:tcW w:type="dxa" w:w="6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29/30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SLA-specific — fleet manager trigger</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13</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Long Distance Heavy Haul Bay Area</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33/30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Interstate/long-haul intent</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14</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Call for Fleet Quote — 650-881-2400</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35/30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P3</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CTA with phone — fleet inquiry</w:t>
            </w:r>
          </w:p>
        </w:tc>
      </w:tr>
      <w:tr>
        <w:tc>
          <w:tcPr>
            <w:tcW w:type="dxa" w:w="400"/>
            <w:tcBorders>
              <w:top w:val="none" w:color="FFFFFF" w:sz="0"/>
              <w:left w:val="none" w:color="FFFFFF" w:sz="0"/>
              <w:bottom w:val="none" w:color="FFFFFF" w:sz="0"/>
              <w:right w:val="none" w:color="FFFFFF" w:sz="0"/>
            </w:tcBorders>
            <w:shd w:fill="1A3C6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FFFFFF"/>
                <w:sz w:val="18"/>
                <w:szCs w:val="18"/>
              </w:rPr>
              <w:t xml:space="preserve">15</w:t>
            </w:r>
          </w:p>
        </w:tc>
        <w:tc>
          <w:tcPr>
            <w:tcW w:type="dxa" w:w="38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333333"/>
                <w:sz w:val="19"/>
                <w:szCs w:val="19"/>
              </w:rPr>
              <w:t xml:space="preserve">CTTA Certified. Bay Area Since [Year].</w:t>
            </w:r>
          </w:p>
        </w:tc>
        <w:tc>
          <w:tcPr>
            <w:tcW w:type="dxa" w:w="6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38/30</w:t>
            </w:r>
          </w:p>
        </w:tc>
        <w:tc>
          <w:tcPr>
            <w:tcW w:type="dxa" w:w="800"/>
            <w:tcBorders>
              <w:top w:val="none" w:color="FFFFFF" w:sz="0"/>
              <w:left w:val="none" w:color="FFFFFF" w:sz="0"/>
              <w:bottom w:val="none" w:color="FFFFFF" w:sz="0"/>
              <w:right w:val="none" w:color="FFFFFF" w:sz="0"/>
            </w:tcBorders>
            <w:shd w:fill="FDF3E7" w:val="clear"/>
            <w:tcMar>
              <w:top w:type="dxa" w:w="60"/>
              <w:left w:type="dxa" w:w="120"/>
              <w:bottom w:type="dxa" w:w="6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37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333333"/>
                <w:sz w:val="17"/>
                <w:szCs w:val="17"/>
              </w:rPr>
              <w:t xml:space="preserve">Trust + longevity — replace [Year] with actual</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H1 &amp; H2 swapped in v2: 'Semi Truck Towing Bay Area 24/7' is now P1 to capture high-intent 'semi truck towing' searches (LOW competition, up to $27 CPC). H4 updated to 'Fleet Towing SLA — Bay Area' to emphasize service-level agreements. Headline 15 contains '[Year]' — replace with Heavy Haulers' actual founding year before going live.</w:t>
            </w:r>
          </w:p>
        </w:tc>
      </w:tr>
    </w:tbl>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RSA Descriptions — Campaign 2: Heavy Duty &amp; Commercial</w:t>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400"/>
        <w:gridCol w:w="4800"/>
        <w:gridCol w:w="700"/>
        <w:gridCol w:w="700"/>
        <w:gridCol w:w="2760"/>
      </w:tblGrid>
      <w:tr>
        <w:tc>
          <w:tcPr>
            <w:tcW w:type="dxa" w:w="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w:t>
            </w:r>
          </w:p>
        </w:tc>
        <w:tc>
          <w:tcPr>
            <w:tcW w:type="dxa" w:w="48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 Text</w:t>
            </w:r>
          </w:p>
        </w:tc>
        <w:tc>
          <w:tcPr>
            <w:tcW w:type="dxa" w:w="7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Chars</w:t>
            </w:r>
          </w:p>
        </w:tc>
        <w:tc>
          <w:tcPr>
            <w:tcW w:type="dxa" w:w="7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Pin</w:t>
            </w:r>
          </w:p>
        </w:tc>
        <w:tc>
          <w:tcPr>
            <w:tcW w:type="dxa" w:w="27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Strategy</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1</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Heavy duty towing across Bay Area — rotators, semi recovery, fleet contracts. Call 650-881-2400.</w:t>
            </w:r>
          </w:p>
        </w:tc>
        <w:tc>
          <w:tcPr>
            <w:tcW w:type="dxa" w:w="70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C62828"/>
                <w:sz w:val="17"/>
                <w:szCs w:val="17"/>
              </w:rPr>
              <w:t xml:space="preserve">96/90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P1</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Primary keyword + capability list + phone CTA</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2</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CTTA &amp; ITRA certified. DOT compliant. SLA fleet contracts with priority dispatch &amp; volume pricing.</w:t>
            </w:r>
          </w:p>
        </w:tc>
        <w:tc>
          <w:tcPr>
            <w:tcW w:type="dxa" w:w="70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C62828"/>
                <w:sz w:val="17"/>
                <w:szCs w:val="17"/>
              </w:rPr>
              <w:t xml:space="preserve">98/90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Certification stack + B2B conversion triggers</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3</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75+ ton rotator fleet. Jackknife &amp; rollover recovery. Construction equipment transport Bay Area.</w:t>
            </w:r>
          </w:p>
        </w:tc>
        <w:tc>
          <w:tcPr>
            <w:tcW w:type="dxa" w:w="70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C62828"/>
                <w:sz w:val="17"/>
                <w:szCs w:val="17"/>
              </w:rPr>
              <w:t xml:space="preserve">96/90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Capability specifics — equipment-focused trust</w:t>
            </w:r>
          </w:p>
        </w:tc>
      </w:tr>
      <w:tr>
        <w:tc>
          <w:tcPr>
            <w:tcW w:type="dxa" w:w="400"/>
            <w:tcBorders>
              <w:top w:val="none" w:color="FFFFFF" w:sz="0"/>
              <w:left w:val="none" w:color="FFFFFF" w:sz="0"/>
              <w:bottom w:val="none" w:color="FFFFFF" w:sz="0"/>
              <w:right w:val="none" w:color="FFFFFF" w:sz="0"/>
            </w:tcBorders>
            <w:shd w:fill="E87722"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FFFFFF"/>
                <w:sz w:val="18"/>
                <w:szCs w:val="18"/>
              </w:rPr>
              <w:t xml:space="preserve">4</w:t>
            </w:r>
          </w:p>
        </w:tc>
        <w:tc>
          <w:tcPr>
            <w:tcW w:type="dxa" w:w="48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9"/>
                <w:szCs w:val="19"/>
              </w:rPr>
              <w:t xml:space="preserve">Fleet accounts: monthly invoicing, priority response, dedicated account manager. Get a fleet quote.</w:t>
            </w:r>
          </w:p>
        </w:tc>
        <w:tc>
          <w:tcPr>
            <w:tcW w:type="dxa" w:w="70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C62828"/>
                <w:sz w:val="17"/>
                <w:szCs w:val="17"/>
              </w:rPr>
              <w:t xml:space="preserve">99/90</w:t>
            </w:r>
          </w:p>
        </w:tc>
        <w:tc>
          <w:tcPr>
            <w:tcW w:type="dxa" w:w="700"/>
            <w:tcBorders>
              <w:top w:val="none" w:color="FFFFFF" w:sz="0"/>
              <w:left w:val="none" w:color="FFFFFF" w:sz="0"/>
              <w:bottom w:val="none" w:color="FFFFFF" w:sz="0"/>
              <w:right w:val="none" w:color="FFFFFF" w:sz="0"/>
            </w:tcBorders>
            <w:shd w:fill="FDF3E7" w:val="clear"/>
            <w:tcMar>
              <w:top w:type="dxa" w:w="80"/>
              <w:left w:type="dxa" w:w="120"/>
              <w:bottom w:type="dxa" w:w="80"/>
              <w:right w:type="dxa" w:w="120"/>
            </w:tcMar>
            <w:vAlign w:val="center"/>
          </w:tcPr>
          <w:p>
            <w:pPr>
              <w:spacing w:before="0" w:after="80"/>
              <w:jc w:val="center"/>
            </w:pPr>
            <w:r>
              <w:rPr>
                <w:rFonts w:ascii="Arial" w:cs="Arial" w:eastAsia="Arial" w:hAnsi="Arial"/>
                <w:b w:val="false"/>
                <w:bCs w:val="false"/>
                <w:i w:val="false"/>
                <w:iCs w:val="false"/>
                <w:color w:val="E87722"/>
                <w:sz w:val="17"/>
                <w:szCs w:val="17"/>
              </w:rPr>
              <w:t xml:space="preserve">Flex</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333333"/>
                <w:sz w:val="17"/>
                <w:szCs w:val="17"/>
              </w:rPr>
              <w:t xml:space="preserve">Fleet contract benefits — B2B CTA</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Sitelink Assets — Campaign 2: Heavy Duty &amp; Commercial</w:t>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000"/>
        <w:gridCol w:w="2200"/>
        <w:gridCol w:w="2200"/>
        <w:gridCol w:w="2960"/>
      </w:tblGrid>
      <w:tr>
        <w:tc>
          <w:tcPr>
            <w:tcW w:type="dxa" w:w="2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Sitelink Text</w:t>
            </w:r>
          </w:p>
        </w:tc>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 Line 1</w:t>
            </w:r>
          </w:p>
        </w:tc>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 Line 2</w:t>
            </w:r>
          </w:p>
        </w:tc>
        <w:tc>
          <w:tcPr>
            <w:tcW w:type="dxa" w:w="29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Destination URL</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Semi Truck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Class 7 &amp; 8 — Bay Area &amp; interstate</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Loaded &amp; unloaded trailer tows</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/services/semi-truck-towing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Rotator Recovery</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75+ ton rotator recovery fleet</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Rollovers, jackknifes, off-road recovery</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/services/heavy-recovery</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Fleet Contracts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SLA towing contracts for fleets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Priority dispatch + volume pricing</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/fleet</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Equipment Transport</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Excavators, loaders, cranes, lifts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Lowboy trailers + permit coordination</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/services/equipment-transport</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Bus &amp; Transit Towing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Municipal, charter &amp; school buses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Correct tow points — no drivetrain damage</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/services/bus-towing</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Interstate Hauling</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I-80, I-880, I-101, I-5 corridors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Stockton hub — Central Valley coverage</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/services/long-distance</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Request Fleet Quote</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Monthly invoicing + SLA available</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Email dispatch@heavytowpro.com</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/fleet-quote</w:t>
            </w:r>
          </w:p>
        </w:tc>
      </w:tr>
      <w:tr>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Certifications</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CTTA, ITRA, DOT, OSHA — verified</w:t>
            </w:r>
          </w:p>
        </w:tc>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COI available for vendor onboarding</w:t>
            </w:r>
          </w:p>
        </w:tc>
        <w:tc>
          <w:tcPr>
            <w:tcW w:type="dxa" w:w="29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/certifications</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Callout Assets — Campaign 2: Heavy Duty &amp; Commercial</w:t>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3000"/>
        <w:gridCol w:w="700"/>
        <w:gridCol w:w="5660"/>
      </w:tblGrid>
      <w:tr>
        <w:tc>
          <w:tcPr>
            <w:tcW w:type="dxa" w:w="3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Callout Text</w:t>
            </w:r>
          </w:p>
        </w:tc>
        <w:tc>
          <w:tcPr>
            <w:tcW w:type="dxa" w:w="7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Chars</w:t>
            </w:r>
          </w:p>
        </w:tc>
        <w:tc>
          <w:tcPr>
            <w:tcW w:type="dxa" w:w="56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Strategy / Note</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75+ Ton Recovery</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16/25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Max capacity signal — primary differentiator</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Rotator Fleet On Call</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21/25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Equipment specificity — rotator = serious operator</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Fleet SLA Contracts</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19/25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B2B trigger — procurement/contract buyers</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DOT Compliant Fleet</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19/25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Compliance signal — vendor qualification</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CTTA + ITRA Certified</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21/25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Dual certification — industry legitimacy</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24/7 Commercial Dispatch</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24/25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Availability for commercial emergency</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6 Bay Area Hubs</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15/25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Geographic coverage specificity</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COI Available</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13/25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Vendor onboarding enabler — enterprise</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Interstate Hauling</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18/25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Route coverage expansion signal</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No Light-Duty Substitutes</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25/25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Capability guarantee — right truck always</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Port of Oakland Coverage</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24/25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Route/location niche</w:t>
            </w:r>
          </w:p>
        </w:tc>
      </w:tr>
      <w:tr>
        <w:tc>
          <w:tcPr>
            <w:tcW w:type="dxa" w:w="30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Volume Pricing Available</w:t>
            </w:r>
          </w:p>
        </w:tc>
        <w:tc>
          <w:tcPr>
            <w:tcW w:type="dxa" w:w="7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1B5E20"/>
                <w:sz w:val="17"/>
                <w:szCs w:val="17"/>
              </w:rPr>
              <w:t xml:space="preserve">24/25</w:t>
            </w:r>
          </w:p>
        </w:tc>
        <w:tc>
          <w:tcPr>
            <w:tcW w:type="dxa" w:w="56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Pricing flexibility — fleet conversion</w:t>
            </w:r>
          </w:p>
        </w:tc>
      </w:tr>
      <w:tr>
        <w:tc>
          <w:tcPr>
            <w:tcW w:type="dxa" w:w="30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Semi Truck Towing Specialists</w:t>
            </w:r>
          </w:p>
        </w:tc>
        <w:tc>
          <w:tcPr>
            <w:tcW w:type="dxa" w:w="700"/>
            <w:tcBorders>
              <w:top w:val="none" w:color="FFFFFF" w:sz="0"/>
              <w:left w:val="none" w:color="FFFFFF" w:sz="0"/>
              <w:bottom w:val="none" w:color="FFFFFF" w:sz="0"/>
              <w:right w:val="none" w:color="FFFFFF" w:sz="0"/>
            </w:tcBorders>
            <w:shd w:fill="FFEBEE" w:val="clear"/>
            <w:tcMar>
              <w:top w:type="dxa" w:w="60"/>
              <w:left w:type="dxa" w:w="120"/>
              <w:bottom w:type="dxa" w:w="60"/>
              <w:right w:type="dxa" w:w="120"/>
            </w:tcMar>
            <w:vAlign w:val="center"/>
          </w:tcPr>
          <w:p>
            <w:pPr>
              <w:spacing w:before="0" w:after="80"/>
              <w:jc w:val="center"/>
            </w:pPr>
            <w:r>
              <w:rPr>
                <w:rFonts w:ascii="Arial" w:cs="Arial" w:eastAsia="Arial" w:hAnsi="Arial"/>
                <w:b/>
                <w:bCs/>
                <w:i w:val="false"/>
                <w:iCs w:val="false"/>
                <w:color w:val="C62828"/>
                <w:sz w:val="17"/>
                <w:szCs w:val="17"/>
              </w:rPr>
              <w:t xml:space="preserve">29/25</w:t>
            </w:r>
          </w:p>
        </w:tc>
        <w:tc>
          <w:tcPr>
            <w:tcW w:type="dxa" w:w="566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7"/>
                <w:szCs w:val="17"/>
              </w:rPr>
              <w:t xml:space="preserve">GKP v2 — 'semi truck towing' LOW competition, up to $27 CPC</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Callout 13 added in GKP v2: 'Semi Truck Towing Specialists' directly targets high-intent 'semi truck towing' searches with LOW competition. Estimated CPC up to $27 — high value conversion opportunity for fleet/commercial accounts.</w:t>
            </w:r>
          </w:p>
        </w:tc>
      </w:tr>
    </w:tbl>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Structured Snippet Assets — Campaign 2: Heavy Duty &amp; Commercial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1A3C6E"/>
                <w:sz w:val="20"/>
                <w:szCs w:val="20"/>
              </w:rPr>
              <w:t xml:space="preserve">Structured Snippet Format</w:t>
            </w:r>
          </w:p>
          <w:p>
            <w:pPr>
              <w:spacing w:before="0" w:after="40"/>
              <w:jc w:val="left"/>
            </w:pPr>
            <w:r>
              <w:rPr>
                <w:rFonts w:ascii="Arial" w:cs="Arial" w:eastAsia="Arial" w:hAnsi="Arial"/>
                <w:b w:val="false"/>
                <w:bCs w:val="false"/>
                <w:i w:val="false"/>
                <w:iCs w:val="false"/>
                <w:color w:val="333333"/>
                <w:sz w:val="19"/>
                <w:szCs w:val="19"/>
              </w:rPr>
              <w:t xml:space="preserve">Header (mandatory) + up to 13 values. Google shows 3-4 values in the ad.</w:t>
            </w:r>
          </w:p>
          <w:p>
            <w:pPr>
              <w:spacing w:before="0" w:after="40"/>
              <w:jc w:val="left"/>
            </w:pPr>
            <w:r>
              <w:rPr>
                <w:rFonts w:ascii="Arial" w:cs="Arial" w:eastAsia="Arial" w:hAnsi="Arial"/>
                <w:b w:val="false"/>
                <w:bCs w:val="false"/>
                <w:i w:val="false"/>
                <w:iCs w:val="false"/>
                <w:color w:val="333333"/>
                <w:sz w:val="19"/>
                <w:szCs w:val="19"/>
              </w:rPr>
              <w:t xml:space="preserve">For B2B heavy-duty: emphasize compliance, certifications, and capability range.</w:t>
            </w:r>
          </w:p>
          <w:p>
            <w:pPr>
              <w:spacing w:before="0" w:after="40"/>
              <w:jc w:val="left"/>
            </w:pPr>
            <w:r>
              <w:rPr>
                <w:rFonts w:ascii="Arial" w:cs="Arial" w:eastAsia="Arial" w:hAnsi="Arial"/>
                <w:b w:val="false"/>
                <w:bCs w:val="false"/>
                <w:i w:val="false"/>
                <w:iCs w:val="false"/>
                <w:color w:val="333333"/>
                <w:sz w:val="19"/>
                <w:szCs w:val="19"/>
              </w:rPr>
              <w:t xml:space="preserve">Use to pre-qualify high-value fleet/logistics buyers and construction companies.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Snippet Header</w:t>
            </w:r>
          </w:p>
        </w:tc>
        <w:tc>
          <w:tcPr>
            <w:tcW w:type="dxa" w:w="71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Values (Google shows 3-4)</w:t>
            </w:r>
          </w:p>
        </w:tc>
      </w:tr>
      <w:tr>
        <w:tc>
          <w:tcPr>
            <w:tcW w:type="dxa" w:w="22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Types of Towing</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Semi Truck Towing, Rotator Recovery, Jackknife Recovery, Rollover Recovery, Equipment Transport, Bus Towing, Flatbed Towing, Heavy Haul</w:t>
            </w:r>
          </w:p>
        </w:tc>
      </w:tr>
      <w:tr>
        <w:tc>
          <w:tcPr>
            <w:tcW w:type="dxa" w:w="22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Service Range</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Bay Area 5 counties, Stockton hub, I-corridor coverage, Port of Oakland, Interstate I-80/I-880/I-101, San Jose/Oakland/SF hubs</w:t>
            </w:r>
          </w:p>
        </w:tc>
      </w:tr>
      <w:tr>
        <w:tc>
          <w:tcPr>
            <w:tcW w:type="dxa" w:w="22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Certifications</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CTTA Certified, ITRA Certified, DOT Compliant, OSHA Verified, COI Available, Vendor Onboarding Ready</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Call Assets — Campaign 2: Heavy Duty &amp; Commercial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Call assets enable direct phone calling from the ad. For B2B, use dedicated numbers to track fleet inquiry calls separately. Set call reporting to 45+ seconds = conversion.</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400"/>
        <w:gridCol w:w="2400"/>
        <w:gridCol w:w="2400"/>
        <w:gridCol w:w="2160"/>
      </w:tblGrid>
      <w:tr>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Hub / County</w:t>
            </w:r>
          </w:p>
        </w:tc>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Phone Number</w:t>
            </w:r>
          </w:p>
        </w:tc>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Ad Group / Campaign</w:t>
            </w:r>
          </w:p>
        </w:tc>
        <w:tc>
          <w:tcPr>
            <w:tcW w:type="dxa" w:w="21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Setup Note</w:t>
            </w:r>
          </w:p>
        </w:tc>
      </w:tr>
      <w:tr>
        <w:tc>
          <w:tcPr>
            <w:tcW w:type="dxa" w:w="24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Brisbane HQ</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E87722"/>
                <w:sz w:val="20"/>
                <w:szCs w:val="20"/>
              </w:rPr>
              <w:t xml:space="preserve">650-881-2400</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Campaign 2 (default)</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666666"/>
                <w:sz w:val="16"/>
                <w:szCs w:val="16"/>
              </w:rPr>
              <w:t xml:space="preserve">Primary — all B2B ad groups</w:t>
            </w:r>
          </w:p>
        </w:tc>
      </w:tr>
      <w:tr>
        <w:tc>
          <w:tcPr>
            <w:tcW w:type="dxa" w:w="24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Oakland Hub</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E87722"/>
                <w:sz w:val="20"/>
                <w:szCs w:val="20"/>
              </w:rPr>
              <w:t xml:space="preserve">510-800-3800</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East Bay / Alameda AG</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666666"/>
                <w:sz w:val="16"/>
                <w:szCs w:val="16"/>
              </w:rPr>
              <w:t xml:space="preserve">Geo-targeted — ad group level</w:t>
            </w:r>
          </w:p>
        </w:tc>
      </w:tr>
      <w:tr>
        <w:tc>
          <w:tcPr>
            <w:tcW w:type="dxa" w:w="240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9"/>
                <w:szCs w:val="19"/>
              </w:rPr>
              <w:t xml:space="preserve">San Jose Hub</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E87722"/>
                <w:sz w:val="20"/>
                <w:szCs w:val="20"/>
              </w:rPr>
              <w:t xml:space="preserve">408-800-3800</w:t>
            </w:r>
          </w:p>
        </w:tc>
        <w:tc>
          <w:tcPr>
            <w:tcW w:type="dxa" w:w="24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South Bay / Santa Clara AG</w:t>
            </w:r>
          </w:p>
        </w:tc>
        <w:tc>
          <w:tcPr>
            <w:tcW w:type="dxa" w:w="216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iCs/>
                <w:color w:val="666666"/>
                <w:sz w:val="16"/>
                <w:szCs w:val="16"/>
              </w:rPr>
              <w:t xml:space="preserve">Geo-targeted — ad group level</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Price Assets — Campaign 2: Heavy Duty &amp; Commercial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For C2, price assets also function as a lead qualifier — fleet managers researching rates will click through. 'Custom Quote' entries signal that capability is unlimited and pricing is negotiated — this is appropriate for high-value B2B services.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400"/>
        <w:gridCol w:w="1200"/>
        <w:gridCol w:w="3000"/>
        <w:gridCol w:w="2760"/>
      </w:tblGrid>
      <w:tr>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Service Header</w:t>
            </w:r>
          </w:p>
        </w:tc>
        <w:tc>
          <w:tcPr>
            <w:tcW w:type="dxa" w:w="1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center"/>
            </w:pPr>
            <w:r>
              <w:rPr>
                <w:rFonts w:ascii="Arial" w:cs="Arial" w:eastAsia="Arial" w:hAnsi="Arial"/>
                <w:b/>
                <w:bCs/>
                <w:i w:val="false"/>
                <w:iCs w:val="false"/>
                <w:color w:val="FFFFFF"/>
                <w:sz w:val="18"/>
                <w:szCs w:val="18"/>
              </w:rPr>
              <w:t xml:space="preserve">Price / Rate</w:t>
            </w:r>
          </w:p>
        </w:tc>
        <w:tc>
          <w:tcPr>
            <w:tcW w:type="dxa" w:w="3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Description</w:t>
            </w:r>
          </w:p>
        </w:tc>
        <w:tc>
          <w:tcPr>
            <w:tcW w:type="dxa" w:w="27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Final URL</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Semi Truck Towing</w:t>
            </w:r>
          </w:p>
        </w:tc>
        <w:tc>
          <w:tcPr>
            <w:tcW w:type="dxa" w:w="1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$350</w:t>
            </w:r>
          </w:p>
        </w:tc>
        <w:tc>
          <w:tcPr>
            <w:tcW w:type="dxa" w:w="3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Class 7-8 commercial vehicles, loaded or empty</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/services/semi-truck-towing</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Heavy Recovery</w:t>
            </w:r>
          </w:p>
        </w:tc>
        <w:tc>
          <w:tcPr>
            <w:tcW w:type="dxa" w:w="1200"/>
            <w:tcBorders>
              <w:top w:val="none" w:color="FFFFFF" w:sz="0"/>
              <w:left w:val="none" w:color="FFFFFF" w:sz="0"/>
              <w:bottom w:val="none" w:color="FFFFFF" w:sz="0"/>
              <w:right w:val="none" w:color="FFFFFF" w:sz="0"/>
            </w:tcBorders>
            <w:shd w:fill="F1F8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Custom Quote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Rotator recovery — incident-specific pricing</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/services/heavy-recovery</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Equipment Transport</w:t>
            </w:r>
          </w:p>
        </w:tc>
        <w:tc>
          <w:tcPr>
            <w:tcW w:type="dxa" w:w="1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Custom Quote</w:t>
            </w:r>
          </w:p>
        </w:tc>
        <w:tc>
          <w:tcPr>
            <w:tcW w:type="dxa" w:w="3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Excavators, bulldozers, cranes — lowboy rates</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/services/equipment-transport</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Bus Towing</w:t>
            </w:r>
          </w:p>
        </w:tc>
        <w:tc>
          <w:tcPr>
            <w:tcW w:type="dxa" w:w="1200"/>
            <w:tcBorders>
              <w:top w:val="none" w:color="FFFFFF" w:sz="0"/>
              <w:left w:val="none" w:color="FFFFFF" w:sz="0"/>
              <w:bottom w:val="none" w:color="FFFFFF" w:sz="0"/>
              <w:right w:val="none" w:color="FFFFFF" w:sz="0"/>
            </w:tcBorders>
            <w:shd w:fill="F1F8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From $400</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Municipal buses, coaches, school buses</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/services/bus-towing</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Fleet Contract</w:t>
            </w:r>
          </w:p>
        </w:tc>
        <w:tc>
          <w:tcPr>
            <w:tcW w:type="dxa" w:w="1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vAlign w:val="center"/>
          </w:tcPr>
          <w:p>
            <w:pPr>
              <w:spacing w:before="0" w:after="80"/>
              <w:jc w:val="center"/>
            </w:pPr>
            <w:r>
              <w:rPr>
                <w:rFonts w:ascii="Arial" w:cs="Arial" w:eastAsia="Arial" w:hAnsi="Arial"/>
                <w:b/>
                <w:bCs/>
                <w:i w:val="false"/>
                <w:iCs w:val="false"/>
                <w:color w:val="2E7D32"/>
                <w:sz w:val="20"/>
                <w:szCs w:val="20"/>
              </w:rPr>
              <w:t xml:space="preserve">Volume Pricing</w:t>
            </w:r>
          </w:p>
        </w:tc>
        <w:tc>
          <w:tcPr>
            <w:tcW w:type="dxa" w:w="3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Monthly SLA towing — call or email for rates</w:t>
            </w:r>
          </w:p>
        </w:tc>
        <w:tc>
          <w:tcPr>
            <w:tcW w:type="dxa" w:w="27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6"/>
                <w:szCs w:val="16"/>
              </w:rPr>
              <w:t xml:space="preserve">/fleet-quote</w:t>
            </w:r>
          </w:p>
        </w:tc>
      </w:tr>
    </w:tbl>
    <w:p>
      <w:pPr>
        <w:spacing w:before="0" w:after="80"/>
        <w:jc w:val="left"/>
      </w:pPr>
      <w:r>
        <w:rPr>
          <w:rFonts w:ascii="Arial" w:cs="Arial" w:eastAsia="Arial" w:hAnsi="Arial"/>
          <w:b w:val="false"/>
          <w:bCs w:val="false"/>
          <w:i w:val="false"/>
          <w:iCs w:val="false"/>
          <w:color w:val="333333"/>
          <w:sz w:val="20"/>
          <w:szCs w:val="20"/>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top"/>
          </w:tcPr>
          <w:p>
            <w:pPr>
              <w:spacing w:before="60" w:after="60"/>
              <w:jc w:val="center"/>
            </w:pPr>
            <w:r>
              <w:rPr>
                <w:rFonts w:ascii="Arial" w:cs="Arial" w:eastAsia="Arial" w:hAnsi="Arial"/>
                <w:b/>
                <w:bCs/>
                <w:i w:val="false"/>
                <w:iCs w:val="false"/>
                <w:color w:val="FFFFFF"/>
                <w:sz w:val="22"/>
                <w:szCs w:val="22"/>
              </w:rPr>
              <w:t xml:space="preserve">CALL ASSETS — BOTH CAMPAIGNS (Phone Number Extensions)</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160" w:after="60"/>
        <w:jc w:val="left"/>
      </w:pPr>
      <w:r>
        <w:rPr>
          <w:rFonts w:ascii="Arial" w:cs="Arial" w:eastAsia="Arial" w:hAnsi="Arial"/>
          <w:b/>
          <w:bCs/>
          <w:i w:val="false"/>
          <w:iCs w:val="false"/>
          <w:color w:val="1A3C6E"/>
          <w:sz w:val="26"/>
          <w:szCs w:val="26"/>
        </w:rPr>
        <w:t xml:space="preserve">Call Assets — All Numbers by County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E7" w:val="clear"/>
            <w:tcMar>
              <w:top w:type="dxa" w:w="160"/>
              <w:left w:type="dxa" w:w="200"/>
              <w:bottom w:type="dxa" w:w="160"/>
              <w:right w:type="dxa" w:w="200"/>
            </w:tcMar>
            <w:vAlign w:val="top"/>
          </w:tcPr>
          <w:p>
            <w:pPr>
              <w:spacing w:before="40" w:after="60"/>
              <w:jc w:val="left"/>
            </w:pPr>
            <w:r>
              <w:rPr>
                <w:rFonts w:ascii="Arial" w:cs="Arial" w:eastAsia="Arial" w:hAnsi="Arial"/>
                <w:b/>
                <w:bCs/>
                <w:i w:val="false"/>
                <w:iCs w:val="false"/>
                <w:color w:val="F57F17"/>
                <w:sz w:val="20"/>
                <w:szCs w:val="20"/>
              </w:rPr>
              <w:t xml:space="preserve">📌 COPY GUIDANCE NOTE:</w:t>
            </w:r>
          </w:p>
          <w:p>
            <w:pPr>
              <w:spacing w:before="0" w:after="40"/>
              <w:jc w:val="left"/>
            </w:pPr>
            <w:r>
              <w:rPr>
                <w:rFonts w:ascii="Arial" w:cs="Arial" w:eastAsia="Arial" w:hAnsi="Arial"/>
                <w:b w:val="false"/>
                <w:bCs w:val="false"/>
                <w:i w:val="false"/>
                <w:iCs w:val="false"/>
                <w:color w:val="333333"/>
                <w:sz w:val="19"/>
                <w:szCs w:val="19"/>
              </w:rPr>
              <w:t xml:space="preserve">Call assets are the most important conversion asset for towing. They allow users to call directly from the ad without clicking through to the landing page. Use all county numbers. Set call reporting to track calls of 45+ seconds as conversions.</w:t>
            </w:r>
          </w:p>
        </w:tc>
      </w:tr>
    </w:tbl>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400"/>
        <w:gridCol w:w="2000"/>
        <w:gridCol w:w="2400"/>
        <w:gridCol w:w="2560"/>
      </w:tblGrid>
      <w:tr>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Hub / County</w:t>
            </w:r>
          </w:p>
        </w:tc>
        <w:tc>
          <w:tcPr>
            <w:tcW w:type="dxa" w:w="20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Phone Number</w:t>
            </w:r>
          </w:p>
        </w:tc>
        <w:tc>
          <w:tcPr>
            <w:tcW w:type="dxa" w:w="24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Primary Campaigns</w:t>
            </w:r>
          </w:p>
        </w:tc>
        <w:tc>
          <w:tcPr>
            <w:tcW w:type="dxa" w:w="256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Setup Note</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Brisbane HQ (All Counties)</w:t>
            </w:r>
          </w:p>
        </w:tc>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E87722"/>
                <w:sz w:val="20"/>
                <w:szCs w:val="20"/>
              </w:rPr>
              <w:t xml:space="preserve">650-881-2400</w:t>
            </w:r>
          </w:p>
        </w:tc>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Both C1 &amp; C2</w:t>
            </w:r>
          </w:p>
        </w:tc>
        <w:tc>
          <w:tcPr>
            <w:tcW w:type="dxa" w:w="2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7"/>
                <w:szCs w:val="17"/>
              </w:rPr>
              <w:t xml:space="preserve">Primary number — use on all campaigns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Oakland Hub (Alameda County)</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E87722"/>
                <w:sz w:val="20"/>
                <w:szCs w:val="20"/>
              </w:rPr>
              <w:t xml:space="preserve">510-800-3800</w:t>
            </w:r>
          </w:p>
        </w:tc>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C1 Alameda AG, C2 East Bay</w:t>
            </w:r>
          </w:p>
        </w:tc>
        <w:tc>
          <w:tcPr>
            <w:tcW w:type="dxa" w:w="2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7"/>
                <w:szCs w:val="17"/>
              </w:rPr>
              <w:t xml:space="preserve">Ad group level — geo-targeted</w:t>
            </w:r>
          </w:p>
        </w:tc>
      </w:tr>
      <w:tr>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San Jose Hub (Santa Clara)</w:t>
            </w:r>
          </w:p>
        </w:tc>
        <w:tc>
          <w:tcPr>
            <w:tcW w:type="dxa" w:w="20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E87722"/>
                <w:sz w:val="20"/>
                <w:szCs w:val="20"/>
              </w:rPr>
              <w:t xml:space="preserve">408-800-3800</w:t>
            </w:r>
          </w:p>
        </w:tc>
        <w:tc>
          <w:tcPr>
            <w:tcW w:type="dxa" w:w="2400"/>
            <w:tcBorders>
              <w:top w:val="none" w:color="FFFFFF" w:sz="0"/>
              <w:left w:val="none" w:color="FFFFFF" w:sz="0"/>
              <w:bottom w:val="none" w:color="FFFFFF" w:sz="0"/>
              <w:right w:val="none" w:color="FFFFFF" w:sz="0"/>
            </w:tcBorders>
            <w:shd w:fill="E8F0F8"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C1 South Bay AG, C2 South Bay</w:t>
            </w:r>
          </w:p>
        </w:tc>
        <w:tc>
          <w:tcPr>
            <w:tcW w:type="dxa" w:w="2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7"/>
                <w:szCs w:val="17"/>
              </w:rPr>
              <w:t xml:space="preserve">Ad group level — geo-targeted</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1A3C6E"/>
                <w:sz w:val="19"/>
                <w:szCs w:val="19"/>
              </w:rPr>
              <w:t xml:space="preserve">Dispatch Email</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80"/>
              <w:jc w:val="left"/>
            </w:pPr>
            <w:r>
              <w:rPr>
                <w:rFonts w:ascii="Arial" w:cs="Arial" w:eastAsia="Arial" w:hAnsi="Arial"/>
                <w:b/>
                <w:bCs/>
                <w:i w:val="false"/>
                <w:iCs w:val="false"/>
                <w:color w:val="E87722"/>
                <w:sz w:val="20"/>
                <w:szCs w:val="20"/>
              </w:rPr>
              <w:t xml:space="preserve">dispatch@heavytowpro.com</w:t>
            </w:r>
          </w:p>
        </w:tc>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C2 Fleet accounts</w:t>
            </w:r>
          </w:p>
        </w:tc>
        <w:tc>
          <w:tcPr>
            <w:tcW w:type="dxa" w:w="256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vAlign w:val="top"/>
          </w:tcPr>
          <w:p>
            <w:pPr>
              <w:spacing w:before="0" w:after="80"/>
              <w:jc w:val="left"/>
            </w:pPr>
            <w:r>
              <w:rPr>
                <w:rFonts w:ascii="Arial" w:cs="Arial" w:eastAsia="Arial" w:hAnsi="Arial"/>
                <w:b w:val="false"/>
                <w:bCs w:val="false"/>
                <w:i/>
                <w:iCs/>
                <w:color w:val="666666"/>
                <w:sz w:val="17"/>
                <w:szCs w:val="17"/>
              </w:rPr>
              <w:t xml:space="preserve">Not a call asset — use in description &amp; sitelinks</w:t>
            </w:r>
          </w:p>
        </w:tc>
      </w:tr>
    </w:tbl>
    <w:p>
      <w:pPr>
        <w:spacing w:before="0" w:after="80"/>
        <w:jc w:val="left"/>
      </w:pPr>
      <w:r>
        <w:rPr>
          <w:rFonts w:ascii="Arial" w:cs="Arial" w:eastAsia="Arial" w:hAnsi="Arial"/>
          <w:b w:val="false"/>
          <w:bCs w:val="false"/>
          <w:i w:val="false"/>
          <w:iCs w:val="false"/>
          <w:color w:val="333333"/>
          <w:sz w:val="20"/>
          <w:szCs w:val="20"/>
        </w:rPr>
        <w:t xml:space="preserve"/>
      </w:r>
    </w:p>
    <w:p>
      <w:pPr>
        <w:pBdr>
          <w:bottom w:val="single" w:color="E87722" w:sz="4"/>
        </w:pBdr>
        <w:spacing w:before="120" w:after="120"/>
      </w:pPr>
    </w:p>
    <w:p>
      <w:pPr>
        <w:spacing w:before="160" w:after="60"/>
        <w:jc w:val="left"/>
      </w:pPr>
      <w:r>
        <w:rPr>
          <w:rFonts w:ascii="Arial" w:cs="Arial" w:eastAsia="Arial" w:hAnsi="Arial"/>
          <w:b/>
          <w:bCs/>
          <w:i w:val="false"/>
          <w:iCs w:val="false"/>
          <w:color w:val="1A3C6E"/>
          <w:sz w:val="26"/>
          <w:szCs w:val="26"/>
        </w:rPr>
        <w:t xml:space="preserve">Campaign Setup Quick Reference — Both Campaigns</w:t>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3580"/>
        <w:gridCol w:w="3580"/>
      </w:tblGrid>
      <w:tr>
        <w:tc>
          <w:tcPr>
            <w:tcW w:type="dxa" w:w="220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Setting</w:t>
            </w:r>
          </w:p>
        </w:tc>
        <w:tc>
          <w:tcPr>
            <w:tcW w:type="dxa" w:w="358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Campaign 1 — Light &amp; Medium Duty</w:t>
            </w:r>
          </w:p>
        </w:tc>
        <w:tc>
          <w:tcPr>
            <w:tcW w:type="dxa" w:w="3580"/>
            <w:tcBorders>
              <w:top w:val="none" w:color="FFFFFF" w:sz="0"/>
              <w:left w:val="none" w:color="FFFFFF" w:sz="0"/>
              <w:bottom w:val="none" w:color="FFFFFF" w:sz="0"/>
              <w:right w:val="none" w:color="FFFFFF" w:sz="0"/>
            </w:tcBorders>
            <w:shd w:fill="333333" w:val="clear"/>
            <w:tcMar>
              <w:top w:type="dxa" w:w="80"/>
              <w:left w:type="dxa" w:w="120"/>
              <w:bottom w:type="dxa" w:w="80"/>
              <w:right w:type="dxa" w:w="120"/>
            </w:tcMar>
            <w:vAlign w:val="top"/>
          </w:tcPr>
          <w:p>
            <w:pPr>
              <w:spacing w:before="0" w:after="80"/>
              <w:jc w:val="left"/>
            </w:pPr>
            <w:r>
              <w:rPr>
                <w:rFonts w:ascii="Arial" w:cs="Arial" w:eastAsia="Arial" w:hAnsi="Arial"/>
                <w:b/>
                <w:bCs/>
                <w:i w:val="false"/>
                <w:iCs w:val="false"/>
                <w:color w:val="FFFFFF"/>
                <w:sz w:val="18"/>
                <w:szCs w:val="18"/>
              </w:rPr>
              <w:t xml:space="preserve">Campaign 2 — Heavy Duty</w:t>
            </w:r>
          </w:p>
        </w:tc>
      </w:tr>
      <w:tr>
        <w:tc>
          <w:tcPr>
            <w:tcW w:type="dxa" w:w="2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Goal</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Phone calls (primary), form fills (secondary)</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Phone calls + fleet quote form</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Bidding</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Maximize Conversions → Target CPA</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Maximize Conv. Value → Target ROAS</w:t>
            </w:r>
          </w:p>
        </w:tc>
      </w:tr>
      <w:tr>
        <w:tc>
          <w:tcPr>
            <w:tcW w:type="dxa" w:w="2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Daily Budget</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$50–$150/day (start conservative)</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$80–$200/day</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Target CPA</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$35–$65 per call</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$60–$120 per lead</w:t>
            </w:r>
          </w:p>
        </w:tc>
      </w:tr>
      <w:tr>
        <w:tc>
          <w:tcPr>
            <w:tcW w:type="dxa" w:w="2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CPC Benchmark</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$2.79–$16.04 (avg ~$6–$8 Bay Area)</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$5.84–$27.00 (avg ~$10–$14 Bay Area — semi truck towing up to $27)</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Device</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Mobile priority (80%+ bid adjustment)</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Mobile + desktop enabled</w:t>
            </w:r>
          </w:p>
        </w:tc>
      </w:tr>
      <w:tr>
        <w:tc>
          <w:tcPr>
            <w:tcW w:type="dxa" w:w="2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Ad Schedule</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24/7 (breakdowns have no schedule)</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24/7 + Mon-Fri 7am-7pm bid boost +20%</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Location</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Bay Area 5 counties + Brisbane hub radius</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5 counties + Stockton + I-corridor boosts</w:t>
            </w:r>
          </w:p>
        </w:tc>
      </w:tr>
      <w:tr>
        <w:tc>
          <w:tcPr>
            <w:tcW w:type="dxa" w:w="2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Networks</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Search only (no Display/Search Partners initially)</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Search only initially</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Conv. Tracking</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Google call reporting — 45+ sec = conversion</w:t>
            </w:r>
          </w:p>
        </w:tc>
        <w:tc>
          <w:tcPr>
            <w:tcW w:type="dxa" w:w="358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45+ sec call + fleet form submission</w:t>
            </w:r>
          </w:p>
        </w:tc>
      </w:tr>
      <w:tr>
        <w:tc>
          <w:tcPr>
            <w:tcW w:type="dxa" w:w="2200"/>
            <w:tcBorders>
              <w:top w:val="none" w:color="FFFFFF" w:sz="0"/>
              <w:left w:val="none" w:color="FFFFFF" w:sz="0"/>
              <w:bottom w:val="none" w:color="FFFFFF" w:sz="0"/>
              <w:right w:val="none" w:color="FFFFFF" w:sz="0"/>
            </w:tcBorders>
            <w:shd w:fill="F2F2F2" w:val="clear"/>
            <w:tcMar>
              <w:top w:type="dxa" w:w="60"/>
              <w:left w:type="dxa" w:w="120"/>
              <w:bottom w:type="dxa" w:w="60"/>
              <w:right w:type="dxa" w:w="120"/>
            </w:tcMar>
            <w:vAlign w:val="top"/>
          </w:tcPr>
          <w:p>
            <w:pPr>
              <w:spacing w:before="0" w:after="80"/>
              <w:jc w:val="left"/>
            </w:pPr>
            <w:r>
              <w:rPr>
                <w:rFonts w:ascii="Arial" w:cs="Arial" w:eastAsia="Arial" w:hAnsi="Arial"/>
                <w:b/>
                <w:bCs/>
                <w:i w:val="false"/>
                <w:iCs w:val="false"/>
                <w:color w:val="1A3C6E"/>
                <w:sz w:val="18"/>
                <w:szCs w:val="18"/>
              </w:rPr>
              <w:t xml:space="preserve">Landing Page</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Phase4_LP1_Light_Medium_Duty (build via Phase 6)</w:t>
            </w:r>
          </w:p>
        </w:tc>
        <w:tc>
          <w:tcPr>
            <w:tcW w:type="dxa" w:w="3580"/>
            <w:tcBorders>
              <w:top w:val="none" w:color="FFFFFF" w:sz="0"/>
              <w:left w:val="none" w:color="FFFFFF" w:sz="0"/>
              <w:bottom w:val="none" w:color="FFFFFF" w:sz="0"/>
              <w:right w:val="none" w:color="FFFFFF" w:sz="0"/>
            </w:tcBorders>
            <w:shd w:fill="E8F0F8" w:val="clear"/>
            <w:tcMar>
              <w:top w:type="dxa" w:w="60"/>
              <w:left w:type="dxa" w:w="120"/>
              <w:bottom w:type="dxa" w:w="60"/>
              <w:right w:type="dxa" w:w="120"/>
            </w:tcMar>
            <w:vAlign w:val="top"/>
          </w:tcPr>
          <w:p>
            <w:pPr>
              <w:spacing w:before="0" w:after="80"/>
              <w:jc w:val="left"/>
            </w:pPr>
            <w:r>
              <w:rPr>
                <w:rFonts w:ascii="Arial" w:cs="Arial" w:eastAsia="Arial" w:hAnsi="Arial"/>
                <w:b w:val="false"/>
                <w:bCs w:val="false"/>
                <w:i w:val="false"/>
                <w:iCs w:val="false"/>
                <w:color w:val="333333"/>
                <w:sz w:val="18"/>
                <w:szCs w:val="18"/>
              </w:rPr>
              <w:t xml:space="preserve">Phase4_LP2_Heavy_Duty (build via Phase 6)</w:t>
            </w:r>
          </w:p>
        </w:tc>
      </w:tr>
    </w:tbl>
    <w:p>
      <w:pPr>
        <w:spacing w:before="0" w:after="80"/>
        <w:jc w:val="left"/>
      </w:pPr>
      <w:r>
        <w:rPr>
          <w:rFonts w:ascii="Arial" w:cs="Arial" w:eastAsia="Arial" w:hAnsi="Arial"/>
          <w:b w:val="false"/>
          <w:bCs w:val="false"/>
          <w:i w:val="false"/>
          <w:iCs w:val="false"/>
          <w:color w:val="333333"/>
          <w:sz w:val="20"/>
          <w:szCs w:val="20"/>
        </w:rPr>
        <w:t xml:space="preserve"/>
      </w:r>
    </w:p>
    <w:p>
      <w:pPr>
        <w:spacing w:before="0" w:after="80"/>
        <w:jc w:val="left"/>
      </w:pPr>
      <w:r>
        <w:rPr>
          <w:rFonts w:ascii="Arial" w:cs="Arial" w:eastAsia="Arial" w:hAnsi="Arial"/>
          <w:b w:val="false"/>
          <w:bCs w:val="false"/>
          <w:i w:val="false"/>
          <w:iCs w:val="false"/>
          <w:color w:val="333333"/>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20"/>
              <w:left w:type="dxa" w:w="120"/>
              <w:bottom w:type="dxa" w:w="120"/>
              <w:right w:type="dxa" w:w="120"/>
            </w:tcMar>
            <w:vAlign w:val="top"/>
          </w:tcPr>
          <w:p>
            <w:pPr>
              <w:spacing w:before="80" w:after="80"/>
              <w:jc w:val="center"/>
            </w:pPr>
            <w:r>
              <w:rPr>
                <w:rFonts w:ascii="Arial" w:cs="Arial" w:eastAsia="Arial" w:hAnsi="Arial"/>
                <w:b/>
                <w:bCs/>
                <w:i w:val="false"/>
                <w:iCs w:val="false"/>
                <w:color w:val="FFFFFF"/>
                <w:sz w:val="20"/>
                <w:szCs w:val="20"/>
              </w:rPr>
              <w:t xml:space="preserve">End of Phase 5 v2 — Google Ads Copy Library (GKP Enhanced)</w:t>
            </w:r>
          </w:p>
          <w:p>
            <w:pPr>
              <w:spacing w:before="0" w:after="80"/>
              <w:jc w:val="center"/>
            </w:pPr>
            <w:r>
              <w:rPr>
                <w:rFonts w:ascii="Arial" w:cs="Arial" w:eastAsia="Arial" w:hAnsi="Arial"/>
                <w:b w:val="false"/>
                <w:bCs w:val="false"/>
                <w:i w:val="false"/>
                <w:iCs w:val="false"/>
                <w:color w:val="E8F0F8"/>
                <w:sz w:val="18"/>
                <w:szCs w:val="18"/>
              </w:rPr>
              <w:t xml:space="preserve">October 2025 Bay Area Data | Phase 6 Next: Cursor AI Prompts for Landing Page Build</w:t>
            </w:r>
          </w:p>
        </w:tc>
      </w:tr>
    </w:tbl>
    <w:sectPr>
      <w:headerReference w:type="default" r:id="rId6"/>
      <w:footerReference w:type="default" r:id="rId7"/>
      <w:pgSz w:w="12240" w:h="15840" w:orient="portrait"/>
      <w:pgMar w:top="144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pBdr>
      <w:spacing w:before="80" w:after="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pBdr>
      <w:spacing w:before="0" w:after="80"/>
      <w:jc w:val="right"/>
    </w:pPr>
    <w:r>
      <w:rPr>
        <w:rFonts w:ascii="Arial" w:cs="Arial" w:eastAsia="Arial" w:hAnsi="Arial"/>
        <w:color w:val="666666"/>
        <w:sz w:val="16"/>
        <w:szCs w:val="16"/>
      </w:rPr>
      <w:t xml:space="preserve">HeavyTowPro | Phase 5 v2 — Google Ads Copy Library (GKP Enhanced) | October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3C6E"/>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2026-02-21T17:05:10.606Z</dcterms:created>
  <dcterms:modified xsi:type="dcterms:W3CDTF">2026-02-21T17:05:10.606Z</dcterms:modified>
</cp:coreProperties>
</file>

<file path=docProps/custom.xml><?xml version="1.0" encoding="utf-8"?>
<Properties xmlns="http://schemas.openxmlformats.org/officeDocument/2006/custom-properties" xmlns:vt="http://schemas.openxmlformats.org/officeDocument/2006/docPropsVTypes"/>
</file>