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C6E" w:val="clear"/>
            <w:tcMar>
              <w:top w:type="dxa" w:w="300"/>
              <w:left w:type="dxa" w:w="120"/>
              <w:bottom w:type="dxa" w:w="300"/>
              <w:right w:type="dxa" w:w="120"/>
            </w:tcMar>
            <w:vAlign w:val="top"/>
          </w:tcPr>
          <w:p>
            <w:pPr>
              <w:spacing w:before="200" w:after="80"/>
              <w:jc w:val="center"/>
            </w:pPr>
            <w:r>
              <w:rPr>
                <w:rFonts w:ascii="Arial" w:cs="Arial" w:eastAsia="Arial" w:hAnsi="Arial"/>
                <w:b/>
                <w:bCs/>
                <w:i w:val="false"/>
                <w:iCs w:val="false"/>
                <w:color w:val="FFFFFF"/>
                <w:sz w:val="52"/>
                <w:szCs w:val="52"/>
              </w:rPr>
              <w:t xml:space="preserve">LANDING PAGE COPY</w:t>
            </w:r>
          </w:p>
          <w:p>
            <w:pPr>
              <w:spacing w:before="0" w:after="120"/>
              <w:jc w:val="center"/>
            </w:pPr>
            <w:r>
              <w:rPr>
                <w:rFonts w:ascii="Arial" w:cs="Arial" w:eastAsia="Arial" w:hAnsi="Arial"/>
                <w:b/>
                <w:bCs/>
                <w:i w:val="false"/>
                <w:iCs w:val="false"/>
                <w:color w:val="E87722"/>
                <w:sz w:val="30"/>
                <w:szCs w:val="30"/>
              </w:rPr>
              <w:t xml:space="preserve">Campaign 2: Heavy Duty Towing &amp; Commercial Recovery</w:t>
            </w:r>
          </w:p>
          <w:p>
            <w:pPr>
              <w:spacing w:before="0" w:after="60"/>
              <w:jc w:val="center"/>
            </w:pPr>
            <w:r>
              <w:rPr>
                <w:rFonts w:ascii="Arial" w:cs="Arial" w:eastAsia="Arial" w:hAnsi="Arial"/>
                <w:b w:val="false"/>
                <w:bCs w:val="false"/>
                <w:i w:val="false"/>
                <w:iCs w:val="false"/>
                <w:color w:val="E8F0F8"/>
                <w:sz w:val="22"/>
                <w:szCs w:val="22"/>
              </w:rPr>
              <w:t xml:space="preserve">HeavyTowPro (Heavy Haulers) | heavytowpro.com</w:t>
            </w:r>
          </w:p>
          <w:p>
            <w:pPr>
              <w:spacing w:before="0" w:after="200"/>
              <w:jc w:val="center"/>
            </w:pPr>
            <w:r>
              <w:rPr>
                <w:rFonts w:ascii="Arial" w:cs="Arial" w:eastAsia="Arial" w:hAnsi="Arial"/>
                <w:b w:val="false"/>
                <w:bCs w:val="false"/>
                <w:i w:val="false"/>
                <w:iCs w:val="false"/>
                <w:color w:val="E8F0F8"/>
                <w:sz w:val="19"/>
                <w:szCs w:val="19"/>
              </w:rPr>
              <w:t xml:space="preserve">CRO-Optimized Web Copy | Phase 4 Deliverable</w:t>
            </w:r>
          </w:p>
        </w:tc>
      </w:tr>
    </w:tbl>
    <w:p>
      <w:pPr>
        <w:spacing w:before="0" w:after="80"/>
        <w:jc w:val="left"/>
      </w:pPr>
      <w:r>
        <w:rPr>
          <w:rFonts w:ascii="Arial" w:cs="Arial" w:eastAsia="Arial" w:hAnsi="Arial"/>
          <w:b w:val="false"/>
          <w:bCs w:val="false"/>
          <w:i w:val="false"/>
          <w:iCs w:val="false"/>
          <w:color w:val="333333"/>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0F8" w:val="clear"/>
            <w:tcMar>
              <w:top w:type="dxa" w:w="160"/>
              <w:left w:type="dxa" w:w="200"/>
              <w:bottom w:type="dxa" w:w="160"/>
              <w:right w:type="dxa" w:w="200"/>
            </w:tcMar>
            <w:vAlign w:val="top"/>
          </w:tcPr>
          <w:p>
            <w:pPr>
              <w:spacing w:before="40" w:after="60"/>
              <w:jc w:val="left"/>
            </w:pPr>
            <w:r>
              <w:rPr>
                <w:rFonts w:ascii="Arial" w:cs="Arial" w:eastAsia="Arial" w:hAnsi="Arial"/>
                <w:b/>
                <w:bCs/>
                <w:i w:val="false"/>
                <w:iCs w:val="false"/>
                <w:color w:val="1A3C6E"/>
                <w:sz w:val="20"/>
                <w:szCs w:val="20"/>
              </w:rPr>
              <w:t xml:space="preserve">Document Overview</w:t>
            </w:r>
          </w:p>
          <w:p>
            <w:pPr>
              <w:spacing w:before="0" w:after="40"/>
              <w:jc w:val="left"/>
            </w:pPr>
            <w:r>
              <w:rPr>
                <w:rFonts w:ascii="Arial" w:cs="Arial" w:eastAsia="Arial" w:hAnsi="Arial"/>
                <w:b w:val="false"/>
                <w:bCs w:val="false"/>
                <w:i w:val="false"/>
                <w:iCs w:val="false"/>
                <w:color w:val="333333"/>
                <w:sz w:val="19"/>
                <w:szCs w:val="19"/>
              </w:rPr>
              <w:t xml:space="preserve">Campaign: Campaign 2 — Heavy Duty Towing &amp; Commercial Recovery</w:t>
            </w:r>
          </w:p>
          <w:p>
            <w:pPr>
              <w:spacing w:before="0" w:after="40"/>
              <w:jc w:val="left"/>
            </w:pPr>
            <w:r>
              <w:rPr>
                <w:rFonts w:ascii="Arial" w:cs="Arial" w:eastAsia="Arial" w:hAnsi="Arial"/>
                <w:b w:val="false"/>
                <w:bCs w:val="false"/>
                <w:i w:val="false"/>
                <w:iCs w:val="false"/>
                <w:color w:val="333333"/>
                <w:sz w:val="19"/>
                <w:szCs w:val="19"/>
              </w:rPr>
              <w:t xml:space="preserve">Target Audience: Fleet managers, logistics coordinators, construction firms, trucking companies, bus operators, freight companies</w:t>
            </w:r>
          </w:p>
          <w:p>
            <w:pPr>
              <w:spacing w:before="0" w:after="40"/>
              <w:jc w:val="left"/>
            </w:pPr>
            <w:r>
              <w:rPr>
                <w:rFonts w:ascii="Arial" w:cs="Arial" w:eastAsia="Arial" w:hAnsi="Arial"/>
                <w:b w:val="false"/>
                <w:bCs w:val="false"/>
                <w:i w:val="false"/>
                <w:iCs w:val="false"/>
                <w:color w:val="333333"/>
                <w:sz w:val="19"/>
                <w:szCs w:val="19"/>
              </w:rPr>
              <w:t xml:space="preserve">Primary Conversions: Phone call (emergency) + Fleet quote form submission (B2B relationship)</w:t>
            </w:r>
          </w:p>
          <w:p>
            <w:pPr>
              <w:spacing w:before="0" w:after="40"/>
              <w:jc w:val="left"/>
            </w:pPr>
            <w:r>
              <w:rPr>
                <w:rFonts w:ascii="Arial" w:cs="Arial" w:eastAsia="Arial" w:hAnsi="Arial"/>
                <w:b w:val="false"/>
                <w:bCs w:val="false"/>
                <w:i w:val="false"/>
                <w:iCs w:val="false"/>
                <w:color w:val="333333"/>
                <w:sz w:val="19"/>
                <w:szCs w:val="19"/>
              </w:rPr>
              <w:t xml:space="preserve">Primary Keywords: semi truck towing Bay Area, heavy duty towing Bay Area, fleet towing SLA, rotator recovery Bay Area, commercial towing</w:t>
            </w:r>
          </w:p>
          <w:p>
            <w:pPr>
              <w:spacing w:before="0" w:after="40"/>
              <w:jc w:val="left"/>
            </w:pPr>
            <w:r>
              <w:rPr>
                <w:rFonts w:ascii="Arial" w:cs="Arial" w:eastAsia="Arial" w:hAnsi="Arial"/>
                <w:b w:val="false"/>
                <w:bCs w:val="false"/>
                <w:i w:val="false"/>
                <w:iCs w:val="false"/>
                <w:color w:val="333333"/>
                <w:sz w:val="19"/>
                <w:szCs w:val="19"/>
              </w:rPr>
              <w:t xml:space="preserve">Key Differentiator: 75+ ton rotator fleet, SLA contracts, DOT/OSHA/CTTA/ITRA certified, 6 Bay Area dispatch hubs</w:t>
            </w:r>
          </w:p>
          <w:p>
            <w:pPr>
              <w:spacing w:before="0" w:after="40"/>
              <w:jc w:val="left"/>
            </w:pPr>
            <w:r>
              <w:rPr>
                <w:rFonts w:ascii="Arial" w:cs="Arial" w:eastAsia="Arial" w:hAnsi="Arial"/>
                <w:b w:val="false"/>
                <w:bCs w:val="false"/>
                <w:i w:val="false"/>
                <w:iCs w:val="false"/>
                <w:color w:val="333333"/>
                <w:sz w:val="19"/>
                <w:szCs w:val="19"/>
              </w:rPr>
              <w:t xml:space="preserve">Sections: 12 sections | Format: CRO-optimized web copy + design notes + buyer psychology callouts</w:t>
            </w:r>
          </w:p>
          <w:p>
            <w:pPr>
              <w:spacing w:before="0" w:after="40"/>
              <w:jc w:val="left"/>
            </w:pPr>
            <w:r>
              <w:rPr>
                <w:rFonts w:ascii="Arial" w:cs="Arial" w:eastAsia="Arial" w:hAnsi="Arial"/>
                <w:b w:val="false"/>
                <w:bCs w:val="false"/>
                <w:i w:val="false"/>
                <w:iCs w:val="false"/>
                <w:color w:val="333333"/>
                <w:sz w:val="19"/>
                <w:szCs w:val="19"/>
              </w:rPr>
              <w:t xml:space="preserve">Version: v2 — GKP Enhanced (October 2025 Bay Area Data)</w:t>
            </w:r>
          </w:p>
        </w:tc>
      </w:tr>
    </w:tbl>
    <w:p>
      <w:pPr>
        <w:spacing w:before="0" w:after="80"/>
        <w:jc w:val="left"/>
      </w:pPr>
      <w:r>
        <w:rPr>
          <w:rFonts w:ascii="Arial" w:cs="Arial" w:eastAsia="Arial" w:hAnsi="Arial"/>
          <w:b w:val="false"/>
          <w:bCs w:val="false"/>
          <w:i w:val="false"/>
          <w:iCs w:val="false"/>
          <w:color w:val="333333"/>
          <w:sz w:val="20"/>
          <w:szCs w:val="20"/>
        </w:rPr>
        <w:t xml:space="preserve"/>
      </w:r>
    </w:p>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7722" w:val="clear"/>
            <w:tcMar>
              <w:top w:type="dxa" w:w="120"/>
              <w:left w:type="dxa" w:w="120"/>
              <w:bottom w:type="dxa" w:w="120"/>
              <w:right w:type="dxa" w:w="120"/>
            </w:tcMar>
            <w:vAlign w:val="top"/>
          </w:tcPr>
          <w:p>
            <w:pPr>
              <w:spacing w:before="60" w:after="60"/>
              <w:jc w:val="center"/>
            </w:pPr>
            <w:r>
              <w:rPr>
                <w:rFonts w:ascii="Arial" w:cs="Arial" w:eastAsia="Arial" w:hAnsi="Arial"/>
                <w:b/>
                <w:bCs/>
                <w:i w:val="false"/>
                <w:iCs w:val="false"/>
                <w:color w:val="FFFFFF"/>
                <w:sz w:val="22"/>
                <w:szCs w:val="22"/>
              </w:rPr>
              <w:t xml:space="preserve">SECTION 1 — HERO (Above the Fold)</w:t>
            </w:r>
          </w:p>
        </w:tc>
      </w:tr>
    </w:tbl>
    <w:p>
      <w:pPr>
        <w:spacing w:before="0" w:after="80"/>
        <w:jc w:val="left"/>
      </w:pPr>
      <w:r>
        <w:rPr>
          <w:rFonts w:ascii="Arial" w:cs="Arial" w:eastAsia="Arial" w:hAnsi="Arial"/>
          <w:b w:val="false"/>
          <w:bCs w:val="false"/>
          <w:i w:val="false"/>
          <w:iCs w:val="false"/>
          <w:color w:val="333333"/>
          <w:sz w:val="20"/>
          <w:szCs w:val="20"/>
        </w:rPr>
        <w:t xml:space="preserve"/>
      </w:r>
    </w:p>
    <w:p>
      <w:pPr>
        <w:spacing w:before="200" w:after="60"/>
        <w:jc w:val="left"/>
      </w:pPr>
      <w:r>
        <w:rPr>
          <w:rFonts w:ascii="Arial" w:cs="Arial" w:eastAsia="Arial" w:hAnsi="Arial"/>
          <w:b/>
          <w:bCs/>
          <w:i w:val="false"/>
          <w:iCs w:val="false"/>
          <w:color w:val="1A3C6E"/>
          <w:sz w:val="36"/>
          <w:szCs w:val="36"/>
        </w:rPr>
        <w:t xml:space="preserve">HERO SECTION</w:t>
      </w:r>
    </w:p>
    <w:p>
      <w:pPr>
        <w:spacing w:before="0" w:after="120"/>
        <w:jc w:val="left"/>
      </w:pPr>
      <w:r>
        <w:rPr>
          <w:rFonts w:ascii="Arial" w:cs="Arial" w:eastAsia="Arial" w:hAnsi="Arial"/>
          <w:b w:val="false"/>
          <w:bCs w:val="false"/>
          <w:i w:val="false"/>
          <w:iCs w:val="false"/>
          <w:color w:val="666666"/>
          <w:sz w:val="20"/>
          <w:szCs w:val="20"/>
        </w:rPr>
        <w:t xml:space="preserve">Dual CTA: Emergency call + Fleet quote form. Capability-first messaging.</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0F8" w:val="clear"/>
            <w:tcMar>
              <w:top w:type="dxa" w:w="160"/>
              <w:left w:type="dxa" w:w="200"/>
              <w:bottom w:type="dxa" w:w="160"/>
              <w:right w:type="dxa" w:w="200"/>
            </w:tcMar>
            <w:vAlign w:val="top"/>
          </w:tcPr>
          <w:p>
            <w:pPr>
              <w:spacing w:before="40" w:after="60"/>
              <w:jc w:val="left"/>
            </w:pPr>
            <w:r>
              <w:rPr>
                <w:rFonts w:ascii="Arial" w:cs="Arial" w:eastAsia="Arial" w:hAnsi="Arial"/>
                <w:b/>
                <w:bCs/>
                <w:i w:val="false"/>
                <w:iCs w:val="false"/>
                <w:color w:val="1A3C6E"/>
                <w:sz w:val="20"/>
                <w:szCs w:val="20"/>
              </w:rPr>
              <w:t xml:space="preserve">🎨 DESIGN / DEVELOPER NOTE:</w:t>
            </w:r>
          </w:p>
          <w:p>
            <w:pPr>
              <w:spacing w:before="0" w:after="40"/>
              <w:jc w:val="left"/>
            </w:pPr>
            <w:r>
              <w:rPr>
                <w:rFonts w:ascii="Arial" w:cs="Arial" w:eastAsia="Arial" w:hAnsi="Arial"/>
                <w:b w:val="false"/>
                <w:bCs w:val="false"/>
                <w:i w:val="false"/>
                <w:iCs w:val="false"/>
                <w:color w:val="333333"/>
                <w:sz w:val="19"/>
                <w:szCs w:val="19"/>
              </w:rPr>
              <w:t xml:space="preserve">Full-width hero with dark navy background or dramatic rotator/semi-truck photography. Primary CTA: CALL NOW (orange button). Secondary CTA: REQUEST FLEET QUOTE (outlined/navy). Stats bar immediately below. B2B buyers research more than C1 — the form CTA captures non-emergency inquiry traffic.</w:t>
            </w:r>
          </w:p>
        </w:tc>
      </w:tr>
    </w:tbl>
    <w:p>
      <w:pPr>
        <w:spacing w:before="0" w:after="80"/>
        <w:jc w:val="left"/>
      </w:pPr>
      <w:r>
        <w:rPr>
          <w:rFonts w:ascii="Arial" w:cs="Arial" w:eastAsia="Arial" w:hAnsi="Arial"/>
          <w:b w:val="false"/>
          <w:bCs w:val="false"/>
          <w:i w:val="false"/>
          <w:iCs w:val="false"/>
          <w:color w:val="333333"/>
          <w:sz w:val="20"/>
          <w:szCs w:val="20"/>
        </w:rPr>
        <w:t xml:space="preserve"/>
      </w:r>
    </w:p>
    <w:p>
      <w:pPr>
        <w:spacing w:before="120" w:after="80"/>
        <w:jc w:val="left"/>
      </w:pPr>
      <w:r>
        <w:rPr>
          <w:rFonts w:ascii="Arial" w:cs="Arial" w:eastAsia="Arial" w:hAnsi="Arial"/>
          <w:b/>
          <w:bCs/>
          <w:i w:val="false"/>
          <w:iCs w:val="false"/>
          <w:color w:val="1A3C6E"/>
          <w:sz w:val="22"/>
          <w:szCs w:val="22"/>
        </w:rPr>
        <w:t xml:space="preserve">HEADLINE:</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C6E" w:val="clear"/>
            <w:tcMar>
              <w:top w:type="dxa" w:w="200"/>
              <w:left w:type="dxa" w:w="120"/>
              <w:bottom w:type="dxa" w:w="200"/>
              <w:right w:type="dxa" w:w="120"/>
            </w:tcMar>
            <w:vAlign w:val="top"/>
          </w:tcPr>
          <w:p>
            <w:pPr>
              <w:spacing w:before="120" w:after="80"/>
              <w:jc w:val="center"/>
            </w:pPr>
            <w:r>
              <w:rPr>
                <w:rFonts w:ascii="Arial" w:cs="Arial" w:eastAsia="Arial" w:hAnsi="Arial"/>
                <w:b/>
                <w:bCs/>
                <w:i w:val="false"/>
                <w:iCs w:val="false"/>
                <w:color w:val="FFFFFF"/>
                <w:sz w:val="36"/>
                <w:szCs w:val="36"/>
              </w:rPr>
              <w:t xml:space="preserve">Bay Area's #1 Semi Truck Towing. 75+ Ton Heavy Recovery, 24/7.</w:t>
            </w:r>
          </w:p>
          <w:p>
            <w:pPr>
              <w:spacing w:before="0" w:after="120"/>
              <w:jc w:val="center"/>
            </w:pPr>
            <w:r>
              <w:rPr>
                <w:rFonts w:ascii="Arial" w:cs="Arial" w:eastAsia="Arial" w:hAnsi="Arial"/>
                <w:b w:val="false"/>
                <w:bCs w:val="false"/>
                <w:i w:val="false"/>
                <w:iCs w:val="false"/>
                <w:color w:val="E8F0F8"/>
                <w:sz w:val="21"/>
                <w:szCs w:val="21"/>
              </w:rPr>
              <w:t xml:space="preserve">Semi-truck, 18-wheeler &amp; heavy equipment recovery — fleet contracts, rotator service, 5 Bay Area counties.</w:t>
            </w:r>
          </w:p>
        </w:tc>
      </w:tr>
    </w:tbl>
    <w:p>
      <w:pPr>
        <w:spacing w:before="0" w:after="80"/>
        <w:jc w:val="left"/>
      </w:pPr>
      <w:r>
        <w:rPr>
          <w:rFonts w:ascii="Arial" w:cs="Arial" w:eastAsia="Arial" w:hAnsi="Arial"/>
          <w:b w:val="false"/>
          <w:bCs w:val="false"/>
          <w:i w:val="false"/>
          <w:iCs w:val="false"/>
          <w:color w:val="333333"/>
          <w:sz w:val="20"/>
          <w:szCs w:val="20"/>
        </w:rPr>
        <w:t xml:space="preserve"/>
      </w:r>
    </w:p>
    <w:p>
      <w:pPr>
        <w:spacing w:before="80" w:after="80"/>
        <w:jc w:val="left"/>
      </w:pPr>
      <w:r>
        <w:rPr>
          <w:rFonts w:ascii="Arial" w:cs="Arial" w:eastAsia="Arial" w:hAnsi="Arial"/>
          <w:b/>
          <w:bCs/>
          <w:i w:val="false"/>
          <w:iCs w:val="false"/>
          <w:color w:val="1A3C6E"/>
          <w:sz w:val="22"/>
          <w:szCs w:val="22"/>
        </w:rPr>
        <w:t xml:space="preserve">DUAL CTA BUTTONS: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400"/>
        <w:gridCol w:w="4960"/>
      </w:tblGrid>
      <w:tr>
        <w:tc>
          <w:tcPr>
            <w:tcW w:type="dxa" w:w="4400"/>
            <w:tcBorders>
              <w:top w:val="none" w:color="FFFFFF" w:sz="0"/>
              <w:left w:val="none" w:color="FFFFFF" w:sz="0"/>
              <w:bottom w:val="none" w:color="FFFFFF" w:sz="0"/>
              <w:right w:val="none" w:color="FFFFFF" w:sz="0"/>
            </w:tcBorders>
            <w:shd w:fill="E87722" w:val="clear"/>
            <w:tcMar>
              <w:top w:type="dxa" w:w="120"/>
              <w:left w:type="dxa" w:w="120"/>
              <w:bottom w:type="dxa" w:w="120"/>
              <w:right w:type="dxa" w:w="120"/>
            </w:tcMar>
            <w:vAlign w:val="top"/>
          </w:tcPr>
          <w:p>
            <w:pPr>
              <w:spacing w:before="80" w:after="80"/>
              <w:jc w:val="center"/>
            </w:pPr>
            <w:r>
              <w:rPr>
                <w:rFonts w:ascii="Arial" w:cs="Arial" w:eastAsia="Arial" w:hAnsi="Arial"/>
                <w:b/>
                <w:bCs/>
                <w:i w:val="false"/>
                <w:iCs w:val="false"/>
                <w:color w:val="FFFFFF"/>
                <w:sz w:val="24"/>
                <w:szCs w:val="24"/>
              </w:rPr>
              <w:t xml:space="preserve">📞  CALL NOW — 650-881-2400</w:t>
            </w:r>
          </w:p>
        </w:tc>
        <w:tc>
          <w:tcPr>
            <w:tcW w:type="dxa" w:w="4960"/>
            <w:tcBorders>
              <w:top w:val="none" w:color="FFFFFF" w:sz="0"/>
              <w:left w:val="none" w:color="FFFFFF" w:sz="0"/>
              <w:bottom w:val="none" w:color="FFFFFF" w:sz="0"/>
              <w:right w:val="none" w:color="FFFFFF" w:sz="0"/>
            </w:tcBorders>
            <w:shd w:fill="E8F0F8" w:val="clear"/>
            <w:tcMar>
              <w:top w:type="dxa" w:w="120"/>
              <w:left w:type="dxa" w:w="120"/>
              <w:bottom w:type="dxa" w:w="120"/>
              <w:right w:type="dxa" w:w="120"/>
            </w:tcMar>
            <w:vAlign w:val="top"/>
          </w:tcPr>
          <w:p>
            <w:pPr>
              <w:spacing w:before="80" w:after="80"/>
              <w:jc w:val="center"/>
            </w:pPr>
            <w:r>
              <w:rPr>
                <w:rFonts w:ascii="Arial" w:cs="Arial" w:eastAsia="Arial" w:hAnsi="Arial"/>
                <w:b/>
                <w:bCs/>
                <w:i w:val="false"/>
                <w:iCs w:val="false"/>
                <w:color w:val="1A3C6E"/>
                <w:sz w:val="22"/>
                <w:szCs w:val="22"/>
              </w:rPr>
              <w:t xml:space="preserve">REQUEST A FLEET QUOTE  →</w:t>
            </w:r>
          </w:p>
        </w:tc>
      </w:tr>
    </w:tbl>
    <w:p>
      <w:pPr>
        <w:spacing w:before="0" w:after="80"/>
        <w:jc w:val="left"/>
      </w:pPr>
      <w:r>
        <w:rPr>
          <w:rFonts w:ascii="Arial" w:cs="Arial" w:eastAsia="Arial" w:hAnsi="Arial"/>
          <w:b w:val="false"/>
          <w:bCs w:val="false"/>
          <w:i w:val="false"/>
          <w:iCs w:val="false"/>
          <w:color w:val="333333"/>
          <w:sz w:val="20"/>
          <w:szCs w:val="20"/>
        </w:rPr>
        <w:t xml:space="preserve"/>
      </w:r>
    </w:p>
    <w:p>
      <w:pPr>
        <w:spacing w:before="80" w:after="80"/>
        <w:jc w:val="left"/>
      </w:pPr>
      <w:r>
        <w:rPr>
          <w:rFonts w:ascii="Arial" w:cs="Arial" w:eastAsia="Arial" w:hAnsi="Arial"/>
          <w:b/>
          <w:bCs/>
          <w:i w:val="false"/>
          <w:iCs w:val="false"/>
          <w:color w:val="1A3C6E"/>
          <w:sz w:val="22"/>
          <w:szCs w:val="22"/>
        </w:rPr>
        <w:t xml:space="preserve">TRUST CHIPS (below CTAs):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560"/>
        <w:gridCol w:w="1560"/>
        <w:gridCol w:w="1560"/>
        <w:gridCol w:w="1560"/>
        <w:gridCol w:w="1560"/>
        <w:gridCol w:w="1560"/>
      </w:tblGrid>
      <w:tr>
        <w:tc>
          <w:tcPr>
            <w:tcW w:type="dxa" w:w="1560"/>
            <w:tcBorders>
              <w:top w:val="none" w:color="FFFFFF" w:sz="0"/>
              <w:left w:val="none" w:color="FFFFFF" w:sz="0"/>
              <w:bottom w:val="none" w:color="FFFFFF" w:sz="0"/>
              <w:right w:val="none" w:color="FFFFFF" w:sz="0"/>
            </w:tcBorders>
            <w:shd w:fill="F2F2F2" w:val="clear"/>
            <w:tcMar>
              <w:top w:type="dxa" w:w="80"/>
              <w:left w:type="dxa" w:w="120"/>
              <w:bottom w:type="dxa" w:w="80"/>
              <w:right w:type="dxa" w:w="120"/>
            </w:tcMar>
            <w:vAlign w:val="top"/>
          </w:tcPr>
          <w:p>
            <w:pPr>
              <w:spacing w:before="0" w:after="80"/>
              <w:jc w:val="center"/>
            </w:pPr>
            <w:r>
              <w:rPr>
                <w:rFonts w:ascii="Arial" w:cs="Arial" w:eastAsia="Arial" w:hAnsi="Arial"/>
                <w:b/>
                <w:bCs/>
                <w:i w:val="false"/>
                <w:iCs w:val="false"/>
                <w:color w:val="333333"/>
                <w:sz w:val="18"/>
                <w:szCs w:val="18"/>
              </w:rPr>
              <w:t xml:space="preserve">75+ Tons</w:t>
            </w:r>
          </w:p>
        </w:tc>
        <w:tc>
          <w:tcPr>
            <w:tcW w:type="dxa" w:w="1560"/>
            <w:tcBorders>
              <w:top w:val="none" w:color="FFFFFF" w:sz="0"/>
              <w:left w:val="none" w:color="FFFFFF" w:sz="0"/>
              <w:bottom w:val="none" w:color="FFFFFF" w:sz="0"/>
              <w:right w:val="none" w:color="FFFFFF" w:sz="0"/>
            </w:tcBorders>
            <w:shd w:fill="F2F2F2" w:val="clear"/>
            <w:tcMar>
              <w:top w:type="dxa" w:w="80"/>
              <w:left w:type="dxa" w:w="120"/>
              <w:bottom w:type="dxa" w:w="80"/>
              <w:right w:type="dxa" w:w="120"/>
            </w:tcMar>
            <w:vAlign w:val="top"/>
          </w:tcPr>
          <w:p>
            <w:pPr>
              <w:spacing w:before="0" w:after="80"/>
              <w:jc w:val="center"/>
            </w:pPr>
            <w:r>
              <w:rPr>
                <w:rFonts w:ascii="Arial" w:cs="Arial" w:eastAsia="Arial" w:hAnsi="Arial"/>
                <w:b/>
                <w:bCs/>
                <w:i w:val="false"/>
                <w:iCs w:val="false"/>
                <w:color w:val="333333"/>
                <w:sz w:val="18"/>
                <w:szCs w:val="18"/>
              </w:rPr>
              <w:t xml:space="preserve">Rotator Fleet</w:t>
            </w:r>
          </w:p>
        </w:tc>
        <w:tc>
          <w:tcPr>
            <w:tcW w:type="dxa" w:w="1560"/>
            <w:tcBorders>
              <w:top w:val="none" w:color="FFFFFF" w:sz="0"/>
              <w:left w:val="none" w:color="FFFFFF" w:sz="0"/>
              <w:bottom w:val="none" w:color="FFFFFF" w:sz="0"/>
              <w:right w:val="none" w:color="FFFFFF" w:sz="0"/>
            </w:tcBorders>
            <w:shd w:fill="F2F2F2" w:val="clear"/>
            <w:tcMar>
              <w:top w:type="dxa" w:w="80"/>
              <w:left w:type="dxa" w:w="120"/>
              <w:bottom w:type="dxa" w:w="80"/>
              <w:right w:type="dxa" w:w="120"/>
            </w:tcMar>
            <w:vAlign w:val="top"/>
          </w:tcPr>
          <w:p>
            <w:pPr>
              <w:spacing w:before="0" w:after="80"/>
              <w:jc w:val="center"/>
            </w:pPr>
            <w:r>
              <w:rPr>
                <w:rFonts w:ascii="Arial" w:cs="Arial" w:eastAsia="Arial" w:hAnsi="Arial"/>
                <w:b/>
                <w:bCs/>
                <w:i w:val="false"/>
                <w:iCs w:val="false"/>
                <w:color w:val="333333"/>
                <w:sz w:val="18"/>
                <w:szCs w:val="18"/>
              </w:rPr>
              <w:t xml:space="preserve">DOT Compliant</w:t>
            </w:r>
          </w:p>
        </w:tc>
        <w:tc>
          <w:tcPr>
            <w:tcW w:type="dxa" w:w="1560"/>
            <w:tcBorders>
              <w:top w:val="none" w:color="FFFFFF" w:sz="0"/>
              <w:left w:val="none" w:color="FFFFFF" w:sz="0"/>
              <w:bottom w:val="none" w:color="FFFFFF" w:sz="0"/>
              <w:right w:val="none" w:color="FFFFFF" w:sz="0"/>
            </w:tcBorders>
            <w:shd w:fill="F2F2F2" w:val="clear"/>
            <w:tcMar>
              <w:top w:type="dxa" w:w="80"/>
              <w:left w:type="dxa" w:w="120"/>
              <w:bottom w:type="dxa" w:w="80"/>
              <w:right w:type="dxa" w:w="120"/>
            </w:tcMar>
            <w:vAlign w:val="top"/>
          </w:tcPr>
          <w:p>
            <w:pPr>
              <w:spacing w:before="0" w:after="80"/>
              <w:jc w:val="center"/>
            </w:pPr>
            <w:r>
              <w:rPr>
                <w:rFonts w:ascii="Arial" w:cs="Arial" w:eastAsia="Arial" w:hAnsi="Arial"/>
                <w:b/>
                <w:bCs/>
                <w:i w:val="false"/>
                <w:iCs w:val="false"/>
                <w:color w:val="333333"/>
                <w:sz w:val="18"/>
                <w:szCs w:val="18"/>
              </w:rPr>
              <w:t xml:space="preserve">CTTA + ITRA</w:t>
            </w:r>
          </w:p>
        </w:tc>
        <w:tc>
          <w:tcPr>
            <w:tcW w:type="dxa" w:w="1560"/>
            <w:tcBorders>
              <w:top w:val="none" w:color="FFFFFF" w:sz="0"/>
              <w:left w:val="none" w:color="FFFFFF" w:sz="0"/>
              <w:bottom w:val="none" w:color="FFFFFF" w:sz="0"/>
              <w:right w:val="none" w:color="FFFFFF" w:sz="0"/>
            </w:tcBorders>
            <w:shd w:fill="F2F2F2" w:val="clear"/>
            <w:tcMar>
              <w:top w:type="dxa" w:w="80"/>
              <w:left w:type="dxa" w:w="120"/>
              <w:bottom w:type="dxa" w:w="80"/>
              <w:right w:type="dxa" w:w="120"/>
            </w:tcMar>
            <w:vAlign w:val="top"/>
          </w:tcPr>
          <w:p>
            <w:pPr>
              <w:spacing w:before="0" w:after="80"/>
              <w:jc w:val="center"/>
            </w:pPr>
            <w:r>
              <w:rPr>
                <w:rFonts w:ascii="Arial" w:cs="Arial" w:eastAsia="Arial" w:hAnsi="Arial"/>
                <w:b/>
                <w:bCs/>
                <w:i w:val="false"/>
                <w:iCs w:val="false"/>
                <w:color w:val="333333"/>
                <w:sz w:val="18"/>
                <w:szCs w:val="18"/>
              </w:rPr>
              <w:t xml:space="preserve">SLA Available</w:t>
            </w:r>
          </w:p>
        </w:tc>
        <w:tc>
          <w:tcPr>
            <w:tcW w:type="dxa" w:w="1560"/>
            <w:tcBorders>
              <w:top w:val="none" w:color="FFFFFF" w:sz="0"/>
              <w:left w:val="none" w:color="FFFFFF" w:sz="0"/>
              <w:bottom w:val="none" w:color="FFFFFF" w:sz="0"/>
              <w:right w:val="none" w:color="FFFFFF" w:sz="0"/>
            </w:tcBorders>
            <w:shd w:fill="F2F2F2" w:val="clear"/>
            <w:tcMar>
              <w:top w:type="dxa" w:w="80"/>
              <w:left w:type="dxa" w:w="120"/>
              <w:bottom w:type="dxa" w:w="80"/>
              <w:right w:type="dxa" w:w="120"/>
            </w:tcMar>
            <w:vAlign w:val="top"/>
          </w:tcPr>
          <w:p>
            <w:pPr>
              <w:spacing w:before="0" w:after="80"/>
              <w:jc w:val="center"/>
            </w:pPr>
            <w:r>
              <w:rPr>
                <w:rFonts w:ascii="Arial" w:cs="Arial" w:eastAsia="Arial" w:hAnsi="Arial"/>
                <w:b/>
                <w:bCs/>
                <w:i w:val="false"/>
                <w:iCs w:val="false"/>
                <w:color w:val="333333"/>
                <w:sz w:val="18"/>
                <w:szCs w:val="18"/>
              </w:rPr>
              <w:t xml:space="preserve">24/7 Dispatch</w:t>
            </w:r>
          </w:p>
        </w:tc>
      </w:tr>
    </w:tbl>
    <w:p>
      <w:pPr>
        <w:spacing w:before="0" w:after="80"/>
        <w:jc w:val="left"/>
      </w:pPr>
      <w:r>
        <w:rPr>
          <w:rFonts w:ascii="Arial" w:cs="Arial" w:eastAsia="Arial" w:hAnsi="Arial"/>
          <w:b w:val="false"/>
          <w:bCs w:val="false"/>
          <w:i w:val="false"/>
          <w:iCs w:val="false"/>
          <w:color w:val="333333"/>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5E9" w:val="clear"/>
            <w:tcMar>
              <w:top w:type="dxa" w:w="160"/>
              <w:left w:type="dxa" w:w="200"/>
              <w:bottom w:type="dxa" w:w="160"/>
              <w:right w:type="dxa" w:w="200"/>
            </w:tcMar>
            <w:vAlign w:val="top"/>
          </w:tcPr>
          <w:p>
            <w:pPr>
              <w:spacing w:before="40" w:after="60"/>
              <w:jc w:val="left"/>
            </w:pPr>
            <w:r>
              <w:rPr>
                <w:rFonts w:ascii="Arial" w:cs="Arial" w:eastAsia="Arial" w:hAnsi="Arial"/>
                <w:b/>
                <w:bCs/>
                <w:i w:val="false"/>
                <w:iCs w:val="false"/>
                <w:color w:val="2E7D32"/>
                <w:sz w:val="20"/>
                <w:szCs w:val="20"/>
              </w:rPr>
              <w:t xml:space="preserve">📊 BUYER PSYCHOLOGY (Phase 2 Insight):</w:t>
            </w:r>
          </w:p>
          <w:p>
            <w:pPr>
              <w:spacing w:before="0" w:after="40"/>
              <w:jc w:val="left"/>
            </w:pPr>
            <w:r>
              <w:rPr>
                <w:rFonts w:ascii="Arial" w:cs="Arial" w:eastAsia="Arial" w:hAnsi="Arial"/>
                <w:b w:val="false"/>
                <w:bCs w:val="false"/>
                <w:i w:val="false"/>
                <w:iCs w:val="false"/>
                <w:color w:val="333333"/>
                <w:sz w:val="19"/>
                <w:szCs w:val="19"/>
              </w:rPr>
              <w:t xml:space="preserve">C2 buyers (fleet managers, logistics coordinators) are capability-first. 'Can they handle my equipment?' is question #1. '75+ Tons' and 'Rotator Fleet' in the headline immediately answers that. Dual CTA serves two modes: emergency dispatch (call) and planned procurement (fleet quote form). B2B buyers may need to involve procurement or get multiple quotes — the form captures that journey.</w:t>
            </w:r>
          </w:p>
        </w:tc>
      </w:tr>
    </w:tbl>
    <w:p>
      <w:pPr>
        <w:pBdr>
          <w:bottom w:val="single" w:color="E87722" w:sz="6"/>
        </w:pBdr>
        <w:spacing w:before="160" w:after="160"/>
      </w:pPr>
    </w:p>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7722" w:val="clear"/>
            <w:tcMar>
              <w:top w:type="dxa" w:w="120"/>
              <w:left w:type="dxa" w:w="120"/>
              <w:bottom w:type="dxa" w:w="120"/>
              <w:right w:type="dxa" w:w="120"/>
            </w:tcMar>
            <w:vAlign w:val="top"/>
          </w:tcPr>
          <w:p>
            <w:pPr>
              <w:spacing w:before="60" w:after="60"/>
              <w:jc w:val="center"/>
            </w:pPr>
            <w:r>
              <w:rPr>
                <w:rFonts w:ascii="Arial" w:cs="Arial" w:eastAsia="Arial" w:hAnsi="Arial"/>
                <w:b/>
                <w:bCs/>
                <w:i w:val="false"/>
                <w:iCs w:val="false"/>
                <w:color w:val="FFFFFF"/>
                <w:sz w:val="22"/>
                <w:szCs w:val="22"/>
              </w:rPr>
              <w:t xml:space="preserve">SECTION 2 — CAPABILITY STATS BAR</w:t>
            </w:r>
          </w:p>
        </w:tc>
      </w:tr>
    </w:tbl>
    <w:p>
      <w:pPr>
        <w:spacing w:before="0" w:after="80"/>
        <w:jc w:val="left"/>
      </w:pPr>
      <w:r>
        <w:rPr>
          <w:rFonts w:ascii="Arial" w:cs="Arial" w:eastAsia="Arial" w:hAnsi="Arial"/>
          <w:b w:val="false"/>
          <w:bCs w:val="false"/>
          <w:i w:val="false"/>
          <w:iCs w:val="false"/>
          <w:color w:val="333333"/>
          <w:sz w:val="20"/>
          <w:szCs w:val="20"/>
        </w:rPr>
        <w:t xml:space="preserve"/>
      </w:r>
    </w:p>
    <w:p>
      <w:pPr>
        <w:spacing w:before="200" w:after="60"/>
        <w:jc w:val="left"/>
      </w:pPr>
      <w:r>
        <w:rPr>
          <w:rFonts w:ascii="Arial" w:cs="Arial" w:eastAsia="Arial" w:hAnsi="Arial"/>
          <w:b/>
          <w:bCs/>
          <w:i w:val="false"/>
          <w:iCs w:val="false"/>
          <w:color w:val="1A3C6E"/>
          <w:sz w:val="36"/>
          <w:szCs w:val="36"/>
        </w:rPr>
        <w:t xml:space="preserve">Heavy Duty — By the Numbers</w:t>
      </w:r>
    </w:p>
    <w:p>
      <w:pPr>
        <w:spacing w:before="0" w:after="120"/>
        <w:jc w:val="left"/>
      </w:pPr>
      <w:r>
        <w:rPr>
          <w:rFonts w:ascii="Arial" w:cs="Arial" w:eastAsia="Arial" w:hAnsi="Arial"/>
          <w:b w:val="false"/>
          <w:bCs w:val="false"/>
          <w:i w:val="false"/>
          <w:iCs w:val="false"/>
          <w:color w:val="666666"/>
          <w:sz w:val="20"/>
          <w:szCs w:val="20"/>
        </w:rPr>
        <w:t xml:space="preserve">The fleet specs that matter to commercial operators.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0F8" w:val="clear"/>
            <w:tcMar>
              <w:top w:type="dxa" w:w="160"/>
              <w:left w:type="dxa" w:w="200"/>
              <w:bottom w:type="dxa" w:w="160"/>
              <w:right w:type="dxa" w:w="200"/>
            </w:tcMar>
            <w:vAlign w:val="top"/>
          </w:tcPr>
          <w:p>
            <w:pPr>
              <w:spacing w:before="40" w:after="60"/>
              <w:jc w:val="left"/>
            </w:pPr>
            <w:r>
              <w:rPr>
                <w:rFonts w:ascii="Arial" w:cs="Arial" w:eastAsia="Arial" w:hAnsi="Arial"/>
                <w:b/>
                <w:bCs/>
                <w:i w:val="false"/>
                <w:iCs w:val="false"/>
                <w:color w:val="1A3C6E"/>
                <w:sz w:val="20"/>
                <w:szCs w:val="20"/>
              </w:rPr>
              <w:t xml:space="preserve">🎨 DESIGN / DEVELOPER NOTE:</w:t>
            </w:r>
          </w:p>
          <w:p>
            <w:pPr>
              <w:spacing w:before="0" w:after="40"/>
              <w:jc w:val="left"/>
            </w:pPr>
            <w:r>
              <w:rPr>
                <w:rFonts w:ascii="Arial" w:cs="Arial" w:eastAsia="Arial" w:hAnsi="Arial"/>
                <w:b w:val="false"/>
                <w:bCs w:val="false"/>
                <w:i w:val="false"/>
                <w:iCs w:val="false"/>
                <w:color w:val="333333"/>
                <w:sz w:val="19"/>
                <w:szCs w:val="19"/>
              </w:rPr>
              <w:t xml:space="preserve">Full-width navy bar. 6 capability stats with numbers and labels. Different from C1 trust bar — this is capability-focused, not social proof-focused. Answers 'can they handle my equipment?' immediately.</w:t>
            </w:r>
          </w:p>
        </w:tc>
      </w:tr>
    </w:tbl>
    <w:p>
      <w:pPr>
        <w:spacing w:before="0" w:after="80"/>
        <w:jc w:val="left"/>
      </w:pPr>
      <w:r>
        <w:rPr>
          <w:rFonts w:ascii="Arial" w:cs="Arial" w:eastAsia="Arial" w:hAnsi="Arial"/>
          <w:b w:val="false"/>
          <w:bCs w:val="false"/>
          <w:i w:val="false"/>
          <w:iCs w:val="false"/>
          <w:color w:val="333333"/>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560"/>
        <w:gridCol w:w="1560"/>
        <w:gridCol w:w="1560"/>
        <w:gridCol w:w="1560"/>
        <w:gridCol w:w="1560"/>
        <w:gridCol w:w="1560"/>
      </w:tblGrid>
      <w:tr>
        <w:tc>
          <w:tcPr>
            <w:tcW w:type="dxa" w:w="1560"/>
            <w:tcBorders>
              <w:top w:val="none" w:color="FFFFFF" w:sz="0"/>
              <w:left w:val="none" w:color="FFFFFF" w:sz="0"/>
              <w:bottom w:val="none" w:color="FFFFFF" w:sz="0"/>
              <w:right w:val="none" w:color="FFFFFF" w:sz="0"/>
            </w:tcBorders>
            <w:shd w:fill="0D2B4E" w:val="clear"/>
            <w:tcMar>
              <w:top w:type="dxa" w:w="180"/>
              <w:left w:type="dxa" w:w="120"/>
              <w:bottom w:type="dxa" w:w="180"/>
              <w:right w:type="dxa" w:w="120"/>
            </w:tcMar>
            <w:vAlign w:val="top"/>
          </w:tcPr>
          <w:p>
            <w:pPr>
              <w:spacing w:before="80" w:after="20"/>
              <w:jc w:val="center"/>
            </w:pPr>
            <w:r>
              <w:rPr>
                <w:rFonts w:ascii="Arial" w:cs="Arial" w:eastAsia="Arial" w:hAnsi="Arial"/>
                <w:b/>
                <w:bCs/>
                <w:i w:val="false"/>
                <w:iCs w:val="false"/>
                <w:color w:val="E87722"/>
                <w:sz w:val="30"/>
                <w:szCs w:val="30"/>
              </w:rPr>
              <w:t xml:space="preserve">75+ Tons</w:t>
            </w:r>
          </w:p>
          <w:p>
            <w:pPr>
              <w:spacing w:before="0" w:after="80"/>
              <w:jc w:val="center"/>
            </w:pPr>
            <w:r>
              <w:rPr>
                <w:rFonts w:ascii="Arial" w:cs="Arial" w:eastAsia="Arial" w:hAnsi="Arial"/>
                <w:b w:val="false"/>
                <w:bCs w:val="false"/>
                <w:i w:val="false"/>
                <w:iCs w:val="false"/>
                <w:color w:val="FFFFFF"/>
                <w:sz w:val="16"/>
                <w:szCs w:val="16"/>
              </w:rPr>
              <w:t xml:space="preserve">Max Recovery Capacity</w:t>
            </w:r>
          </w:p>
        </w:tc>
        <w:tc>
          <w:tcPr>
            <w:tcW w:type="dxa" w:w="1560"/>
            <w:tcBorders>
              <w:top w:val="none" w:color="FFFFFF" w:sz="0"/>
              <w:left w:val="none" w:color="FFFFFF" w:sz="0"/>
              <w:bottom w:val="none" w:color="FFFFFF" w:sz="0"/>
              <w:right w:val="none" w:color="FFFFFF" w:sz="0"/>
            </w:tcBorders>
            <w:shd w:fill="0D2B4E" w:val="clear"/>
            <w:tcMar>
              <w:top w:type="dxa" w:w="180"/>
              <w:left w:type="dxa" w:w="120"/>
              <w:bottom w:type="dxa" w:w="180"/>
              <w:right w:type="dxa" w:w="120"/>
            </w:tcMar>
            <w:vAlign w:val="top"/>
          </w:tcPr>
          <w:p>
            <w:pPr>
              <w:spacing w:before="80" w:after="20"/>
              <w:jc w:val="center"/>
            </w:pPr>
            <w:r>
              <w:rPr>
                <w:rFonts w:ascii="Arial" w:cs="Arial" w:eastAsia="Arial" w:hAnsi="Arial"/>
                <w:b/>
                <w:bCs/>
                <w:i w:val="false"/>
                <w:iCs w:val="false"/>
                <w:color w:val="E87722"/>
                <w:sz w:val="30"/>
                <w:szCs w:val="30"/>
              </w:rPr>
              <w:t xml:space="preserve">50,000+</w:t>
            </w:r>
          </w:p>
          <w:p>
            <w:pPr>
              <w:spacing w:before="0" w:after="80"/>
              <w:jc w:val="center"/>
            </w:pPr>
            <w:r>
              <w:rPr>
                <w:rFonts w:ascii="Arial" w:cs="Arial" w:eastAsia="Arial" w:hAnsi="Arial"/>
                <w:b w:val="false"/>
                <w:bCs w:val="false"/>
                <w:i w:val="false"/>
                <w:iCs w:val="false"/>
                <w:color w:val="FFFFFF"/>
                <w:sz w:val="16"/>
                <w:szCs w:val="16"/>
              </w:rPr>
              <w:t xml:space="preserve">Total Tows Completed</w:t>
            </w:r>
          </w:p>
        </w:tc>
        <w:tc>
          <w:tcPr>
            <w:tcW w:type="dxa" w:w="1560"/>
            <w:tcBorders>
              <w:top w:val="none" w:color="FFFFFF" w:sz="0"/>
              <w:left w:val="none" w:color="FFFFFF" w:sz="0"/>
              <w:bottom w:val="none" w:color="FFFFFF" w:sz="0"/>
              <w:right w:val="none" w:color="FFFFFF" w:sz="0"/>
            </w:tcBorders>
            <w:shd w:fill="0D2B4E" w:val="clear"/>
            <w:tcMar>
              <w:top w:type="dxa" w:w="180"/>
              <w:left w:type="dxa" w:w="120"/>
              <w:bottom w:type="dxa" w:w="180"/>
              <w:right w:type="dxa" w:w="120"/>
            </w:tcMar>
            <w:vAlign w:val="top"/>
          </w:tcPr>
          <w:p>
            <w:pPr>
              <w:spacing w:before="80" w:after="20"/>
              <w:jc w:val="center"/>
            </w:pPr>
            <w:r>
              <w:rPr>
                <w:rFonts w:ascii="Arial" w:cs="Arial" w:eastAsia="Arial" w:hAnsi="Arial"/>
                <w:b/>
                <w:bCs/>
                <w:i w:val="false"/>
                <w:iCs w:val="false"/>
                <w:color w:val="E87722"/>
                <w:sz w:val="30"/>
                <w:szCs w:val="30"/>
              </w:rPr>
              <w:t xml:space="preserve">6 Hubs</w:t>
            </w:r>
          </w:p>
          <w:p>
            <w:pPr>
              <w:spacing w:before="0" w:after="80"/>
              <w:jc w:val="center"/>
            </w:pPr>
            <w:r>
              <w:rPr>
                <w:rFonts w:ascii="Arial" w:cs="Arial" w:eastAsia="Arial" w:hAnsi="Arial"/>
                <w:b w:val="false"/>
                <w:bCs w:val="false"/>
                <w:i w:val="false"/>
                <w:iCs w:val="false"/>
                <w:color w:val="FFFFFF"/>
                <w:sz w:val="16"/>
                <w:szCs w:val="16"/>
              </w:rPr>
              <w:t xml:space="preserve">Bay Area Dispatch Points</w:t>
            </w:r>
          </w:p>
        </w:tc>
        <w:tc>
          <w:tcPr>
            <w:tcW w:type="dxa" w:w="1560"/>
            <w:tcBorders>
              <w:top w:val="none" w:color="FFFFFF" w:sz="0"/>
              <w:left w:val="none" w:color="FFFFFF" w:sz="0"/>
              <w:bottom w:val="none" w:color="FFFFFF" w:sz="0"/>
              <w:right w:val="none" w:color="FFFFFF" w:sz="0"/>
            </w:tcBorders>
            <w:shd w:fill="0D2B4E" w:val="clear"/>
            <w:tcMar>
              <w:top w:type="dxa" w:w="180"/>
              <w:left w:type="dxa" w:w="120"/>
              <w:bottom w:type="dxa" w:w="180"/>
              <w:right w:type="dxa" w:w="120"/>
            </w:tcMar>
            <w:vAlign w:val="top"/>
          </w:tcPr>
          <w:p>
            <w:pPr>
              <w:spacing w:before="80" w:after="20"/>
              <w:jc w:val="center"/>
            </w:pPr>
            <w:r>
              <w:rPr>
                <w:rFonts w:ascii="Arial" w:cs="Arial" w:eastAsia="Arial" w:hAnsi="Arial"/>
                <w:b/>
                <w:bCs/>
                <w:i w:val="false"/>
                <w:iCs w:val="false"/>
                <w:color w:val="E87722"/>
                <w:sz w:val="30"/>
                <w:szCs w:val="30"/>
              </w:rPr>
              <w:t xml:space="preserve">24/7</w:t>
            </w:r>
          </w:p>
          <w:p>
            <w:pPr>
              <w:spacing w:before="0" w:after="80"/>
              <w:jc w:val="center"/>
            </w:pPr>
            <w:r>
              <w:rPr>
                <w:rFonts w:ascii="Arial" w:cs="Arial" w:eastAsia="Arial" w:hAnsi="Arial"/>
                <w:b w:val="false"/>
                <w:bCs w:val="false"/>
                <w:i w:val="false"/>
                <w:iCs w:val="false"/>
                <w:color w:val="FFFFFF"/>
                <w:sz w:val="16"/>
                <w:szCs w:val="16"/>
              </w:rPr>
              <w:t xml:space="preserve">Commercial Dispatch</w:t>
            </w:r>
          </w:p>
        </w:tc>
        <w:tc>
          <w:tcPr>
            <w:tcW w:type="dxa" w:w="1560"/>
            <w:tcBorders>
              <w:top w:val="none" w:color="FFFFFF" w:sz="0"/>
              <w:left w:val="none" w:color="FFFFFF" w:sz="0"/>
              <w:bottom w:val="none" w:color="FFFFFF" w:sz="0"/>
              <w:right w:val="none" w:color="FFFFFF" w:sz="0"/>
            </w:tcBorders>
            <w:shd w:fill="0D2B4E" w:val="clear"/>
            <w:tcMar>
              <w:top w:type="dxa" w:w="180"/>
              <w:left w:type="dxa" w:w="120"/>
              <w:bottom w:type="dxa" w:w="180"/>
              <w:right w:type="dxa" w:w="120"/>
            </w:tcMar>
            <w:vAlign w:val="top"/>
          </w:tcPr>
          <w:p>
            <w:pPr>
              <w:spacing w:before="80" w:after="20"/>
              <w:jc w:val="center"/>
            </w:pPr>
            <w:r>
              <w:rPr>
                <w:rFonts w:ascii="Arial" w:cs="Arial" w:eastAsia="Arial" w:hAnsi="Arial"/>
                <w:b/>
                <w:bCs/>
                <w:i w:val="false"/>
                <w:iCs w:val="false"/>
                <w:color w:val="E87722"/>
                <w:sz w:val="30"/>
                <w:szCs w:val="30"/>
              </w:rPr>
              <w:t xml:space="preserve">SLA</w:t>
            </w:r>
          </w:p>
          <w:p>
            <w:pPr>
              <w:spacing w:before="0" w:after="80"/>
              <w:jc w:val="center"/>
            </w:pPr>
            <w:r>
              <w:rPr>
                <w:rFonts w:ascii="Arial" w:cs="Arial" w:eastAsia="Arial" w:hAnsi="Arial"/>
                <w:b w:val="false"/>
                <w:bCs w:val="false"/>
                <w:i w:val="false"/>
                <w:iCs w:val="false"/>
                <w:color w:val="FFFFFF"/>
                <w:sz w:val="16"/>
                <w:szCs w:val="16"/>
              </w:rPr>
              <w:t xml:space="preserve">Fleet Contracts Available</w:t>
            </w:r>
          </w:p>
        </w:tc>
        <w:tc>
          <w:tcPr>
            <w:tcW w:type="dxa" w:w="1560"/>
            <w:tcBorders>
              <w:top w:val="none" w:color="FFFFFF" w:sz="0"/>
              <w:left w:val="none" w:color="FFFFFF" w:sz="0"/>
              <w:bottom w:val="none" w:color="FFFFFF" w:sz="0"/>
              <w:right w:val="none" w:color="FFFFFF" w:sz="0"/>
            </w:tcBorders>
            <w:shd w:fill="0D2B4E" w:val="clear"/>
            <w:tcMar>
              <w:top w:type="dxa" w:w="180"/>
              <w:left w:type="dxa" w:w="120"/>
              <w:bottom w:type="dxa" w:w="180"/>
              <w:right w:type="dxa" w:w="120"/>
            </w:tcMar>
            <w:vAlign w:val="top"/>
          </w:tcPr>
          <w:p>
            <w:pPr>
              <w:spacing w:before="80" w:after="20"/>
              <w:jc w:val="center"/>
            </w:pPr>
            <w:r>
              <w:rPr>
                <w:rFonts w:ascii="Arial" w:cs="Arial" w:eastAsia="Arial" w:hAnsi="Arial"/>
                <w:b/>
                <w:bCs/>
                <w:i w:val="false"/>
                <w:iCs w:val="false"/>
                <w:color w:val="E87722"/>
                <w:sz w:val="30"/>
                <w:szCs w:val="30"/>
              </w:rPr>
              <w:t xml:space="preserve">Rotator</w:t>
            </w:r>
          </w:p>
          <w:p>
            <w:pPr>
              <w:spacing w:before="0" w:after="80"/>
              <w:jc w:val="center"/>
            </w:pPr>
            <w:r>
              <w:rPr>
                <w:rFonts w:ascii="Arial" w:cs="Arial" w:eastAsia="Arial" w:hAnsi="Arial"/>
                <w:b w:val="false"/>
                <w:bCs w:val="false"/>
                <w:i w:val="false"/>
                <w:iCs w:val="false"/>
                <w:color w:val="FFFFFF"/>
                <w:sz w:val="16"/>
                <w:szCs w:val="16"/>
              </w:rPr>
              <w:t xml:space="preserve">Recovery Fleet On Call</w:t>
            </w:r>
          </w:p>
        </w:tc>
      </w:tr>
    </w:tbl>
    <w:p>
      <w:pPr>
        <w:spacing w:before="0" w:after="80"/>
        <w:jc w:val="left"/>
      </w:pPr>
      <w:r>
        <w:rPr>
          <w:rFonts w:ascii="Arial" w:cs="Arial" w:eastAsia="Arial" w:hAnsi="Arial"/>
          <w:b w:val="false"/>
          <w:bCs w:val="false"/>
          <w:i w:val="false"/>
          <w:iCs w:val="false"/>
          <w:color w:val="333333"/>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5F5" w:val="clear"/>
            <w:tcMar>
              <w:top w:type="dxa" w:w="160"/>
              <w:left w:type="dxa" w:w="200"/>
              <w:bottom w:type="dxa" w:w="160"/>
              <w:right w:type="dxa" w:w="200"/>
            </w:tcMar>
            <w:vAlign w:val="top"/>
          </w:tcPr>
          <w:p>
            <w:pPr>
              <w:spacing w:before="40" w:after="60"/>
              <w:jc w:val="left"/>
            </w:pPr>
            <w:r>
              <w:rPr>
                <w:rFonts w:ascii="Arial" w:cs="Arial" w:eastAsia="Arial" w:hAnsi="Arial"/>
                <w:b/>
                <w:bCs/>
                <w:i w:val="false"/>
                <w:iCs w:val="false"/>
                <w:color w:val="8B1A1A"/>
                <w:sz w:val="20"/>
                <w:szCs w:val="20"/>
              </w:rPr>
              <w:t xml:space="preserve">💰 FLEET DOWNTIME COST (Phase 2 Research):</w:t>
            </w:r>
          </w:p>
          <w:p>
            <w:pPr>
              <w:spacing w:before="0" w:after="40"/>
              <w:jc w:val="left"/>
            </w:pPr>
            <w:r>
              <w:rPr>
                <w:rFonts w:ascii="Arial" w:cs="Arial" w:eastAsia="Arial" w:hAnsi="Arial"/>
                <w:b w:val="false"/>
                <w:bCs w:val="false"/>
                <w:i w:val="false"/>
                <w:iCs w:val="false"/>
                <w:color w:val="333333"/>
                <w:sz w:val="19"/>
                <w:szCs w:val="19"/>
              </w:rPr>
              <w:t xml:space="preserve">Industry benchmark: commercial vehicle downtime costs $79.33/hour (ATRI, 2023). A 4-hour recovery delay costs $317. A wrong-truck dispatch (light-duty sent to a semi) costs 2-3 additional hours of delay. Capability confirmation at the hero level prevents costly dispatch errors and builds immediate trust.</w:t>
            </w:r>
          </w:p>
        </w:tc>
      </w:tr>
    </w:tbl>
    <w:p>
      <w:pPr>
        <w:pBdr>
          <w:bottom w:val="single" w:color="E87722" w:sz="6"/>
        </w:pBdr>
        <w:spacing w:before="160" w:after="160"/>
      </w:pPr>
    </w:p>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7722" w:val="clear"/>
            <w:tcMar>
              <w:top w:type="dxa" w:w="120"/>
              <w:left w:type="dxa" w:w="120"/>
              <w:bottom w:type="dxa" w:w="120"/>
              <w:right w:type="dxa" w:w="120"/>
            </w:tcMar>
            <w:vAlign w:val="top"/>
          </w:tcPr>
          <w:p>
            <w:pPr>
              <w:spacing w:before="60" w:after="60"/>
              <w:jc w:val="center"/>
            </w:pPr>
            <w:r>
              <w:rPr>
                <w:rFonts w:ascii="Arial" w:cs="Arial" w:eastAsia="Arial" w:hAnsi="Arial"/>
                <w:b/>
                <w:bCs/>
                <w:i w:val="false"/>
                <w:iCs w:val="false"/>
                <w:color w:val="FFFFFF"/>
                <w:sz w:val="22"/>
                <w:szCs w:val="22"/>
              </w:rPr>
              <w:t xml:space="preserve">SECTION 3 — HEAVY DUTY SERVICE CAPABILITIES</w:t>
            </w:r>
          </w:p>
        </w:tc>
      </w:tr>
    </w:tbl>
    <w:p>
      <w:pPr>
        <w:spacing w:before="0" w:after="80"/>
        <w:jc w:val="left"/>
      </w:pPr>
      <w:r>
        <w:rPr>
          <w:rFonts w:ascii="Arial" w:cs="Arial" w:eastAsia="Arial" w:hAnsi="Arial"/>
          <w:b w:val="false"/>
          <w:bCs w:val="false"/>
          <w:i w:val="false"/>
          <w:iCs w:val="false"/>
          <w:color w:val="333333"/>
          <w:sz w:val="20"/>
          <w:szCs w:val="20"/>
        </w:rPr>
        <w:t xml:space="preserve"/>
      </w:r>
    </w:p>
    <w:p>
      <w:pPr>
        <w:spacing w:before="200" w:after="60"/>
        <w:jc w:val="left"/>
      </w:pPr>
      <w:r>
        <w:rPr>
          <w:rFonts w:ascii="Arial" w:cs="Arial" w:eastAsia="Arial" w:hAnsi="Arial"/>
          <w:b/>
          <w:bCs/>
          <w:i w:val="false"/>
          <w:iCs w:val="false"/>
          <w:color w:val="1A3C6E"/>
          <w:sz w:val="36"/>
          <w:szCs w:val="36"/>
        </w:rPr>
        <w:t xml:space="preserve">What We Recover &amp; Transport — Heavy Duty</w:t>
      </w:r>
    </w:p>
    <w:p>
      <w:pPr>
        <w:spacing w:before="0" w:after="120"/>
        <w:jc w:val="left"/>
      </w:pPr>
      <w:r>
        <w:rPr>
          <w:rFonts w:ascii="Arial" w:cs="Arial" w:eastAsia="Arial" w:hAnsi="Arial"/>
          <w:b w:val="false"/>
          <w:bCs w:val="false"/>
          <w:i w:val="false"/>
          <w:iCs w:val="false"/>
          <w:color w:val="666666"/>
          <w:sz w:val="20"/>
          <w:szCs w:val="20"/>
        </w:rPr>
        <w:t xml:space="preserve">If it's too big for anyone else, it's exactly right for us.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0F8" w:val="clear"/>
            <w:tcMar>
              <w:top w:type="dxa" w:w="160"/>
              <w:left w:type="dxa" w:w="200"/>
              <w:bottom w:type="dxa" w:w="160"/>
              <w:right w:type="dxa" w:w="200"/>
            </w:tcMar>
            <w:vAlign w:val="top"/>
          </w:tcPr>
          <w:p>
            <w:pPr>
              <w:spacing w:before="40" w:after="60"/>
              <w:jc w:val="left"/>
            </w:pPr>
            <w:r>
              <w:rPr>
                <w:rFonts w:ascii="Arial" w:cs="Arial" w:eastAsia="Arial" w:hAnsi="Arial"/>
                <w:b/>
                <w:bCs/>
                <w:i w:val="false"/>
                <w:iCs w:val="false"/>
                <w:color w:val="1A3C6E"/>
                <w:sz w:val="20"/>
                <w:szCs w:val="20"/>
              </w:rPr>
              <w:t xml:space="preserve">🎨 DESIGN / DEVELOPER NOTE:</w:t>
            </w:r>
          </w:p>
          <w:p>
            <w:pPr>
              <w:spacing w:before="0" w:after="40"/>
              <w:jc w:val="left"/>
            </w:pPr>
            <w:r>
              <w:rPr>
                <w:rFonts w:ascii="Arial" w:cs="Arial" w:eastAsia="Arial" w:hAnsi="Arial"/>
                <w:b w:val="false"/>
                <w:bCs w:val="false"/>
                <w:i w:val="false"/>
                <w:iCs w:val="false"/>
                <w:color w:val="333333"/>
                <w:sz w:val="19"/>
                <w:szCs w:val="19"/>
              </w:rPr>
              <w:t xml:space="preserve">5-card grid. Each card: emoji icon, bold service name, capability details, weight/size specifics. Navy or dark blue card top border. Light blue card background. Commercial buyers want specs — give them weight limits, vehicle types, equipment used.</w:t>
            </w:r>
          </w:p>
        </w:tc>
      </w:tr>
    </w:tbl>
    <w:p>
      <w:pPr>
        <w:spacing w:before="0" w:after="80"/>
        <w:jc w:val="left"/>
      </w:pPr>
      <w:r>
        <w:rPr>
          <w:rFonts w:ascii="Arial" w:cs="Arial" w:eastAsia="Arial" w:hAnsi="Arial"/>
          <w:b w:val="false"/>
          <w:bCs w:val="false"/>
          <w:i w:val="false"/>
          <w:iCs w:val="false"/>
          <w:color w:val="333333"/>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560"/>
        <w:gridCol w:w="4800"/>
      </w:tblGrid>
      <w:tr>
        <w:tc>
          <w:tcPr>
            <w:tcW w:type="dxa" w:w="4560"/>
            <w:tcBorders>
              <w:top w:val="none" w:color="FFFFFF" w:sz="0"/>
              <w:left w:val="none" w:color="FFFFFF" w:sz="0"/>
              <w:bottom w:val="none" w:color="FFFFFF" w:sz="0"/>
              <w:right w:val="none" w:color="FFFFFF" w:sz="0"/>
            </w:tcBorders>
            <w:shd w:fill="E8F0F8" w:val="clear"/>
            <w:tcMar>
              <w:top w:type="dxa" w:w="160"/>
              <w:left w:type="dxa" w:w="180"/>
              <w:bottom w:type="dxa" w:w="160"/>
              <w:right w:type="dxa" w:w="180"/>
            </w:tcMar>
            <w:vAlign w:val="top"/>
          </w:tcPr>
          <w:p>
            <w:pPr>
              <w:spacing w:before="60" w:after="60"/>
              <w:jc w:val="left"/>
            </w:pPr>
            <w:r>
              <w:rPr>
                <w:rFonts w:ascii="Arial" w:cs="Arial" w:eastAsia="Arial" w:hAnsi="Arial"/>
                <w:b/>
                <w:bCs/>
                <w:i w:val="false"/>
                <w:iCs w:val="false"/>
                <w:color w:val="1A3C6E"/>
                <w:sz w:val="22"/>
                <w:szCs w:val="22"/>
              </w:rPr>
              <w:t xml:space="preserve">🚛 Semi-Truck &amp; 18-Wheeler Towing</w:t>
            </w:r>
          </w:p>
          <w:p>
            <w:pPr>
              <w:spacing w:before="0" w:after="80"/>
              <w:jc w:val="left"/>
            </w:pPr>
            <w:r>
              <w:rPr>
                <w:rFonts w:ascii="Arial" w:cs="Arial" w:eastAsia="Arial" w:hAnsi="Arial"/>
                <w:b w:val="false"/>
                <w:bCs w:val="false"/>
                <w:i w:val="false"/>
                <w:iCs w:val="false"/>
                <w:color w:val="333333"/>
                <w:sz w:val="19"/>
                <w:szCs w:val="19"/>
              </w:rPr>
              <w:t xml:space="preserve">Class 7 &amp; 8 commercial vehicles, tractor-trailers, articulated lorries. We dispatch dedicated heavy-duty units — no light-duty trucks attempting semi recovery. Loaded or unloaded trailers. Interstate and local.</w:t>
            </w:r>
          </w:p>
        </w:tc>
        <w:tc>
          <w:tcPr>
            <w:tcW w:type="dxa" w:w="4560"/>
            <w:tcBorders>
              <w:top w:val="none" w:color="FFFFFF" w:sz="0"/>
              <w:left w:val="none" w:color="FFFFFF" w:sz="0"/>
              <w:bottom w:val="none" w:color="FFFFFF" w:sz="0"/>
              <w:right w:val="none" w:color="FFFFFF" w:sz="0"/>
            </w:tcBorders>
            <w:shd w:fill="E8F0F8" w:val="clear"/>
            <w:tcMar>
              <w:top w:type="dxa" w:w="160"/>
              <w:left w:type="dxa" w:w="180"/>
              <w:bottom w:type="dxa" w:w="160"/>
              <w:right w:type="dxa" w:w="180"/>
            </w:tcMar>
            <w:vAlign w:val="top"/>
          </w:tcPr>
          <w:p>
            <w:pPr>
              <w:spacing w:before="60" w:after="60"/>
              <w:jc w:val="left"/>
            </w:pPr>
            <w:r>
              <w:rPr>
                <w:rFonts w:ascii="Arial" w:cs="Arial" w:eastAsia="Arial" w:hAnsi="Arial"/>
                <w:b/>
                <w:bCs/>
                <w:i w:val="false"/>
                <w:iCs w:val="false"/>
                <w:color w:val="1A3C6E"/>
                <w:sz w:val="22"/>
                <w:szCs w:val="22"/>
              </w:rPr>
              <w:t xml:space="preserve">🔄 Heavy Recovery &amp; Rotator Service</w:t>
            </w:r>
          </w:p>
          <w:p>
            <w:pPr>
              <w:spacing w:before="0" w:after="80"/>
              <w:jc w:val="left"/>
            </w:pPr>
            <w:r>
              <w:rPr>
                <w:rFonts w:ascii="Arial" w:cs="Arial" w:eastAsia="Arial" w:hAnsi="Arial"/>
                <w:b w:val="false"/>
                <w:bCs w:val="false"/>
                <w:i w:val="false"/>
                <w:iCs w:val="false"/>
                <w:color w:val="333333"/>
                <w:sz w:val="19"/>
                <w:szCs w:val="19"/>
              </w:rPr>
              <w:t xml:space="preserve">75+ ton rotator cranes for rollovers, jackknifed semis, off-road recoveries, and vehicles inaccessible to standard recovery units. Our rotator fleet handles recoveries other companies refuse.</w:t>
            </w:r>
          </w:p>
        </w:tc>
      </w:tr>
    </w:tbl>
    <w:p>
      <w:pPr>
        <w:spacing w:before="0" w:after="80"/>
        <w:jc w:val="left"/>
      </w:pPr>
      <w:r>
        <w:rPr>
          <w:rFonts w:ascii="Arial" w:cs="Arial" w:eastAsia="Arial" w:hAnsi="Arial"/>
          <w:b w:val="false"/>
          <w:bCs w:val="false"/>
          <w:i w:val="false"/>
          <w:iCs w:val="false"/>
          <w:color w:val="333333"/>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560"/>
        <w:gridCol w:w="4800"/>
      </w:tblGrid>
      <w:tr>
        <w:tc>
          <w:tcPr>
            <w:tcW w:type="dxa" w:w="4560"/>
            <w:tcBorders>
              <w:top w:val="none" w:color="FFFFFF" w:sz="0"/>
              <w:left w:val="none" w:color="FFFFFF" w:sz="0"/>
              <w:bottom w:val="none" w:color="FFFFFF" w:sz="0"/>
              <w:right w:val="none" w:color="FFFFFF" w:sz="0"/>
            </w:tcBorders>
            <w:shd w:fill="E8F0F8" w:val="clear"/>
            <w:tcMar>
              <w:top w:type="dxa" w:w="160"/>
              <w:left w:type="dxa" w:w="180"/>
              <w:bottom w:type="dxa" w:w="160"/>
              <w:right w:type="dxa" w:w="180"/>
            </w:tcMar>
            <w:vAlign w:val="top"/>
          </w:tcPr>
          <w:p>
            <w:pPr>
              <w:spacing w:before="60" w:after="60"/>
              <w:jc w:val="left"/>
            </w:pPr>
            <w:r>
              <w:rPr>
                <w:rFonts w:ascii="Arial" w:cs="Arial" w:eastAsia="Arial" w:hAnsi="Arial"/>
                <w:b/>
                <w:bCs/>
                <w:i w:val="false"/>
                <w:iCs w:val="false"/>
                <w:color w:val="1A3C6E"/>
                <w:sz w:val="22"/>
                <w:szCs w:val="22"/>
              </w:rPr>
              <w:t xml:space="preserve">🚌 Bus &amp; Transit Vehicle Towing</w:t>
            </w:r>
          </w:p>
          <w:p>
            <w:pPr>
              <w:spacing w:before="0" w:after="80"/>
              <w:jc w:val="left"/>
            </w:pPr>
            <w:r>
              <w:rPr>
                <w:rFonts w:ascii="Arial" w:cs="Arial" w:eastAsia="Arial" w:hAnsi="Arial"/>
                <w:b w:val="false"/>
                <w:bCs w:val="false"/>
                <w:i w:val="false"/>
                <w:iCs w:val="false"/>
                <w:color w:val="333333"/>
                <w:sz w:val="19"/>
                <w:szCs w:val="19"/>
              </w:rPr>
              <w:t xml:space="preserve">Municipal buses, charter coaches, school buses, transit vehicles. Proper towing points, no drivetrain damage. We work with transit agencies, school districts, and charter operators across the Bay Area.</w:t>
            </w:r>
          </w:p>
        </w:tc>
        <w:tc>
          <w:tcPr>
            <w:tcW w:type="dxa" w:w="4560"/>
            <w:tcBorders>
              <w:top w:val="none" w:color="FFFFFF" w:sz="0"/>
              <w:left w:val="none" w:color="FFFFFF" w:sz="0"/>
              <w:bottom w:val="none" w:color="FFFFFF" w:sz="0"/>
              <w:right w:val="none" w:color="FFFFFF" w:sz="0"/>
            </w:tcBorders>
            <w:shd w:fill="E8F0F8" w:val="clear"/>
            <w:tcMar>
              <w:top w:type="dxa" w:w="160"/>
              <w:left w:type="dxa" w:w="180"/>
              <w:bottom w:type="dxa" w:w="160"/>
              <w:right w:type="dxa" w:w="180"/>
            </w:tcMar>
            <w:vAlign w:val="top"/>
          </w:tcPr>
          <w:p>
            <w:pPr>
              <w:spacing w:before="60" w:after="60"/>
              <w:jc w:val="left"/>
            </w:pPr>
            <w:r>
              <w:rPr>
                <w:rFonts w:ascii="Arial" w:cs="Arial" w:eastAsia="Arial" w:hAnsi="Arial"/>
                <w:b/>
                <w:bCs/>
                <w:i w:val="false"/>
                <w:iCs w:val="false"/>
                <w:color w:val="1A3C6E"/>
                <w:sz w:val="22"/>
                <w:szCs w:val="22"/>
              </w:rPr>
              <w:t xml:space="preserve">🏢 Fleet &amp; Commercial Contract Towing</w:t>
            </w:r>
          </w:p>
          <w:p>
            <w:pPr>
              <w:spacing w:before="0" w:after="80"/>
              <w:jc w:val="left"/>
            </w:pPr>
            <w:r>
              <w:rPr>
                <w:rFonts w:ascii="Arial" w:cs="Arial" w:eastAsia="Arial" w:hAnsi="Arial"/>
                <w:b w:val="false"/>
                <w:bCs w:val="false"/>
                <w:i w:val="false"/>
                <w:iCs w:val="false"/>
                <w:color w:val="333333"/>
                <w:sz w:val="19"/>
                <w:szCs w:val="19"/>
              </w:rPr>
              <w:t xml:space="preserve">Dedicated SLA towing contracts for logistics companies, freight carriers, delivery fleets, and municipalities. Priority dispatch, monthly invoicing, dedicated account management, fleet reporting.</w:t>
            </w:r>
          </w:p>
        </w:tc>
      </w:tr>
    </w:tbl>
    <w:p>
      <w:pPr>
        <w:spacing w:before="0" w:after="80"/>
        <w:jc w:val="left"/>
      </w:pPr>
      <w:r>
        <w:rPr>
          <w:rFonts w:ascii="Arial" w:cs="Arial" w:eastAsia="Arial" w:hAnsi="Arial"/>
          <w:b w:val="false"/>
          <w:bCs w:val="false"/>
          <w:i w:val="false"/>
          <w:iCs w:val="false"/>
          <w:color w:val="333333"/>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560"/>
        <w:gridCol w:w="4800"/>
      </w:tblGrid>
      <w:tr>
        <w:tc>
          <w:tcPr>
            <w:tcW w:type="dxa" w:w="4560"/>
            <w:tcBorders>
              <w:top w:val="none" w:color="FFFFFF" w:sz="0"/>
              <w:left w:val="none" w:color="FFFFFF" w:sz="0"/>
              <w:bottom w:val="none" w:color="FFFFFF" w:sz="0"/>
              <w:right w:val="none" w:color="FFFFFF" w:sz="0"/>
            </w:tcBorders>
            <w:shd w:fill="E8F0F8" w:val="clear"/>
            <w:tcMar>
              <w:top w:type="dxa" w:w="160"/>
              <w:left w:type="dxa" w:w="180"/>
              <w:bottom w:type="dxa" w:w="160"/>
              <w:right w:type="dxa" w:w="180"/>
            </w:tcMar>
            <w:vAlign w:val="top"/>
          </w:tcPr>
          <w:p>
            <w:pPr>
              <w:spacing w:before="60" w:after="60"/>
              <w:jc w:val="left"/>
            </w:pPr>
            <w:r>
              <w:rPr>
                <w:rFonts w:ascii="Arial" w:cs="Arial" w:eastAsia="Arial" w:hAnsi="Arial"/>
                <w:b/>
                <w:bCs/>
                <w:i w:val="false"/>
                <w:iCs w:val="false"/>
                <w:color w:val="1A3C6E"/>
                <w:sz w:val="22"/>
                <w:szCs w:val="22"/>
              </w:rPr>
              <w:t xml:space="preserve">🏗 Construction Equipment Transport</w:t>
            </w:r>
          </w:p>
          <w:p>
            <w:pPr>
              <w:spacing w:before="0" w:after="80"/>
              <w:jc w:val="left"/>
            </w:pPr>
            <w:r>
              <w:rPr>
                <w:rFonts w:ascii="Arial" w:cs="Arial" w:eastAsia="Arial" w:hAnsi="Arial"/>
                <w:b w:val="false"/>
                <w:bCs w:val="false"/>
                <w:i w:val="false"/>
                <w:iCs w:val="false"/>
                <w:color w:val="333333"/>
                <w:sz w:val="19"/>
                <w:szCs w:val="19"/>
              </w:rPr>
              <w:t xml:space="preserve">Excavators, bulldozers, skid steers, cranes, generators, scissor lifts. Lowboy trailers and specialized heavy transport. We coordinate permits for oversize/overweight loads where required.</w:t>
            </w:r>
          </w:p>
        </w:tc>
        <w:tc>
          <w:tcPr>
            <w:tcW w:type="dxa" w:w="456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top"/>
          </w:tcPr>
          <w:p>
            <w:pPr>
              <w:spacing w:before="0" w:after="80"/>
              <w:jc w:val="left"/>
            </w:pPr>
            <w:r>
              <w:rPr>
                <w:rFonts w:ascii="Arial" w:cs="Arial" w:eastAsia="Arial" w:hAnsi="Arial"/>
                <w:b w:val="false"/>
                <w:bCs w:val="false"/>
                <w:i w:val="false"/>
                <w:iCs w:val="false"/>
                <w:color w:val="333333"/>
                <w:sz w:val="20"/>
                <w:szCs w:val="20"/>
              </w:rPr>
              <w:t xml:space="preserve"/>
            </w:r>
          </w:p>
        </w:tc>
      </w:tr>
    </w:tbl>
    <w:p>
      <w:pPr>
        <w:spacing w:before="0" w:after="80"/>
        <w:jc w:val="left"/>
      </w:pPr>
      <w:r>
        <w:rPr>
          <w:rFonts w:ascii="Arial" w:cs="Arial" w:eastAsia="Arial" w:hAnsi="Arial"/>
          <w:b w:val="false"/>
          <w:bCs w:val="false"/>
          <w:i w:val="false"/>
          <w:iCs w:val="false"/>
          <w:color w:val="333333"/>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0F8" w:val="clear"/>
            <w:tcMar>
              <w:top w:type="dxa" w:w="160"/>
              <w:left w:type="dxa" w:w="200"/>
              <w:bottom w:type="dxa" w:w="160"/>
              <w:right w:type="dxa" w:w="200"/>
            </w:tcMar>
            <w:vAlign w:val="top"/>
          </w:tcPr>
          <w:p>
            <w:pPr>
              <w:spacing w:before="40" w:after="60"/>
              <w:jc w:val="left"/>
            </w:pPr>
            <w:r>
              <w:rPr>
                <w:rFonts w:ascii="Arial" w:cs="Arial" w:eastAsia="Arial" w:hAnsi="Arial"/>
                <w:b/>
                <w:bCs/>
                <w:i w:val="false"/>
                <w:iCs w:val="false"/>
                <w:color w:val="1A3C6E"/>
                <w:sz w:val="20"/>
                <w:szCs w:val="20"/>
              </w:rPr>
              <w:t xml:space="preserve">INTERSTATE &amp; LONG-DISTANCE HAULING</w:t>
            </w:r>
          </w:p>
          <w:p>
            <w:pPr>
              <w:spacing w:before="0" w:after="40"/>
              <w:jc w:val="left"/>
            </w:pPr>
            <w:r>
              <w:rPr>
                <w:rFonts w:ascii="Arial" w:cs="Arial" w:eastAsia="Arial" w:hAnsi="Arial"/>
                <w:b w:val="false"/>
                <w:bCs w:val="false"/>
                <w:i w:val="false"/>
                <w:iCs w:val="false"/>
                <w:color w:val="333333"/>
                <w:sz w:val="19"/>
                <w:szCs w:val="19"/>
              </w:rPr>
              <w:t xml:space="preserve">We haul beyond the Bay Area. I-80 corridor to Sacramento, I-5 to LA, Hwy 99 Central Valley runs.</w:t>
            </w:r>
          </w:p>
          <w:p>
            <w:pPr>
              <w:spacing w:before="0" w:after="40"/>
              <w:jc w:val="left"/>
            </w:pPr>
            <w:r>
              <w:rPr>
                <w:rFonts w:ascii="Arial" w:cs="Arial" w:eastAsia="Arial" w:hAnsi="Arial"/>
                <w:b w:val="false"/>
                <w:bCs w:val="false"/>
                <w:i w:val="false"/>
                <w:iCs w:val="false"/>
                <w:color w:val="333333"/>
                <w:sz w:val="19"/>
                <w:szCs w:val="19"/>
              </w:rPr>
              <w:t xml:space="preserve">Long-distance heavy hauling with full DOT compliance. Call for availability and routing.</w:t>
            </w:r>
          </w:p>
          <w:p>
            <w:pPr>
              <w:spacing w:before="0" w:after="40"/>
              <w:jc w:val="left"/>
            </w:pPr>
            <w:r>
              <w:rPr>
                <w:rFonts w:ascii="Arial" w:cs="Arial" w:eastAsia="Arial" w:hAnsi="Arial"/>
                <w:b w:val="false"/>
                <w:bCs w:val="false"/>
                <w:i w:val="false"/>
                <w:iCs w:val="false"/>
                <w:color w:val="333333"/>
                <w:sz w:val="19"/>
                <w:szCs w:val="19"/>
              </w:rPr>
              <w:t xml:space="preserve">Stockton dispatch hub enables Central Valley and Interstate commercial coverage.</w:t>
            </w:r>
          </w:p>
        </w:tc>
      </w:tr>
    </w:tbl>
    <w:p>
      <w:pPr>
        <w:spacing w:before="0" w:after="80"/>
        <w:jc w:val="left"/>
      </w:pPr>
      <w:r>
        <w:rPr>
          <w:rFonts w:ascii="Arial" w:cs="Arial" w:eastAsia="Arial" w:hAnsi="Arial"/>
          <w:b w:val="false"/>
          <w:bCs w:val="false"/>
          <w:i w:val="false"/>
          <w:iCs w:val="false"/>
          <w:color w:val="333333"/>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5E9" w:val="clear"/>
            <w:tcMar>
              <w:top w:type="dxa" w:w="160"/>
              <w:left w:type="dxa" w:w="200"/>
              <w:bottom w:type="dxa" w:w="160"/>
              <w:right w:type="dxa" w:w="200"/>
            </w:tcMar>
            <w:vAlign w:val="top"/>
          </w:tcPr>
          <w:p>
            <w:pPr>
              <w:spacing w:before="40" w:after="60"/>
              <w:jc w:val="left"/>
            </w:pPr>
            <w:r>
              <w:rPr>
                <w:rFonts w:ascii="Arial" w:cs="Arial" w:eastAsia="Arial" w:hAnsi="Arial"/>
                <w:b/>
                <w:bCs/>
                <w:i w:val="false"/>
                <w:iCs w:val="false"/>
                <w:color w:val="2E7D32"/>
                <w:sz w:val="20"/>
                <w:szCs w:val="20"/>
              </w:rPr>
              <w:t xml:space="preserve">📊 BUYER PSYCHOLOGY (Phase 2 Insight):</w:t>
            </w:r>
          </w:p>
          <w:p>
            <w:pPr>
              <w:spacing w:before="0" w:after="40"/>
              <w:jc w:val="left"/>
            </w:pPr>
            <w:r>
              <w:rPr>
                <w:rFonts w:ascii="Arial" w:cs="Arial" w:eastAsia="Arial" w:hAnsi="Arial"/>
                <w:b w:val="false"/>
                <w:bCs w:val="false"/>
                <w:i w:val="false"/>
                <w:iCs w:val="false"/>
                <w:color w:val="333333"/>
                <w:sz w:val="19"/>
                <w:szCs w:val="19"/>
              </w:rPr>
              <w:t xml:space="preserve">B2B buyers (fleet managers, construction supervisors) need to confirm capability before anything else. Weight ratings, specific vehicle types, and equipment names (rotator, lowboy) are capability signals they look for. Missing these specifics = losing the lead to a competitor who lists them. 'Other companies refuse' for rotator recoveries is a powerful exclusivity signal.</w:t>
            </w:r>
          </w:p>
        </w:tc>
      </w:tr>
    </w:tbl>
    <w:p>
      <w:pPr>
        <w:pBdr>
          <w:bottom w:val="single" w:color="E87722" w:sz="6"/>
        </w:pBdr>
        <w:spacing w:before="160" w:after="160"/>
      </w:pPr>
    </w:p>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7722" w:val="clear"/>
            <w:tcMar>
              <w:top w:type="dxa" w:w="120"/>
              <w:left w:type="dxa" w:w="120"/>
              <w:bottom w:type="dxa" w:w="120"/>
              <w:right w:type="dxa" w:w="120"/>
            </w:tcMar>
            <w:vAlign w:val="top"/>
          </w:tcPr>
          <w:p>
            <w:pPr>
              <w:spacing w:before="60" w:after="60"/>
              <w:jc w:val="center"/>
            </w:pPr>
            <w:r>
              <w:rPr>
                <w:rFonts w:ascii="Arial" w:cs="Arial" w:eastAsia="Arial" w:hAnsi="Arial"/>
                <w:b/>
                <w:bCs/>
                <w:i w:val="false"/>
                <w:iCs w:val="false"/>
                <w:color w:val="FFFFFF"/>
                <w:sz w:val="22"/>
                <w:szCs w:val="22"/>
              </w:rPr>
              <w:t xml:space="preserve">SECTION 4 — HOW WE HANDLE COMMERCIAL RECOVERY</w:t>
            </w:r>
          </w:p>
        </w:tc>
      </w:tr>
    </w:tbl>
    <w:p>
      <w:pPr>
        <w:spacing w:before="0" w:after="80"/>
        <w:jc w:val="left"/>
      </w:pPr>
      <w:r>
        <w:rPr>
          <w:rFonts w:ascii="Arial" w:cs="Arial" w:eastAsia="Arial" w:hAnsi="Arial"/>
          <w:b w:val="false"/>
          <w:bCs w:val="false"/>
          <w:i w:val="false"/>
          <w:iCs w:val="false"/>
          <w:color w:val="333333"/>
          <w:sz w:val="20"/>
          <w:szCs w:val="20"/>
        </w:rPr>
        <w:t xml:space="preserve"/>
      </w:r>
    </w:p>
    <w:p>
      <w:pPr>
        <w:spacing w:before="200" w:after="60"/>
        <w:jc w:val="left"/>
      </w:pPr>
      <w:r>
        <w:rPr>
          <w:rFonts w:ascii="Arial" w:cs="Arial" w:eastAsia="Arial" w:hAnsi="Arial"/>
          <w:b/>
          <w:bCs/>
          <w:i w:val="false"/>
          <w:iCs w:val="false"/>
          <w:color w:val="1A3C6E"/>
          <w:sz w:val="36"/>
          <w:szCs w:val="36"/>
        </w:rPr>
        <w:t xml:space="preserve">How It Works — Commercial &amp; Fleet Recovery</w:t>
      </w:r>
    </w:p>
    <w:p>
      <w:pPr>
        <w:spacing w:before="0" w:after="120"/>
        <w:jc w:val="left"/>
      </w:pPr>
      <w:r>
        <w:rPr>
          <w:rFonts w:ascii="Arial" w:cs="Arial" w:eastAsia="Arial" w:hAnsi="Arial"/>
          <w:b w:val="false"/>
          <w:bCs w:val="false"/>
          <w:i w:val="false"/>
          <w:iCs w:val="false"/>
          <w:color w:val="666666"/>
          <w:sz w:val="20"/>
          <w:szCs w:val="20"/>
        </w:rPr>
        <w:t xml:space="preserve">From first call to clearance — a process built for commercial operators.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0F8" w:val="clear"/>
            <w:tcMar>
              <w:top w:type="dxa" w:w="160"/>
              <w:left w:type="dxa" w:w="200"/>
              <w:bottom w:type="dxa" w:w="160"/>
              <w:right w:type="dxa" w:w="200"/>
            </w:tcMar>
            <w:vAlign w:val="top"/>
          </w:tcPr>
          <w:p>
            <w:pPr>
              <w:spacing w:before="40" w:after="60"/>
              <w:jc w:val="left"/>
            </w:pPr>
            <w:r>
              <w:rPr>
                <w:rFonts w:ascii="Arial" w:cs="Arial" w:eastAsia="Arial" w:hAnsi="Arial"/>
                <w:b/>
                <w:bCs/>
                <w:i w:val="false"/>
                <w:iCs w:val="false"/>
                <w:color w:val="1A3C6E"/>
                <w:sz w:val="20"/>
                <w:szCs w:val="20"/>
              </w:rPr>
              <w:t xml:space="preserve">🎨 DESIGN / DEVELOPER NOTE:</w:t>
            </w:r>
          </w:p>
          <w:p>
            <w:pPr>
              <w:spacing w:before="0" w:after="40"/>
              <w:jc w:val="left"/>
            </w:pPr>
            <w:r>
              <w:rPr>
                <w:rFonts w:ascii="Arial" w:cs="Arial" w:eastAsia="Arial" w:hAnsi="Arial"/>
                <w:b w:val="false"/>
                <w:bCs w:val="false"/>
                <w:i w:val="false"/>
                <w:iCs w:val="false"/>
                <w:color w:val="333333"/>
                <w:sz w:val="19"/>
                <w:szCs w:val="19"/>
              </w:rPr>
              <w:t xml:space="preserve">4 numbered steps (commercial calls often require more coordination than C1). Include the specific differences from C1 process: incident command, CHP coordination, load assessment. This differentiates from generic towing companies.</w:t>
            </w:r>
          </w:p>
        </w:tc>
      </w:tr>
    </w:tbl>
    <w:p>
      <w:pPr>
        <w:spacing w:before="0" w:after="80"/>
        <w:jc w:val="left"/>
      </w:pPr>
      <w:r>
        <w:rPr>
          <w:rFonts w:ascii="Arial" w:cs="Arial" w:eastAsia="Arial" w:hAnsi="Arial"/>
          <w:b w:val="false"/>
          <w:bCs w:val="false"/>
          <w:i w:val="false"/>
          <w:iCs w:val="false"/>
          <w:color w:val="333333"/>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200"/>
        <w:gridCol w:w="2400"/>
        <w:gridCol w:w="2400"/>
        <w:gridCol w:w="2360"/>
      </w:tblGrid>
      <w:tr>
        <w:tc>
          <w:tcPr>
            <w:tcW w:type="dxa" w:w="2200"/>
            <w:tcBorders>
              <w:top w:val="none" w:color="FFFFFF" w:sz="0"/>
              <w:left w:val="none" w:color="FFFFFF" w:sz="0"/>
              <w:bottom w:val="none" w:color="FFFFFF" w:sz="0"/>
              <w:right w:val="none" w:color="FFFFFF" w:sz="0"/>
            </w:tcBorders>
            <w:shd w:fill="E8F0F8" w:val="clear"/>
            <w:tcMar>
              <w:top w:type="dxa" w:w="160"/>
              <w:left w:type="dxa" w:w="80"/>
              <w:bottom w:type="dxa" w:w="160"/>
              <w:right w:type="dxa" w:w="80"/>
            </w:tcMar>
            <w:vAlign w:val="top"/>
          </w:tcPr>
          <w:p>
            <w:pPr>
              <w:spacing w:before="60" w:after="40"/>
              <w:jc w:val="center"/>
            </w:pPr>
            <w:r>
              <w:rPr>
                <w:rFonts w:ascii="Arial" w:cs="Arial" w:eastAsia="Arial" w:hAnsi="Arial"/>
                <w:b/>
                <w:bCs/>
                <w:i w:val="false"/>
                <w:iCs w:val="false"/>
                <w:color w:val="FFFFFF"/>
                <w:sz w:val="32"/>
                <w:szCs w:val="32"/>
              </w:rPr>
              <w:t xml:space="preserve">1</w:t>
            </w:r>
          </w:p>
          <w:p>
            <w:pPr>
              <w:spacing w:before="0" w:after="80"/>
              <w:jc w:val="center"/>
            </w:pPr>
            <w:r>
              <w:rPr>
                <w:rFonts w:ascii="Arial" w:cs="Arial" w:eastAsia="Arial" w:hAnsi="Arial"/>
                <w:b/>
                <w:bCs/>
                <w:i w:val="false"/>
                <w:iCs w:val="false"/>
                <w:color w:val="1A3C6E"/>
                <w:sz w:val="20"/>
                <w:szCs w:val="20"/>
              </w:rPr>
              <w:t xml:space="preserve">Call Dispatch — 24/7</w:t>
            </w:r>
          </w:p>
          <w:p>
            <w:pPr>
              <w:spacing w:before="0" w:after="60"/>
              <w:jc w:val="left"/>
            </w:pPr>
            <w:r>
              <w:rPr>
                <w:rFonts w:ascii="Arial" w:cs="Arial" w:eastAsia="Arial" w:hAnsi="Arial"/>
                <w:b w:val="false"/>
                <w:bCs w:val="false"/>
                <w:i w:val="false"/>
                <w:iCs w:val="false"/>
                <w:color w:val="333333"/>
                <w:sz w:val="18"/>
                <w:szCs w:val="18"/>
              </w:rPr>
              <w:t xml:space="preserve">One call reaches a commercial-capable dispatcher who understands weight classes, equipment types, and incident command. We speak your language. ETA confirmed within 60 seconds.</w:t>
            </w:r>
          </w:p>
          <w:p>
            <w:pPr>
              <w:spacing w:before="0" w:after="60"/>
              <w:jc w:val="left"/>
            </w:pPr>
            <w:r>
              <w:rPr>
                <w:rFonts w:ascii="Arial" w:cs="Arial" w:eastAsia="Arial" w:hAnsi="Arial"/>
                <w:b w:val="false"/>
                <w:bCs w:val="false"/>
                <w:i w:val="false"/>
                <w:iCs w:val="false"/>
                <w:color w:val="333333"/>
                <w:sz w:val="18"/>
                <w:szCs w:val="18"/>
              </w:rPr>
              <w:t xml:space="preserve">📞 650-881-2400</w:t>
            </w:r>
          </w:p>
        </w:tc>
        <w:tc>
          <w:tcPr>
            <w:tcW w:type="dxa" w:w="2200"/>
            <w:tcBorders>
              <w:top w:val="none" w:color="FFFFFF" w:sz="0"/>
              <w:left w:val="none" w:color="FFFFFF" w:sz="0"/>
              <w:bottom w:val="none" w:color="FFFFFF" w:sz="0"/>
              <w:right w:val="none" w:color="FFFFFF" w:sz="0"/>
            </w:tcBorders>
            <w:shd w:fill="E8F0F8" w:val="clear"/>
            <w:tcMar>
              <w:top w:type="dxa" w:w="160"/>
              <w:left w:type="dxa" w:w="80"/>
              <w:bottom w:type="dxa" w:w="160"/>
              <w:right w:type="dxa" w:w="80"/>
            </w:tcMar>
            <w:vAlign w:val="top"/>
          </w:tcPr>
          <w:p>
            <w:pPr>
              <w:spacing w:before="60" w:after="40"/>
              <w:jc w:val="center"/>
            </w:pPr>
            <w:r>
              <w:rPr>
                <w:rFonts w:ascii="Arial" w:cs="Arial" w:eastAsia="Arial" w:hAnsi="Arial"/>
                <w:b/>
                <w:bCs/>
                <w:i w:val="false"/>
                <w:iCs w:val="false"/>
                <w:color w:val="FFFFFF"/>
                <w:sz w:val="32"/>
                <w:szCs w:val="32"/>
              </w:rPr>
              <w:t xml:space="preserve">2</w:t>
            </w:r>
          </w:p>
          <w:p>
            <w:pPr>
              <w:spacing w:before="0" w:after="80"/>
              <w:jc w:val="center"/>
            </w:pPr>
            <w:r>
              <w:rPr>
                <w:rFonts w:ascii="Arial" w:cs="Arial" w:eastAsia="Arial" w:hAnsi="Arial"/>
                <w:b/>
                <w:bCs/>
                <w:i w:val="false"/>
                <w:iCs w:val="false"/>
                <w:color w:val="1A3C6E"/>
                <w:sz w:val="20"/>
                <w:szCs w:val="20"/>
              </w:rPr>
              <w:t xml:space="preserve">Assessment &amp; Right-Sizing</w:t>
            </w:r>
          </w:p>
          <w:p>
            <w:pPr>
              <w:spacing w:before="0" w:after="60"/>
              <w:jc w:val="left"/>
            </w:pPr>
            <w:r>
              <w:rPr>
                <w:rFonts w:ascii="Arial" w:cs="Arial" w:eastAsia="Arial" w:hAnsi="Arial"/>
                <w:b w:val="false"/>
                <w:bCs w:val="false"/>
                <w:i w:val="false"/>
                <w:iCs w:val="false"/>
                <w:color w:val="333333"/>
                <w:sz w:val="18"/>
                <w:szCs w:val="18"/>
              </w:rPr>
              <w:t xml:space="preserve">We assess equipment type, weight, incident nature (accident, breakdown, rollover) and dispatch the correctly spec'd unit. No second trips, no wrong trucks. Rotator, heavy-duty tow, lowboy — matched to your need.</w:t>
            </w:r>
          </w:p>
        </w:tc>
        <w:tc>
          <w:tcPr>
            <w:tcW w:type="dxa" w:w="2200"/>
            <w:tcBorders>
              <w:top w:val="none" w:color="FFFFFF" w:sz="0"/>
              <w:left w:val="none" w:color="FFFFFF" w:sz="0"/>
              <w:bottom w:val="none" w:color="FFFFFF" w:sz="0"/>
              <w:right w:val="none" w:color="FFFFFF" w:sz="0"/>
            </w:tcBorders>
            <w:shd w:fill="E8F0F8" w:val="clear"/>
            <w:tcMar>
              <w:top w:type="dxa" w:w="160"/>
              <w:left w:type="dxa" w:w="80"/>
              <w:bottom w:type="dxa" w:w="160"/>
              <w:right w:type="dxa" w:w="80"/>
            </w:tcMar>
            <w:vAlign w:val="top"/>
          </w:tcPr>
          <w:p>
            <w:pPr>
              <w:spacing w:before="60" w:after="40"/>
              <w:jc w:val="center"/>
            </w:pPr>
            <w:r>
              <w:rPr>
                <w:rFonts w:ascii="Arial" w:cs="Arial" w:eastAsia="Arial" w:hAnsi="Arial"/>
                <w:b/>
                <w:bCs/>
                <w:i w:val="false"/>
                <w:iCs w:val="false"/>
                <w:color w:val="FFFFFF"/>
                <w:sz w:val="32"/>
                <w:szCs w:val="32"/>
              </w:rPr>
              <w:t xml:space="preserve">3</w:t>
            </w:r>
          </w:p>
          <w:p>
            <w:pPr>
              <w:spacing w:before="0" w:after="80"/>
              <w:jc w:val="center"/>
            </w:pPr>
            <w:r>
              <w:rPr>
                <w:rFonts w:ascii="Arial" w:cs="Arial" w:eastAsia="Arial" w:hAnsi="Arial"/>
                <w:b/>
                <w:bCs/>
                <w:i w:val="false"/>
                <w:iCs w:val="false"/>
                <w:color w:val="1A3C6E"/>
                <w:sz w:val="20"/>
                <w:szCs w:val="20"/>
              </w:rPr>
              <w:t xml:space="preserve">Scene Management &amp; Recovery</w:t>
            </w:r>
          </w:p>
          <w:p>
            <w:pPr>
              <w:spacing w:before="0" w:after="60"/>
              <w:jc w:val="left"/>
            </w:pPr>
            <w:r>
              <w:rPr>
                <w:rFonts w:ascii="Arial" w:cs="Arial" w:eastAsia="Arial" w:hAnsi="Arial"/>
                <w:b w:val="false"/>
                <w:bCs w:val="false"/>
                <w:i w:val="false"/>
                <w:iCs w:val="false"/>
                <w:color w:val="333333"/>
                <w:sz w:val="18"/>
                <w:szCs w:val="18"/>
              </w:rPr>
              <w:t xml:space="preserve">Our operators work within incident command, coordinate with CHP and emergency services, and execute recovery with precision. We clear scenes efficiently — minimizing your downtime and roadway clearance time.</w:t>
            </w:r>
          </w:p>
        </w:tc>
        <w:tc>
          <w:tcPr>
            <w:tcW w:type="dxa" w:w="2200"/>
            <w:tcBorders>
              <w:top w:val="none" w:color="FFFFFF" w:sz="0"/>
              <w:left w:val="none" w:color="FFFFFF" w:sz="0"/>
              <w:bottom w:val="none" w:color="FFFFFF" w:sz="0"/>
              <w:right w:val="none" w:color="FFFFFF" w:sz="0"/>
            </w:tcBorders>
            <w:shd w:fill="E8F0F8" w:val="clear"/>
            <w:tcMar>
              <w:top w:type="dxa" w:w="160"/>
              <w:left w:type="dxa" w:w="80"/>
              <w:bottom w:type="dxa" w:w="160"/>
              <w:right w:type="dxa" w:w="80"/>
            </w:tcMar>
            <w:vAlign w:val="top"/>
          </w:tcPr>
          <w:p>
            <w:pPr>
              <w:spacing w:before="60" w:after="40"/>
              <w:jc w:val="center"/>
            </w:pPr>
            <w:r>
              <w:rPr>
                <w:rFonts w:ascii="Arial" w:cs="Arial" w:eastAsia="Arial" w:hAnsi="Arial"/>
                <w:b/>
                <w:bCs/>
                <w:i w:val="false"/>
                <w:iCs w:val="false"/>
                <w:color w:val="FFFFFF"/>
                <w:sz w:val="32"/>
                <w:szCs w:val="32"/>
              </w:rPr>
              <w:t xml:space="preserve">4</w:t>
            </w:r>
          </w:p>
          <w:p>
            <w:pPr>
              <w:spacing w:before="0" w:after="80"/>
              <w:jc w:val="center"/>
            </w:pPr>
            <w:r>
              <w:rPr>
                <w:rFonts w:ascii="Arial" w:cs="Arial" w:eastAsia="Arial" w:hAnsi="Arial"/>
                <w:b/>
                <w:bCs/>
                <w:i w:val="false"/>
                <w:iCs w:val="false"/>
                <w:color w:val="1A3C6E"/>
                <w:sz w:val="20"/>
                <w:szCs w:val="20"/>
              </w:rPr>
              <w:t xml:space="preserve">Transport &amp; Delivery</w:t>
            </w:r>
          </w:p>
          <w:p>
            <w:pPr>
              <w:spacing w:before="0" w:after="60"/>
              <w:jc w:val="left"/>
            </w:pPr>
            <w:r>
              <w:rPr>
                <w:rFonts w:ascii="Arial" w:cs="Arial" w:eastAsia="Arial" w:hAnsi="Arial"/>
                <w:b w:val="false"/>
                <w:bCs w:val="false"/>
                <w:i w:val="false"/>
                <w:iCs w:val="false"/>
                <w:color w:val="333333"/>
                <w:sz w:val="18"/>
                <w:szCs w:val="18"/>
              </w:rPr>
              <w:t xml:space="preserve">Safe transport to your preferred facility, yard, or repair shop. Full load security, DOT-compliant tie-down, driver log documentation. Fleet account holders receive delivery confirmation and paperwork.</w:t>
            </w:r>
          </w:p>
        </w:tc>
      </w:tr>
    </w:tbl>
    <w:p>
      <w:pPr>
        <w:spacing w:before="0" w:after="80"/>
        <w:jc w:val="left"/>
      </w:pPr>
      <w:r>
        <w:rPr>
          <w:rFonts w:ascii="Arial" w:cs="Arial" w:eastAsia="Arial" w:hAnsi="Arial"/>
          <w:b w:val="false"/>
          <w:bCs w:val="false"/>
          <w:i w:val="false"/>
          <w:iCs w:val="false"/>
          <w:color w:val="333333"/>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5F5" w:val="clear"/>
            <w:tcMar>
              <w:top w:type="dxa" w:w="160"/>
              <w:left w:type="dxa" w:w="200"/>
              <w:bottom w:type="dxa" w:w="160"/>
              <w:right w:type="dxa" w:w="200"/>
            </w:tcMar>
            <w:vAlign w:val="top"/>
          </w:tcPr>
          <w:p>
            <w:pPr>
              <w:spacing w:before="40" w:after="60"/>
              <w:jc w:val="left"/>
            </w:pPr>
            <w:r>
              <w:rPr>
                <w:rFonts w:ascii="Arial" w:cs="Arial" w:eastAsia="Arial" w:hAnsi="Arial"/>
                <w:b/>
                <w:bCs/>
                <w:i w:val="false"/>
                <w:iCs w:val="false"/>
                <w:color w:val="8B1A1A"/>
                <w:sz w:val="20"/>
                <w:szCs w:val="20"/>
              </w:rPr>
              <w:t xml:space="preserve">💰 FLEET DOWNTIME COST (Phase 2 Research):</w:t>
            </w:r>
          </w:p>
          <w:p>
            <w:pPr>
              <w:spacing w:before="0" w:after="40"/>
              <w:jc w:val="left"/>
            </w:pPr>
            <w:r>
              <w:rPr>
                <w:rFonts w:ascii="Arial" w:cs="Arial" w:eastAsia="Arial" w:hAnsi="Arial"/>
                <w:b w:val="false"/>
                <w:bCs w:val="false"/>
                <w:i w:val="false"/>
                <w:iCs w:val="false"/>
                <w:color w:val="333333"/>
                <w:sz w:val="19"/>
                <w:szCs w:val="19"/>
              </w:rPr>
              <w:t xml:space="preserve">Each hour of commercial downtime costs $79.33 on average (ATRI benchmark). A wrong-truck dispatch adds 2-3 hours of delay. Dispatching a rotator on the first call, rather than waiting for a second vehicle, can save $158-$237 in downtime per incident for a fleet customer.</w:t>
            </w:r>
          </w:p>
        </w:tc>
      </w:tr>
    </w:tbl>
    <w:p>
      <w:pPr>
        <w:pBdr>
          <w:bottom w:val="single" w:color="E87722" w:sz="6"/>
        </w:pBdr>
        <w:spacing w:before="160" w:after="160"/>
      </w:pPr>
    </w:p>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7722" w:val="clear"/>
            <w:tcMar>
              <w:top w:type="dxa" w:w="120"/>
              <w:left w:type="dxa" w:w="120"/>
              <w:bottom w:type="dxa" w:w="120"/>
              <w:right w:type="dxa" w:w="120"/>
            </w:tcMar>
            <w:vAlign w:val="top"/>
          </w:tcPr>
          <w:p>
            <w:pPr>
              <w:spacing w:before="60" w:after="60"/>
              <w:jc w:val="center"/>
            </w:pPr>
            <w:r>
              <w:rPr>
                <w:rFonts w:ascii="Arial" w:cs="Arial" w:eastAsia="Arial" w:hAnsi="Arial"/>
                <w:b/>
                <w:bCs/>
                <w:i w:val="false"/>
                <w:iCs w:val="false"/>
                <w:color w:val="FFFFFF"/>
                <w:sz w:val="22"/>
                <w:szCs w:val="22"/>
              </w:rPr>
              <w:t xml:space="preserve">SECTION 5 — FLEET &amp; COMMERCIAL CONTRACTS</w:t>
            </w:r>
          </w:p>
        </w:tc>
      </w:tr>
    </w:tbl>
    <w:p>
      <w:pPr>
        <w:spacing w:before="0" w:after="80"/>
        <w:jc w:val="left"/>
      </w:pPr>
      <w:r>
        <w:rPr>
          <w:rFonts w:ascii="Arial" w:cs="Arial" w:eastAsia="Arial" w:hAnsi="Arial"/>
          <w:b w:val="false"/>
          <w:bCs w:val="false"/>
          <w:i w:val="false"/>
          <w:iCs w:val="false"/>
          <w:color w:val="333333"/>
          <w:sz w:val="20"/>
          <w:szCs w:val="20"/>
        </w:rPr>
        <w:t xml:space="preserve"/>
      </w:r>
    </w:p>
    <w:p>
      <w:pPr>
        <w:spacing w:before="200" w:after="60"/>
        <w:jc w:val="left"/>
      </w:pPr>
      <w:r>
        <w:rPr>
          <w:rFonts w:ascii="Arial" w:cs="Arial" w:eastAsia="Arial" w:hAnsi="Arial"/>
          <w:b/>
          <w:bCs/>
          <w:i w:val="false"/>
          <w:iCs w:val="false"/>
          <w:color w:val="1A3C6E"/>
          <w:sz w:val="36"/>
          <w:szCs w:val="36"/>
        </w:rPr>
        <w:t xml:space="preserve">Fleet Towing Contracts — Built for Commercial Operations</w:t>
      </w:r>
    </w:p>
    <w:p>
      <w:pPr>
        <w:spacing w:before="0" w:after="120"/>
        <w:jc w:val="left"/>
      </w:pPr>
      <w:r>
        <w:rPr>
          <w:rFonts w:ascii="Arial" w:cs="Arial" w:eastAsia="Arial" w:hAnsi="Arial"/>
          <w:b w:val="false"/>
          <w:bCs w:val="false"/>
          <w:i w:val="false"/>
          <w:iCs w:val="false"/>
          <w:color w:val="666666"/>
          <w:sz w:val="20"/>
          <w:szCs w:val="20"/>
        </w:rPr>
        <w:t xml:space="preserve">Priority response, volume pricing, dedicated account management. Stop calling a different towing company every time.</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0F8" w:val="clear"/>
            <w:tcMar>
              <w:top w:type="dxa" w:w="160"/>
              <w:left w:type="dxa" w:w="200"/>
              <w:bottom w:type="dxa" w:w="160"/>
              <w:right w:type="dxa" w:w="200"/>
            </w:tcMar>
            <w:vAlign w:val="top"/>
          </w:tcPr>
          <w:p>
            <w:pPr>
              <w:spacing w:before="40" w:after="60"/>
              <w:jc w:val="left"/>
            </w:pPr>
            <w:r>
              <w:rPr>
                <w:rFonts w:ascii="Arial" w:cs="Arial" w:eastAsia="Arial" w:hAnsi="Arial"/>
                <w:b/>
                <w:bCs/>
                <w:i w:val="false"/>
                <w:iCs w:val="false"/>
                <w:color w:val="1A3C6E"/>
                <w:sz w:val="20"/>
                <w:szCs w:val="20"/>
              </w:rPr>
              <w:t xml:space="preserve">🎨 DESIGN / DEVELOPER NOTE:</w:t>
            </w:r>
          </w:p>
          <w:p>
            <w:pPr>
              <w:spacing w:before="0" w:after="40"/>
              <w:jc w:val="left"/>
            </w:pPr>
            <w:r>
              <w:rPr>
                <w:rFonts w:ascii="Arial" w:cs="Arial" w:eastAsia="Arial" w:hAnsi="Arial"/>
                <w:b w:val="false"/>
                <w:bCs w:val="false"/>
                <w:i w:val="false"/>
                <w:iCs w:val="false"/>
                <w:color w:val="333333"/>
                <w:sz w:val="19"/>
                <w:szCs w:val="19"/>
              </w:rPr>
              <w:t xml:space="preserve">This is the primary B2B conversion section. Two-column layout: left side lists fleet contract benefits, right side has a quote request form or CTA. This is where fleet managers and procurement officers convert. High-value section — design it clearly and professionally.</w:t>
            </w:r>
          </w:p>
        </w:tc>
      </w:tr>
    </w:tbl>
    <w:p>
      <w:pPr>
        <w:spacing w:before="0" w:after="80"/>
        <w:jc w:val="left"/>
      </w:pPr>
      <w:r>
        <w:rPr>
          <w:rFonts w:ascii="Arial" w:cs="Arial" w:eastAsia="Arial" w:hAnsi="Arial"/>
          <w:b w:val="false"/>
          <w:bCs w:val="false"/>
          <w:i w:val="false"/>
          <w:iCs w:val="false"/>
          <w:color w:val="333333"/>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5000"/>
        <w:gridCol w:w="4360"/>
      </w:tblGrid>
      <w:tr>
        <w:tc>
          <w:tcPr>
            <w:tcW w:type="dxa" w:w="5000"/>
            <w:tcBorders>
              <w:top w:val="none" w:color="FFFFFF" w:sz="0"/>
              <w:left w:val="none" w:color="FFFFFF" w:sz="0"/>
              <w:bottom w:val="none" w:color="FFFFFF" w:sz="0"/>
              <w:right w:val="none" w:color="FFFFFF" w:sz="0"/>
            </w:tcBorders>
            <w:shd w:fill="1A3C6E" w:val="clear"/>
            <w:tcMar>
              <w:top w:type="dxa" w:w="200"/>
              <w:left w:type="dxa" w:w="200"/>
              <w:bottom w:type="dxa" w:w="200"/>
              <w:right w:type="dxa" w:w="200"/>
            </w:tcMar>
            <w:vAlign w:val="top"/>
          </w:tcPr>
          <w:p>
            <w:pPr>
              <w:spacing w:before="60" w:after="80"/>
              <w:jc w:val="left"/>
            </w:pPr>
            <w:r>
              <w:rPr>
                <w:rFonts w:ascii="Arial" w:cs="Arial" w:eastAsia="Arial" w:hAnsi="Arial"/>
                <w:b/>
                <w:bCs/>
                <w:i w:val="false"/>
                <w:iCs w:val="false"/>
                <w:color w:val="FFFFFF"/>
                <w:sz w:val="22"/>
                <w:szCs w:val="22"/>
              </w:rPr>
              <w:t xml:space="preserve">What Fleet Accounts Include:</w:t>
            </w:r>
          </w:p>
          <w:p>
            <w:pPr>
              <w:spacing w:before="0" w:after="60"/>
              <w:jc w:val="left"/>
            </w:pPr>
            <w:r>
              <w:rPr>
                <w:rFonts w:ascii="Arial" w:cs="Arial" w:eastAsia="Arial" w:hAnsi="Arial"/>
                <w:b w:val="false"/>
                <w:bCs w:val="false"/>
                <w:i w:val="false"/>
                <w:iCs w:val="false"/>
                <w:color w:val="FFFFFF"/>
                <w:sz w:val="19"/>
                <w:szCs w:val="19"/>
              </w:rPr>
              <w:t xml:space="preserve">Priority Dispatch — Fleet calls jump the queue. Your vehicles are never waiting behind retail calls.</w:t>
            </w:r>
          </w:p>
          <w:p>
            <w:pPr>
              <w:spacing w:before="0" w:after="60"/>
              <w:jc w:val="left"/>
            </w:pPr>
            <w:r>
              <w:rPr>
                <w:rFonts w:ascii="Arial" w:cs="Arial" w:eastAsia="Arial" w:hAnsi="Arial"/>
                <w:b w:val="false"/>
                <w:bCs w:val="false"/>
                <w:i w:val="false"/>
                <w:iCs w:val="false"/>
                <w:color w:val="FFFFFF"/>
                <w:sz w:val="19"/>
                <w:szCs w:val="19"/>
              </w:rPr>
              <w:t xml:space="preserve">Volume Pricing — Monthly invoicing with volume-based rate schedules. No per-call credit card surprises.</w:t>
            </w:r>
          </w:p>
          <w:p>
            <w:pPr>
              <w:spacing w:before="0" w:after="60"/>
              <w:jc w:val="left"/>
            </w:pPr>
            <w:r>
              <w:rPr>
                <w:rFonts w:ascii="Arial" w:cs="Arial" w:eastAsia="Arial" w:hAnsi="Arial"/>
                <w:b w:val="false"/>
                <w:bCs w:val="false"/>
                <w:i w:val="false"/>
                <w:iCs w:val="false"/>
                <w:color w:val="FFFFFF"/>
                <w:sz w:val="19"/>
                <w:szCs w:val="19"/>
              </w:rPr>
              <w:t xml:space="preserve">Dedicated Account Manager — One point of contact for scheduling, invoicing, and incident reports.</w:t>
            </w:r>
          </w:p>
          <w:p>
            <w:pPr>
              <w:spacing w:before="0" w:after="60"/>
              <w:jc w:val="left"/>
            </w:pPr>
            <w:r>
              <w:rPr>
                <w:rFonts w:ascii="Arial" w:cs="Arial" w:eastAsia="Arial" w:hAnsi="Arial"/>
                <w:b w:val="false"/>
                <w:bCs w:val="false"/>
                <w:i w:val="false"/>
                <w:iCs w:val="false"/>
                <w:color w:val="FFFFFF"/>
                <w:sz w:val="19"/>
                <w:szCs w:val="19"/>
              </w:rPr>
              <w:t xml:space="preserve">SLA Response Guarantees — Contractual response time commitments for your coverage area.</w:t>
            </w:r>
          </w:p>
          <w:p>
            <w:pPr>
              <w:spacing w:before="0" w:after="60"/>
              <w:jc w:val="left"/>
            </w:pPr>
            <w:r>
              <w:rPr>
                <w:rFonts w:ascii="Arial" w:cs="Arial" w:eastAsia="Arial" w:hAnsi="Arial"/>
                <w:b w:val="false"/>
                <w:bCs w:val="false"/>
                <w:i w:val="false"/>
                <w:iCs w:val="false"/>
                <w:color w:val="FFFFFF"/>
                <w:sz w:val="19"/>
                <w:szCs w:val="19"/>
              </w:rPr>
              <w:t xml:space="preserve">Fleet Reporting — Monthly tow logs, cost breakdowns, and incident reports for your records.</w:t>
            </w:r>
          </w:p>
          <w:p>
            <w:pPr>
              <w:spacing w:before="0" w:after="60"/>
              <w:jc w:val="left"/>
            </w:pPr>
            <w:r>
              <w:rPr>
                <w:rFonts w:ascii="Arial" w:cs="Arial" w:eastAsia="Arial" w:hAnsi="Arial"/>
                <w:b w:val="false"/>
                <w:bCs w:val="false"/>
                <w:i w:val="false"/>
                <w:iCs w:val="false"/>
                <w:color w:val="FFFFFF"/>
                <w:sz w:val="19"/>
                <w:szCs w:val="19"/>
              </w:rPr>
              <w:t xml:space="preserve">Multi-County Coverage — Single contract covering all 5 Bay Area counties + Central Valley corridor.</w:t>
            </w:r>
          </w:p>
        </w:tc>
        <w:tc>
          <w:tcPr>
            <w:tcW w:type="dxa" w:w="4360"/>
            <w:tcBorders>
              <w:top w:val="none" w:color="FFFFFF" w:sz="0"/>
              <w:left w:val="none" w:color="FFFFFF" w:sz="0"/>
              <w:bottom w:val="none" w:color="FFFFFF" w:sz="0"/>
              <w:right w:val="none" w:color="FFFFFF" w:sz="0"/>
            </w:tcBorders>
            <w:shd w:fill="E8F0F8" w:val="clear"/>
            <w:tcMar>
              <w:top w:type="dxa" w:w="200"/>
              <w:left w:type="dxa" w:w="160"/>
              <w:bottom w:type="dxa" w:w="200"/>
              <w:right w:type="dxa" w:w="160"/>
            </w:tcMar>
            <w:vAlign w:val="top"/>
          </w:tcPr>
          <w:p>
            <w:pPr>
              <w:spacing w:before="60" w:after="80"/>
              <w:jc w:val="left"/>
            </w:pPr>
            <w:r>
              <w:rPr>
                <w:rFonts w:ascii="Arial" w:cs="Arial" w:eastAsia="Arial" w:hAnsi="Arial"/>
                <w:b/>
                <w:bCs/>
                <w:i w:val="false"/>
                <w:iCs w:val="false"/>
                <w:color w:val="1A3C6E"/>
                <w:sz w:val="22"/>
                <w:szCs w:val="22"/>
              </w:rPr>
              <w:t xml:space="preserve">Who We Work With:</w:t>
            </w:r>
          </w:p>
          <w:p>
            <w:pPr>
              <w:spacing w:before="0" w:after="60"/>
              <w:jc w:val="left"/>
            </w:pPr>
            <w:r>
              <w:rPr>
                <w:rFonts w:ascii="Arial" w:cs="Arial" w:eastAsia="Arial" w:hAnsi="Arial"/>
                <w:b w:val="false"/>
                <w:bCs w:val="false"/>
                <w:i w:val="false"/>
                <w:iCs w:val="false"/>
                <w:color w:val="333333"/>
                <w:sz w:val="18"/>
                <w:szCs w:val="18"/>
              </w:rPr>
              <w:t xml:space="preserve">Logistics &amp; Freight Companies — FedEx, UPS, and regional freight carriers operating in the Bay Area.</w:t>
            </w:r>
          </w:p>
          <w:p>
            <w:pPr>
              <w:spacing w:before="0" w:after="60"/>
              <w:jc w:val="left"/>
            </w:pPr>
            <w:r>
              <w:rPr>
                <w:rFonts w:ascii="Arial" w:cs="Arial" w:eastAsia="Arial" w:hAnsi="Arial"/>
                <w:b w:val="false"/>
                <w:bCs w:val="false"/>
                <w:i w:val="false"/>
                <w:iCs w:val="false"/>
                <w:color w:val="333333"/>
                <w:sz w:val="18"/>
                <w:szCs w:val="18"/>
              </w:rPr>
              <w:t xml:space="preserve">Construction Companies — Equipment operators, GCs, subcontractors with heavy machinery.</w:t>
            </w:r>
          </w:p>
          <w:p>
            <w:pPr>
              <w:spacing w:before="0" w:after="60"/>
              <w:jc w:val="left"/>
            </w:pPr>
            <w:r>
              <w:rPr>
                <w:rFonts w:ascii="Arial" w:cs="Arial" w:eastAsia="Arial" w:hAnsi="Arial"/>
                <w:b w:val="false"/>
                <w:bCs w:val="false"/>
                <w:i w:val="false"/>
                <w:iCs w:val="false"/>
                <w:color w:val="333333"/>
                <w:sz w:val="18"/>
                <w:szCs w:val="18"/>
              </w:rPr>
              <w:t xml:space="preserve">Municipal &amp; Transit — City buses, county fleets, transit authorities, school districts.</w:t>
            </w:r>
          </w:p>
          <w:p>
            <w:pPr>
              <w:spacing w:before="0" w:after="60"/>
              <w:jc w:val="left"/>
            </w:pPr>
            <w:r>
              <w:rPr>
                <w:rFonts w:ascii="Arial" w:cs="Arial" w:eastAsia="Arial" w:hAnsi="Arial"/>
                <w:b w:val="false"/>
                <w:bCs w:val="false"/>
                <w:i w:val="false"/>
                <w:iCs w:val="false"/>
                <w:color w:val="333333"/>
                <w:sz w:val="18"/>
                <w:szCs w:val="18"/>
              </w:rPr>
              <w:t xml:space="preserve">Trucking Companies — Owner-operators, regional carriers, intermodal operators.</w:t>
            </w:r>
          </w:p>
          <w:p>
            <w:pPr>
              <w:spacing w:before="0" w:after="60"/>
              <w:jc w:val="left"/>
            </w:pPr>
            <w:r>
              <w:rPr>
                <w:rFonts w:ascii="Arial" w:cs="Arial" w:eastAsia="Arial" w:hAnsi="Arial"/>
                <w:b w:val="false"/>
                <w:bCs w:val="false"/>
                <w:i w:val="false"/>
                <w:iCs w:val="false"/>
                <w:color w:val="333333"/>
                <w:sz w:val="18"/>
                <w:szCs w:val="18"/>
              </w:rPr>
              <w:t xml:space="preserve">Corporate Fleet Managers — Multi-vehicle company fleets needing a single towing vendor.</w:t>
            </w:r>
          </w:p>
          <w:p>
            <w:pPr>
              <w:spacing w:before="0" w:after="80"/>
              <w:jc w:val="left"/>
            </w:pPr>
            <w:r>
              <w:rPr>
                <w:rFonts w:ascii="Arial" w:cs="Arial" w:eastAsia="Arial" w:hAnsi="Arial"/>
                <w:b w:val="false"/>
                <w:bCs w:val="false"/>
                <w:i w:val="false"/>
                <w:iCs w:val="false"/>
                <w:color w:val="333333"/>
                <w:sz w:val="20"/>
                <w:szCs w:val="20"/>
              </w:rPr>
              <w:t xml:space="preserve"/>
            </w:r>
          </w:p>
          <w:tbl>
            <w:tblPr>
              <w:tblW w:type="dxa" w:w="4160"/>
              <w:tblBorders>
                <w:top w:val="none" w:color="FFFFFF" w:sz="0"/>
                <w:left w:val="none" w:color="FFFFFF" w:sz="0"/>
                <w:bottom w:val="none" w:color="FFFFFF" w:sz="0"/>
                <w:right w:val="none" w:color="FFFFFF" w:sz="0"/>
                <w:insideH w:val="single" w:color="auto" w:sz="4"/>
                <w:insideV w:val="single" w:color="auto" w:sz="4"/>
              </w:tblBorders>
            </w:tblPr>
            <w:tblGrid>
              <w:gridCol w:w="4160"/>
            </w:tblGrid>
            <w:tr>
              <w:tc>
                <w:tcPr>
                  <w:tcW w:type="dxa" w:w="4160"/>
                  <w:tcBorders>
                    <w:top w:val="none" w:color="FFFFFF" w:sz="0"/>
                    <w:left w:val="none" w:color="FFFFFF" w:sz="0"/>
                    <w:bottom w:val="none" w:color="FFFFFF" w:sz="0"/>
                    <w:right w:val="none" w:color="FFFFFF" w:sz="0"/>
                  </w:tcBorders>
                  <w:shd w:fill="E87722" w:val="clear"/>
                  <w:tcMar>
                    <w:top w:type="dxa" w:w="120"/>
                    <w:left w:type="dxa" w:w="120"/>
                    <w:bottom w:type="dxa" w:w="120"/>
                    <w:right w:type="dxa" w:w="120"/>
                  </w:tcMar>
                  <w:vAlign w:val="top"/>
                </w:tcPr>
                <w:p>
                  <w:pPr>
                    <w:spacing w:before="80" w:after="40"/>
                    <w:jc w:val="center"/>
                  </w:pPr>
                  <w:r>
                    <w:rPr>
                      <w:rFonts w:ascii="Arial" w:cs="Arial" w:eastAsia="Arial" w:hAnsi="Arial"/>
                      <w:b/>
                      <w:bCs/>
                      <w:i w:val="false"/>
                      <w:iCs w:val="false"/>
                      <w:color w:val="FFFFFF"/>
                      <w:sz w:val="22"/>
                      <w:szCs w:val="22"/>
                    </w:rPr>
                    <w:t xml:space="preserve">GET A FLEET QUOTE</w:t>
                  </w:r>
                </w:p>
                <w:p>
                  <w:pPr>
                    <w:spacing w:before="0" w:after="80"/>
                    <w:jc w:val="center"/>
                  </w:pPr>
                  <w:r>
                    <w:rPr>
                      <w:rFonts w:ascii="Arial" w:cs="Arial" w:eastAsia="Arial" w:hAnsi="Arial"/>
                      <w:b w:val="false"/>
                      <w:bCs w:val="false"/>
                      <w:i w:val="false"/>
                      <w:iCs w:val="false"/>
                      <w:color w:val="FFFFFF"/>
                      <w:sz w:val="17"/>
                      <w:szCs w:val="17"/>
                    </w:rPr>
                    <w:t xml:space="preserve">Call: 650-881-2400  |  Email: dispatch@heavytowpro.com</w:t>
                  </w:r>
                </w:p>
              </w:tc>
            </w:tr>
          </w:tbl>
          <w:p/>
        </w:tc>
      </w:tr>
    </w:tbl>
    <w:p>
      <w:pPr>
        <w:spacing w:before="0" w:after="80"/>
        <w:jc w:val="left"/>
      </w:pPr>
      <w:r>
        <w:rPr>
          <w:rFonts w:ascii="Arial" w:cs="Arial" w:eastAsia="Arial" w:hAnsi="Arial"/>
          <w:b w:val="false"/>
          <w:bCs w:val="false"/>
          <w:i w:val="false"/>
          <w:iCs w:val="false"/>
          <w:color w:val="333333"/>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5E9" w:val="clear"/>
            <w:tcMar>
              <w:top w:type="dxa" w:w="160"/>
              <w:left w:type="dxa" w:w="200"/>
              <w:bottom w:type="dxa" w:w="160"/>
              <w:right w:type="dxa" w:w="200"/>
            </w:tcMar>
            <w:vAlign w:val="top"/>
          </w:tcPr>
          <w:p>
            <w:pPr>
              <w:spacing w:before="40" w:after="60"/>
              <w:jc w:val="left"/>
            </w:pPr>
            <w:r>
              <w:rPr>
                <w:rFonts w:ascii="Arial" w:cs="Arial" w:eastAsia="Arial" w:hAnsi="Arial"/>
                <w:b/>
                <w:bCs/>
                <w:i w:val="false"/>
                <w:iCs w:val="false"/>
                <w:color w:val="2E7D32"/>
                <w:sz w:val="20"/>
                <w:szCs w:val="20"/>
              </w:rPr>
              <w:t xml:space="preserve">📊 BUYER PSYCHOLOGY (Phase 2 Insight):</w:t>
            </w:r>
          </w:p>
          <w:p>
            <w:pPr>
              <w:spacing w:before="0" w:after="40"/>
              <w:jc w:val="left"/>
            </w:pPr>
            <w:r>
              <w:rPr>
                <w:rFonts w:ascii="Arial" w:cs="Arial" w:eastAsia="Arial" w:hAnsi="Arial"/>
                <w:b w:val="false"/>
                <w:bCs w:val="false"/>
                <w:i w:val="false"/>
                <w:iCs w:val="false"/>
                <w:color w:val="333333"/>
                <w:sz w:val="19"/>
                <w:szCs w:val="19"/>
              </w:rPr>
              <w:t xml:space="preserve">B2B buyers (Persona 1: Fleet Operations Manager, Persona 2: Logistics Coordinator) want a relationship, not a transaction. The SLA, priority dispatch, volume pricing, and dedicated account manager are the triggers that move them from one-time caller to contract client. The email option matters — procurement buyers often can't call during work hours.</w:t>
            </w:r>
          </w:p>
        </w:tc>
      </w:tr>
    </w:tbl>
    <w:p>
      <w:pPr>
        <w:pBdr>
          <w:bottom w:val="single" w:color="E87722" w:sz="6"/>
        </w:pBdr>
        <w:spacing w:before="160" w:after="160"/>
      </w:pPr>
    </w:p>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7722" w:val="clear"/>
            <w:tcMar>
              <w:top w:type="dxa" w:w="120"/>
              <w:left w:type="dxa" w:w="120"/>
              <w:bottom w:type="dxa" w:w="120"/>
              <w:right w:type="dxa" w:w="120"/>
            </w:tcMar>
            <w:vAlign w:val="top"/>
          </w:tcPr>
          <w:p>
            <w:pPr>
              <w:spacing w:before="60" w:after="60"/>
              <w:jc w:val="center"/>
            </w:pPr>
            <w:r>
              <w:rPr>
                <w:rFonts w:ascii="Arial" w:cs="Arial" w:eastAsia="Arial" w:hAnsi="Arial"/>
                <w:b/>
                <w:bCs/>
                <w:i w:val="false"/>
                <w:iCs w:val="false"/>
                <w:color w:val="FFFFFF"/>
                <w:sz w:val="22"/>
                <w:szCs w:val="22"/>
              </w:rPr>
              <w:t xml:space="preserve">SECTION 6 — CERTIFICATIONS &amp; COMPLIANCE</w:t>
            </w:r>
          </w:p>
        </w:tc>
      </w:tr>
    </w:tbl>
    <w:p>
      <w:pPr>
        <w:spacing w:before="0" w:after="80"/>
        <w:jc w:val="left"/>
      </w:pPr>
      <w:r>
        <w:rPr>
          <w:rFonts w:ascii="Arial" w:cs="Arial" w:eastAsia="Arial" w:hAnsi="Arial"/>
          <w:b w:val="false"/>
          <w:bCs w:val="false"/>
          <w:i w:val="false"/>
          <w:iCs w:val="false"/>
          <w:color w:val="333333"/>
          <w:sz w:val="20"/>
          <w:szCs w:val="20"/>
        </w:rPr>
        <w:t xml:space="preserve"/>
      </w:r>
    </w:p>
    <w:p>
      <w:pPr>
        <w:spacing w:before="200" w:after="60"/>
        <w:jc w:val="left"/>
      </w:pPr>
      <w:r>
        <w:rPr>
          <w:rFonts w:ascii="Arial" w:cs="Arial" w:eastAsia="Arial" w:hAnsi="Arial"/>
          <w:b/>
          <w:bCs/>
          <w:i w:val="false"/>
          <w:iCs w:val="false"/>
          <w:color w:val="1A3C6E"/>
          <w:sz w:val="36"/>
          <w:szCs w:val="36"/>
        </w:rPr>
        <w:t xml:space="preserve">Certified. Compliant. Insured.</w:t>
      </w:r>
    </w:p>
    <w:p>
      <w:pPr>
        <w:spacing w:before="0" w:after="120"/>
        <w:jc w:val="left"/>
      </w:pPr>
      <w:r>
        <w:rPr>
          <w:rFonts w:ascii="Arial" w:cs="Arial" w:eastAsia="Arial" w:hAnsi="Arial"/>
          <w:b w:val="false"/>
          <w:bCs w:val="false"/>
          <w:i w:val="false"/>
          <w:iCs w:val="false"/>
          <w:color w:val="666666"/>
          <w:sz w:val="20"/>
          <w:szCs w:val="20"/>
        </w:rPr>
        <w:t xml:space="preserve">The credentials commercial operators require from a towing partner.</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0F8" w:val="clear"/>
            <w:tcMar>
              <w:top w:type="dxa" w:w="160"/>
              <w:left w:type="dxa" w:w="200"/>
              <w:bottom w:type="dxa" w:w="160"/>
              <w:right w:type="dxa" w:w="200"/>
            </w:tcMar>
            <w:vAlign w:val="top"/>
          </w:tcPr>
          <w:p>
            <w:pPr>
              <w:spacing w:before="40" w:after="60"/>
              <w:jc w:val="left"/>
            </w:pPr>
            <w:r>
              <w:rPr>
                <w:rFonts w:ascii="Arial" w:cs="Arial" w:eastAsia="Arial" w:hAnsi="Arial"/>
                <w:b/>
                <w:bCs/>
                <w:i w:val="false"/>
                <w:iCs w:val="false"/>
                <w:color w:val="1A3C6E"/>
                <w:sz w:val="20"/>
                <w:szCs w:val="20"/>
              </w:rPr>
              <w:t xml:space="preserve">🎨 DESIGN / DEVELOPER NOTE:</w:t>
            </w:r>
          </w:p>
          <w:p>
            <w:pPr>
              <w:spacing w:before="0" w:after="40"/>
              <w:jc w:val="left"/>
            </w:pPr>
            <w:r>
              <w:rPr>
                <w:rFonts w:ascii="Arial" w:cs="Arial" w:eastAsia="Arial" w:hAnsi="Arial"/>
                <w:b w:val="false"/>
                <w:bCs w:val="false"/>
                <w:i w:val="false"/>
                <w:iCs w:val="false"/>
                <w:color w:val="333333"/>
                <w:sz w:val="19"/>
                <w:szCs w:val="19"/>
              </w:rPr>
              <w:t xml:space="preserve">Certification badges/logos with explanations. 4-6 certs listed clearly. B2B buyers must verify vendor credentials for liability and insurance purposes — this section makes that easy. Consider downloadable COI or certification docs for enterprise prospects.</w:t>
            </w:r>
          </w:p>
        </w:tc>
      </w:tr>
    </w:tbl>
    <w:p>
      <w:pPr>
        <w:spacing w:before="0" w:after="80"/>
        <w:jc w:val="left"/>
      </w:pPr>
      <w:r>
        <w:rPr>
          <w:rFonts w:ascii="Arial" w:cs="Arial" w:eastAsia="Arial" w:hAnsi="Arial"/>
          <w:b w:val="false"/>
          <w:bCs w:val="false"/>
          <w:i w:val="false"/>
          <w:iCs w:val="false"/>
          <w:color w:val="333333"/>
          <w:sz w:val="20"/>
          <w:szCs w:val="20"/>
        </w:rPr>
        <w:t xml:space="preserve"/>
      </w:r>
    </w:p>
    <w:tbl>
      <w:tblPr>
        <w:tblW w:type="dxa" w:w="9360"/>
        <w:tblBorders>
          <w:top w:val="single" w:color="E0E0E0" w:sz="1"/>
          <w:left w:val="none" w:color="FFFFFF" w:sz="0"/>
          <w:bottom w:val="single" w:color="E0E0E0" w:sz="1"/>
          <w:right w:val="none" w:color="FFFFFF" w:sz="0"/>
          <w:insideH w:val="single" w:color="auto" w:sz="4"/>
          <w:insideV w:val="single" w:color="auto" w:sz="4"/>
        </w:tblBorders>
      </w:tblPr>
      <w:tblGrid>
        <w:gridCol w:w="800"/>
        <w:gridCol w:w="8560"/>
      </w:tblGrid>
      <w:tr>
        <w:trPr>
          <w:trHeight w:val="400" w:hRule="atLeast"/>
        </w:trPr>
        <w:tc>
          <w:tcPr>
            <w:tcW w:type="dxa" w:w="800"/>
            <w:tcBorders>
              <w:top w:val="none" w:color="FFFFFF" w:sz="0"/>
              <w:left w:val="none" w:color="FFFFFF" w:sz="0"/>
              <w:bottom w:val="none" w:color="FFFFFF" w:sz="0"/>
              <w:right w:val="none" w:color="FFFFFF" w:sz="0"/>
            </w:tcBorders>
            <w:shd w:fill="1A3C6E" w:val="clear"/>
            <w:tcMar>
              <w:top w:type="dxa" w:w="120"/>
              <w:left w:type="dxa" w:w="120"/>
              <w:bottom w:type="dxa" w:w="120"/>
              <w:right w:type="dxa" w:w="120"/>
            </w:tcMar>
            <w:vAlign w:val="center"/>
          </w:tcPr>
          <w:p>
            <w:pPr>
              <w:spacing w:before="0" w:after="80"/>
              <w:jc w:val="center"/>
            </w:pPr>
            <w:r>
              <w:rPr>
                <w:rFonts w:ascii="Arial" w:cs="Arial" w:eastAsia="Arial" w:hAnsi="Arial"/>
                <w:b/>
                <w:bCs/>
                <w:i w:val="false"/>
                <w:iCs w:val="false"/>
                <w:color w:val="FFFFFF"/>
                <w:sz w:val="28"/>
                <w:szCs w:val="28"/>
              </w:rPr>
              <w:t xml:space="preserve">CTTA</w:t>
            </w:r>
          </w:p>
        </w:tc>
        <w:tc>
          <w:tcPr>
            <w:tcW w:type="dxa" w:w="8560"/>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vAlign w:val="top"/>
          </w:tcPr>
          <w:p>
            <w:pPr>
              <w:spacing w:before="40" w:after="40"/>
              <w:jc w:val="left"/>
            </w:pPr>
            <w:r>
              <w:rPr>
                <w:rFonts w:ascii="Arial" w:cs="Arial" w:eastAsia="Arial" w:hAnsi="Arial"/>
                <w:b/>
                <w:bCs/>
                <w:i w:val="false"/>
                <w:iCs w:val="false"/>
                <w:color w:val="1A3C6E"/>
                <w:sz w:val="20"/>
                <w:szCs w:val="20"/>
              </w:rPr>
              <w:t xml:space="preserve">California Tow Truck Association</w:t>
            </w:r>
          </w:p>
          <w:p>
            <w:pPr>
              <w:spacing w:before="0" w:after="60"/>
              <w:jc w:val="left"/>
            </w:pPr>
            <w:r>
              <w:rPr>
                <w:rFonts w:ascii="Arial" w:cs="Arial" w:eastAsia="Arial" w:hAnsi="Arial"/>
                <w:b w:val="false"/>
                <w:bCs w:val="false"/>
                <w:i w:val="false"/>
                <w:iCs w:val="false"/>
                <w:color w:val="333333"/>
                <w:sz w:val="18"/>
                <w:szCs w:val="18"/>
              </w:rPr>
              <w:t xml:space="preserve">State-level professional towing certification. CTTA members meet California's highest standards for equipment, training, and business practices.</w:t>
            </w:r>
          </w:p>
        </w:tc>
      </w:tr>
    </w:tbl>
    <w:tbl>
      <w:tblPr>
        <w:tblW w:type="dxa" w:w="9360"/>
        <w:tblBorders>
          <w:top w:val="single" w:color="E0E0E0" w:sz="1"/>
          <w:left w:val="none" w:color="FFFFFF" w:sz="0"/>
          <w:bottom w:val="single" w:color="E0E0E0" w:sz="1"/>
          <w:right w:val="none" w:color="FFFFFF" w:sz="0"/>
          <w:insideH w:val="single" w:color="auto" w:sz="4"/>
          <w:insideV w:val="single" w:color="auto" w:sz="4"/>
        </w:tblBorders>
      </w:tblPr>
      <w:tblGrid>
        <w:gridCol w:w="800"/>
        <w:gridCol w:w="8560"/>
      </w:tblGrid>
      <w:tr>
        <w:trPr>
          <w:trHeight w:val="400" w:hRule="atLeast"/>
        </w:trPr>
        <w:tc>
          <w:tcPr>
            <w:tcW w:type="dxa" w:w="800"/>
            <w:tcBorders>
              <w:top w:val="none" w:color="FFFFFF" w:sz="0"/>
              <w:left w:val="none" w:color="FFFFFF" w:sz="0"/>
              <w:bottom w:val="none" w:color="FFFFFF" w:sz="0"/>
              <w:right w:val="none" w:color="FFFFFF" w:sz="0"/>
            </w:tcBorders>
            <w:shd w:fill="1A3C6E" w:val="clear"/>
            <w:tcMar>
              <w:top w:type="dxa" w:w="120"/>
              <w:left w:type="dxa" w:w="120"/>
              <w:bottom w:type="dxa" w:w="120"/>
              <w:right w:type="dxa" w:w="120"/>
            </w:tcMar>
            <w:vAlign w:val="center"/>
          </w:tcPr>
          <w:p>
            <w:pPr>
              <w:spacing w:before="0" w:after="80"/>
              <w:jc w:val="center"/>
            </w:pPr>
            <w:r>
              <w:rPr>
                <w:rFonts w:ascii="Arial" w:cs="Arial" w:eastAsia="Arial" w:hAnsi="Arial"/>
                <w:b/>
                <w:bCs/>
                <w:i w:val="false"/>
                <w:iCs w:val="false"/>
                <w:color w:val="FFFFFF"/>
                <w:sz w:val="28"/>
                <w:szCs w:val="28"/>
              </w:rPr>
              <w:t xml:space="preserve">ITRA</w:t>
            </w:r>
          </w:p>
        </w:tc>
        <w:tc>
          <w:tcPr>
            <w:tcW w:type="dxa" w:w="8560"/>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vAlign w:val="top"/>
          </w:tcPr>
          <w:p>
            <w:pPr>
              <w:spacing w:before="40" w:after="40"/>
              <w:jc w:val="left"/>
            </w:pPr>
            <w:r>
              <w:rPr>
                <w:rFonts w:ascii="Arial" w:cs="Arial" w:eastAsia="Arial" w:hAnsi="Arial"/>
                <w:b/>
                <w:bCs/>
                <w:i w:val="false"/>
                <w:iCs w:val="false"/>
                <w:color w:val="1A3C6E"/>
                <w:sz w:val="20"/>
                <w:szCs w:val="20"/>
              </w:rPr>
              <w:t xml:space="preserve">International Towing &amp; Recovery Association</w:t>
            </w:r>
          </w:p>
          <w:p>
            <w:pPr>
              <w:spacing w:before="0" w:after="60"/>
              <w:jc w:val="left"/>
            </w:pPr>
            <w:r>
              <w:rPr>
                <w:rFonts w:ascii="Arial" w:cs="Arial" w:eastAsia="Arial" w:hAnsi="Arial"/>
                <w:b w:val="false"/>
                <w:bCs w:val="false"/>
                <w:i w:val="false"/>
                <w:iCs w:val="false"/>
                <w:color w:val="333333"/>
                <w:sz w:val="18"/>
                <w:szCs w:val="18"/>
              </w:rPr>
              <w:t xml:space="preserve">International heavy-duty recovery certification. ITRA credentials confirm capability in complex recoveries — including rollovers, jackknifes, and multi-vehicle incidents.</w:t>
            </w:r>
          </w:p>
        </w:tc>
      </w:tr>
    </w:tbl>
    <w:tbl>
      <w:tblPr>
        <w:tblW w:type="dxa" w:w="9360"/>
        <w:tblBorders>
          <w:top w:val="single" w:color="E0E0E0" w:sz="1"/>
          <w:left w:val="none" w:color="FFFFFF" w:sz="0"/>
          <w:bottom w:val="single" w:color="E0E0E0" w:sz="1"/>
          <w:right w:val="none" w:color="FFFFFF" w:sz="0"/>
          <w:insideH w:val="single" w:color="auto" w:sz="4"/>
          <w:insideV w:val="single" w:color="auto" w:sz="4"/>
        </w:tblBorders>
      </w:tblPr>
      <w:tblGrid>
        <w:gridCol w:w="800"/>
        <w:gridCol w:w="8560"/>
      </w:tblGrid>
      <w:tr>
        <w:trPr>
          <w:trHeight w:val="400" w:hRule="atLeast"/>
        </w:trPr>
        <w:tc>
          <w:tcPr>
            <w:tcW w:type="dxa" w:w="800"/>
            <w:tcBorders>
              <w:top w:val="none" w:color="FFFFFF" w:sz="0"/>
              <w:left w:val="none" w:color="FFFFFF" w:sz="0"/>
              <w:bottom w:val="none" w:color="FFFFFF" w:sz="0"/>
              <w:right w:val="none" w:color="FFFFFF" w:sz="0"/>
            </w:tcBorders>
            <w:shd w:fill="1A3C6E" w:val="clear"/>
            <w:tcMar>
              <w:top w:type="dxa" w:w="120"/>
              <w:left w:type="dxa" w:w="120"/>
              <w:bottom w:type="dxa" w:w="120"/>
              <w:right w:type="dxa" w:w="120"/>
            </w:tcMar>
            <w:vAlign w:val="center"/>
          </w:tcPr>
          <w:p>
            <w:pPr>
              <w:spacing w:before="0" w:after="80"/>
              <w:jc w:val="center"/>
            </w:pPr>
            <w:r>
              <w:rPr>
                <w:rFonts w:ascii="Arial" w:cs="Arial" w:eastAsia="Arial" w:hAnsi="Arial"/>
                <w:b/>
                <w:bCs/>
                <w:i w:val="false"/>
                <w:iCs w:val="false"/>
                <w:color w:val="FFFFFF"/>
                <w:sz w:val="28"/>
                <w:szCs w:val="28"/>
              </w:rPr>
              <w:t xml:space="preserve">DOT</w:t>
            </w:r>
          </w:p>
        </w:tc>
        <w:tc>
          <w:tcPr>
            <w:tcW w:type="dxa" w:w="8560"/>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vAlign w:val="top"/>
          </w:tcPr>
          <w:p>
            <w:pPr>
              <w:spacing w:before="40" w:after="40"/>
              <w:jc w:val="left"/>
            </w:pPr>
            <w:r>
              <w:rPr>
                <w:rFonts w:ascii="Arial" w:cs="Arial" w:eastAsia="Arial" w:hAnsi="Arial"/>
                <w:b/>
                <w:bCs/>
                <w:i w:val="false"/>
                <w:iCs w:val="false"/>
                <w:color w:val="1A3C6E"/>
                <w:sz w:val="20"/>
                <w:szCs w:val="20"/>
              </w:rPr>
              <w:t xml:space="preserve">Department of Transportation Compliant</w:t>
            </w:r>
          </w:p>
          <w:p>
            <w:pPr>
              <w:spacing w:before="0" w:after="60"/>
              <w:jc w:val="left"/>
            </w:pPr>
            <w:r>
              <w:rPr>
                <w:rFonts w:ascii="Arial" w:cs="Arial" w:eastAsia="Arial" w:hAnsi="Arial"/>
                <w:b w:val="false"/>
                <w:bCs w:val="false"/>
                <w:i w:val="false"/>
                <w:iCs w:val="false"/>
                <w:color w:val="333333"/>
                <w:sz w:val="18"/>
                <w:szCs w:val="18"/>
              </w:rPr>
              <w:t xml:space="preserve">Full DOT compliance for commercial vehicle operations. Driver logs, vehicle inspections, weight limits, and tie-down regulations — all followed, every run.</w:t>
            </w:r>
          </w:p>
        </w:tc>
      </w:tr>
    </w:tbl>
    <w:tbl>
      <w:tblPr>
        <w:tblW w:type="dxa" w:w="9360"/>
        <w:tblBorders>
          <w:top w:val="single" w:color="E0E0E0" w:sz="1"/>
          <w:left w:val="none" w:color="FFFFFF" w:sz="0"/>
          <w:bottom w:val="single" w:color="E0E0E0" w:sz="1"/>
          <w:right w:val="none" w:color="FFFFFF" w:sz="0"/>
          <w:insideH w:val="single" w:color="auto" w:sz="4"/>
          <w:insideV w:val="single" w:color="auto" w:sz="4"/>
        </w:tblBorders>
      </w:tblPr>
      <w:tblGrid>
        <w:gridCol w:w="800"/>
        <w:gridCol w:w="8560"/>
      </w:tblGrid>
      <w:tr>
        <w:trPr>
          <w:trHeight w:val="400" w:hRule="atLeast"/>
        </w:trPr>
        <w:tc>
          <w:tcPr>
            <w:tcW w:type="dxa" w:w="800"/>
            <w:tcBorders>
              <w:top w:val="none" w:color="FFFFFF" w:sz="0"/>
              <w:left w:val="none" w:color="FFFFFF" w:sz="0"/>
              <w:bottom w:val="none" w:color="FFFFFF" w:sz="0"/>
              <w:right w:val="none" w:color="FFFFFF" w:sz="0"/>
            </w:tcBorders>
            <w:shd w:fill="1A3C6E" w:val="clear"/>
            <w:tcMar>
              <w:top w:type="dxa" w:w="120"/>
              <w:left w:type="dxa" w:w="120"/>
              <w:bottom w:type="dxa" w:w="120"/>
              <w:right w:type="dxa" w:w="120"/>
            </w:tcMar>
            <w:vAlign w:val="center"/>
          </w:tcPr>
          <w:p>
            <w:pPr>
              <w:spacing w:before="0" w:after="80"/>
              <w:jc w:val="center"/>
            </w:pPr>
            <w:r>
              <w:rPr>
                <w:rFonts w:ascii="Arial" w:cs="Arial" w:eastAsia="Arial" w:hAnsi="Arial"/>
                <w:b/>
                <w:bCs/>
                <w:i w:val="false"/>
                <w:iCs w:val="false"/>
                <w:color w:val="FFFFFF"/>
                <w:sz w:val="28"/>
                <w:szCs w:val="28"/>
              </w:rPr>
              <w:t xml:space="preserve">OSHA</w:t>
            </w:r>
          </w:p>
        </w:tc>
        <w:tc>
          <w:tcPr>
            <w:tcW w:type="dxa" w:w="8560"/>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vAlign w:val="top"/>
          </w:tcPr>
          <w:p>
            <w:pPr>
              <w:spacing w:before="40" w:after="40"/>
              <w:jc w:val="left"/>
            </w:pPr>
            <w:r>
              <w:rPr>
                <w:rFonts w:ascii="Arial" w:cs="Arial" w:eastAsia="Arial" w:hAnsi="Arial"/>
                <w:b/>
                <w:bCs/>
                <w:i w:val="false"/>
                <w:iCs w:val="false"/>
                <w:color w:val="1A3C6E"/>
                <w:sz w:val="20"/>
                <w:szCs w:val="20"/>
              </w:rPr>
              <w:t xml:space="preserve">OSHA-Trained Operators</w:t>
            </w:r>
          </w:p>
          <w:p>
            <w:pPr>
              <w:spacing w:before="0" w:after="60"/>
              <w:jc w:val="left"/>
            </w:pPr>
            <w:r>
              <w:rPr>
                <w:rFonts w:ascii="Arial" w:cs="Arial" w:eastAsia="Arial" w:hAnsi="Arial"/>
                <w:b w:val="false"/>
                <w:bCs w:val="false"/>
                <w:i w:val="false"/>
                <w:iCs w:val="false"/>
                <w:color w:val="333333"/>
                <w:sz w:val="18"/>
                <w:szCs w:val="18"/>
              </w:rPr>
              <w:t xml:space="preserve">All operators complete OSHA safety training for hazard recognition, incident scene management, and personal protective equipment protocols.</w:t>
            </w:r>
          </w:p>
        </w:tc>
      </w:tr>
    </w:tbl>
    <w:p>
      <w:pPr>
        <w:spacing w:before="0" w:after="80"/>
        <w:jc w:val="left"/>
      </w:pPr>
      <w:r>
        <w:rPr>
          <w:rFonts w:ascii="Arial" w:cs="Arial" w:eastAsia="Arial" w:hAnsi="Arial"/>
          <w:b w:val="false"/>
          <w:bCs w:val="false"/>
          <w:i w:val="false"/>
          <w:iCs w:val="false"/>
          <w:color w:val="333333"/>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0F8" w:val="clear"/>
            <w:tcMar>
              <w:top w:type="dxa" w:w="160"/>
              <w:left w:type="dxa" w:w="200"/>
              <w:bottom w:type="dxa" w:w="160"/>
              <w:right w:type="dxa" w:w="200"/>
            </w:tcMar>
            <w:vAlign w:val="top"/>
          </w:tcPr>
          <w:p>
            <w:pPr>
              <w:spacing w:before="40" w:after="60"/>
              <w:jc w:val="left"/>
            </w:pPr>
            <w:r>
              <w:rPr>
                <w:rFonts w:ascii="Arial" w:cs="Arial" w:eastAsia="Arial" w:hAnsi="Arial"/>
                <w:b/>
                <w:bCs/>
                <w:i w:val="false"/>
                <w:iCs w:val="false"/>
                <w:color w:val="1A3C6E"/>
                <w:sz w:val="20"/>
                <w:szCs w:val="20"/>
              </w:rPr>
              <w:t xml:space="preserve">Certificate of Insurance Available on Request</w:t>
            </w:r>
          </w:p>
          <w:p>
            <w:pPr>
              <w:spacing w:before="0" w:after="40"/>
              <w:jc w:val="left"/>
            </w:pPr>
            <w:r>
              <w:rPr>
                <w:rFonts w:ascii="Arial" w:cs="Arial" w:eastAsia="Arial" w:hAnsi="Arial"/>
                <w:b w:val="false"/>
                <w:bCs w:val="false"/>
                <w:i w:val="false"/>
                <w:iCs w:val="false"/>
                <w:color w:val="333333"/>
                <w:sz w:val="19"/>
                <w:szCs w:val="19"/>
              </w:rPr>
              <w:t xml:space="preserve">Fleet and enterprise accounts can request our Certificate of Insurance (COI) for vendor onboarding.</w:t>
            </w:r>
          </w:p>
          <w:p>
            <w:pPr>
              <w:spacing w:before="0" w:after="40"/>
              <w:jc w:val="left"/>
            </w:pPr>
            <w:r>
              <w:rPr>
                <w:rFonts w:ascii="Arial" w:cs="Arial" w:eastAsia="Arial" w:hAnsi="Arial"/>
                <w:b w:val="false"/>
                <w:bCs w:val="false"/>
                <w:i w:val="false"/>
                <w:iCs w:val="false"/>
                <w:color w:val="333333"/>
                <w:sz w:val="19"/>
                <w:szCs w:val="19"/>
              </w:rPr>
              <w:t xml:space="preserve">Contact: dispatch@heavytowpro.com | 650-881-2400</w:t>
            </w:r>
          </w:p>
        </w:tc>
      </w:tr>
    </w:tbl>
    <w:p>
      <w:pPr>
        <w:spacing w:before="0" w:after="80"/>
        <w:jc w:val="left"/>
      </w:pPr>
      <w:r>
        <w:rPr>
          <w:rFonts w:ascii="Arial" w:cs="Arial" w:eastAsia="Arial" w:hAnsi="Arial"/>
          <w:b w:val="false"/>
          <w:bCs w:val="false"/>
          <w:i w:val="false"/>
          <w:iCs w:val="false"/>
          <w:color w:val="333333"/>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5E9" w:val="clear"/>
            <w:tcMar>
              <w:top w:type="dxa" w:w="160"/>
              <w:left w:type="dxa" w:w="200"/>
              <w:bottom w:type="dxa" w:w="160"/>
              <w:right w:type="dxa" w:w="200"/>
            </w:tcMar>
            <w:vAlign w:val="top"/>
          </w:tcPr>
          <w:p>
            <w:pPr>
              <w:spacing w:before="40" w:after="60"/>
              <w:jc w:val="left"/>
            </w:pPr>
            <w:r>
              <w:rPr>
                <w:rFonts w:ascii="Arial" w:cs="Arial" w:eastAsia="Arial" w:hAnsi="Arial"/>
                <w:b/>
                <w:bCs/>
                <w:i w:val="false"/>
                <w:iCs w:val="false"/>
                <w:color w:val="2E7D32"/>
                <w:sz w:val="20"/>
                <w:szCs w:val="20"/>
              </w:rPr>
              <w:t xml:space="preserve">📊 BUYER PSYCHOLOGY (Phase 2 Insight):</w:t>
            </w:r>
          </w:p>
          <w:p>
            <w:pPr>
              <w:spacing w:before="0" w:after="40"/>
              <w:jc w:val="left"/>
            </w:pPr>
            <w:r>
              <w:rPr>
                <w:rFonts w:ascii="Arial" w:cs="Arial" w:eastAsia="Arial" w:hAnsi="Arial"/>
                <w:b w:val="false"/>
                <w:bCs w:val="false"/>
                <w:i w:val="false"/>
                <w:iCs w:val="false"/>
                <w:color w:val="333333"/>
                <w:sz w:val="19"/>
                <w:szCs w:val="19"/>
              </w:rPr>
              <w:t xml:space="preserve">B2B buyers carry personal liability for vendor selection. If an uncertified towing company damages a $200K excavator or causes a highway incident, the fleet manager who hired them is accountable. Certifications are not marketing — they are vendor qualification checkboxes. List them explicitly, with plain-language explanations of what each means.</w:t>
            </w:r>
          </w:p>
        </w:tc>
      </w:tr>
    </w:tbl>
    <w:p>
      <w:pPr>
        <w:pBdr>
          <w:bottom w:val="single" w:color="E87722" w:sz="6"/>
        </w:pBdr>
        <w:spacing w:before="160" w:after="160"/>
      </w:pPr>
    </w:p>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7722" w:val="clear"/>
            <w:tcMar>
              <w:top w:type="dxa" w:w="120"/>
              <w:left w:type="dxa" w:w="120"/>
              <w:bottom w:type="dxa" w:w="120"/>
              <w:right w:type="dxa" w:w="120"/>
            </w:tcMar>
            <w:vAlign w:val="top"/>
          </w:tcPr>
          <w:p>
            <w:pPr>
              <w:spacing w:before="60" w:after="60"/>
              <w:jc w:val="center"/>
            </w:pPr>
            <w:r>
              <w:rPr>
                <w:rFonts w:ascii="Arial" w:cs="Arial" w:eastAsia="Arial" w:hAnsi="Arial"/>
                <w:b/>
                <w:bCs/>
                <w:i w:val="false"/>
                <w:iCs w:val="false"/>
                <w:color w:val="FFFFFF"/>
                <w:sz w:val="22"/>
                <w:szCs w:val="22"/>
              </w:rPr>
              <w:t xml:space="preserve">SECTION 7 — COMMERCIAL TESTIMONIALS / CASE STUDIES</w:t>
            </w:r>
          </w:p>
        </w:tc>
      </w:tr>
    </w:tbl>
    <w:p>
      <w:pPr>
        <w:spacing w:before="0" w:after="80"/>
        <w:jc w:val="left"/>
      </w:pPr>
      <w:r>
        <w:rPr>
          <w:rFonts w:ascii="Arial" w:cs="Arial" w:eastAsia="Arial" w:hAnsi="Arial"/>
          <w:b w:val="false"/>
          <w:bCs w:val="false"/>
          <w:i w:val="false"/>
          <w:iCs w:val="false"/>
          <w:color w:val="333333"/>
          <w:sz w:val="20"/>
          <w:szCs w:val="20"/>
        </w:rPr>
        <w:t xml:space="preserve"/>
      </w:r>
    </w:p>
    <w:p>
      <w:pPr>
        <w:spacing w:before="200" w:after="60"/>
        <w:jc w:val="left"/>
      </w:pPr>
      <w:r>
        <w:rPr>
          <w:rFonts w:ascii="Arial" w:cs="Arial" w:eastAsia="Arial" w:hAnsi="Arial"/>
          <w:b/>
          <w:bCs/>
          <w:i w:val="false"/>
          <w:iCs w:val="false"/>
          <w:color w:val="1A3C6E"/>
          <w:sz w:val="36"/>
          <w:szCs w:val="36"/>
        </w:rPr>
        <w:t xml:space="preserve">What Commercial Operators Are Saying</w:t>
      </w:r>
    </w:p>
    <w:p>
      <w:pPr>
        <w:spacing w:before="0" w:after="120"/>
        <w:jc w:val="left"/>
      </w:pPr>
      <w:r>
        <w:rPr>
          <w:rFonts w:ascii="Arial" w:cs="Arial" w:eastAsia="Arial" w:hAnsi="Arial"/>
          <w:b w:val="false"/>
          <w:bCs w:val="false"/>
          <w:i w:val="false"/>
          <w:iCs w:val="false"/>
          <w:color w:val="666666"/>
          <w:sz w:val="20"/>
          <w:szCs w:val="20"/>
        </w:rPr>
        <w:t xml:space="preserve">Real recoveries. Real stakes. Real results.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0F8" w:val="clear"/>
            <w:tcMar>
              <w:top w:type="dxa" w:w="160"/>
              <w:left w:type="dxa" w:w="200"/>
              <w:bottom w:type="dxa" w:w="160"/>
              <w:right w:type="dxa" w:w="200"/>
            </w:tcMar>
            <w:vAlign w:val="top"/>
          </w:tcPr>
          <w:p>
            <w:pPr>
              <w:spacing w:before="40" w:after="60"/>
              <w:jc w:val="left"/>
            </w:pPr>
            <w:r>
              <w:rPr>
                <w:rFonts w:ascii="Arial" w:cs="Arial" w:eastAsia="Arial" w:hAnsi="Arial"/>
                <w:b/>
                <w:bCs/>
                <w:i w:val="false"/>
                <w:iCs w:val="false"/>
                <w:color w:val="1A3C6E"/>
                <w:sz w:val="20"/>
                <w:szCs w:val="20"/>
              </w:rPr>
              <w:t xml:space="preserve">🎨 DESIGN / DEVELOPER NOTE:</w:t>
            </w:r>
          </w:p>
          <w:p>
            <w:pPr>
              <w:spacing w:before="0" w:after="40"/>
              <w:jc w:val="left"/>
            </w:pPr>
            <w:r>
              <w:rPr>
                <w:rFonts w:ascii="Arial" w:cs="Arial" w:eastAsia="Arial" w:hAnsi="Arial"/>
                <w:b w:val="false"/>
                <w:bCs w:val="false"/>
                <w:i w:val="false"/>
                <w:iCs w:val="false"/>
                <w:color w:val="333333"/>
                <w:sz w:val="19"/>
                <w:szCs w:val="19"/>
              </w:rPr>
              <w:t xml:space="preserve">3 testimonials — one per major B2B persona. Focus on outcomes: downtime saved, cost avoided, capability confirmed, professionalism. Include vehicle type and business context. B2B buyers identify with business outcomes, not personal emotions.</w:t>
            </w:r>
          </w:p>
        </w:tc>
      </w:tr>
    </w:tbl>
    <w:p>
      <w:pPr>
        <w:spacing w:before="0" w:after="80"/>
        <w:jc w:val="left"/>
      </w:pPr>
      <w:r>
        <w:rPr>
          <w:rFonts w:ascii="Arial" w:cs="Arial" w:eastAsia="Arial" w:hAnsi="Arial"/>
          <w:b w:val="false"/>
          <w:bCs w:val="false"/>
          <w:i w:val="false"/>
          <w:iCs w:val="false"/>
          <w:color w:val="333333"/>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960"/>
        <w:gridCol w:w="3200"/>
        <w:gridCol w:w="3200"/>
      </w:tblGrid>
      <w:tr>
        <w:tc>
          <w:tcPr>
            <w:tcW w:type="dxa" w:w="2960"/>
            <w:tcBorders>
              <w:top w:val="none" w:color="FFFFFF" w:sz="0"/>
              <w:left w:val="none" w:color="FFFFFF" w:sz="0"/>
              <w:bottom w:val="none" w:color="FFFFFF" w:sz="0"/>
              <w:right w:val="none" w:color="FFFFFF" w:sz="0"/>
            </w:tcBorders>
            <w:shd w:fill="FFFFFF" w:val="clear"/>
            <w:tcMar>
              <w:top w:type="dxa" w:w="160"/>
              <w:left w:type="dxa" w:w="120"/>
              <w:bottom w:type="dxa" w:w="160"/>
              <w:right w:type="dxa" w:w="120"/>
            </w:tcMar>
            <w:vAlign w:val="top"/>
          </w:tcPr>
          <w:p>
            <w:pPr>
              <w:spacing w:before="40" w:after="60"/>
              <w:jc w:val="left"/>
            </w:pPr>
            <w:r>
              <w:rPr>
                <w:rFonts w:ascii="Arial" w:cs="Arial" w:eastAsia="Arial" w:hAnsi="Arial"/>
                <w:b w:val="false"/>
                <w:bCs w:val="false"/>
                <w:i w:val="false"/>
                <w:iCs w:val="false"/>
                <w:color w:val="E87722"/>
                <w:sz w:val="22"/>
                <w:szCs w:val="22"/>
              </w:rPr>
              <w:t xml:space="preserve">★★★★★</w:t>
            </w:r>
          </w:p>
          <w:p>
            <w:pPr>
              <w:spacing w:before="0" w:after="80"/>
              <w:jc w:val="left"/>
            </w:pPr>
            <w:r>
              <w:rPr>
                <w:rFonts w:ascii="Arial" w:cs="Arial" w:eastAsia="Arial" w:hAnsi="Arial"/>
                <w:b w:val="false"/>
                <w:bCs w:val="false"/>
                <w:i/>
                <w:iCs/>
                <w:color w:val="333333"/>
                <w:sz w:val="17"/>
                <w:szCs w:val="17"/>
              </w:rPr>
              <w:t xml:space="preserve">"Our excavator rolled off the transport pad during offloading — 62,000 lbs on its side. Most companies said they couldn't handle it. Heavy Haulers arrived with a rotator in under an hour and uprighted it without additional damage. Got our project back on schedule same day."</w:t>
            </w:r>
          </w:p>
          <w:p>
            <w:pPr>
              <w:spacing w:before="0" w:after="20"/>
              <w:jc w:val="left"/>
            </w:pPr>
            <w:r>
              <w:rPr>
                <w:rFonts w:ascii="Arial" w:cs="Arial" w:eastAsia="Arial" w:hAnsi="Arial"/>
                <w:b/>
                <w:bCs/>
                <w:i w:val="false"/>
                <w:iCs w:val="false"/>
                <w:color w:val="1A3C6E"/>
                <w:sz w:val="18"/>
                <w:szCs w:val="18"/>
              </w:rPr>
              <w:t xml:space="preserve">Robert M.</w:t>
            </w:r>
            <w:r>
              <w:rPr>
                <w:rFonts w:ascii="Arial" w:cs="Arial" w:eastAsia="Arial" w:hAnsi="Arial"/>
                <w:b w:val="false"/>
                <w:bCs w:val="false"/>
                <w:i w:val="false"/>
                <w:iCs w:val="false"/>
                <w:color w:val="666666"/>
                <w:sz w:val="17"/>
                <w:szCs w:val="17"/>
              </w:rPr>
              <w:t xml:space="preserve">  |  Construction Project Manager</w:t>
            </w:r>
          </w:p>
          <w:p>
            <w:pPr>
              <w:spacing w:before="0" w:after="40"/>
              <w:jc w:val="left"/>
            </w:pPr>
            <w:r>
              <w:rPr>
                <w:rFonts w:ascii="Arial" w:cs="Arial" w:eastAsia="Arial" w:hAnsi="Arial"/>
                <w:b w:val="false"/>
                <w:bCs w:val="false"/>
                <w:i/>
                <w:iCs/>
                <w:color w:val="E87722"/>
                <w:sz w:val="16"/>
                <w:szCs w:val="16"/>
              </w:rPr>
              <w:t xml:space="preserve">Excavator Rollover Recovery</w:t>
            </w:r>
          </w:p>
        </w:tc>
        <w:tc>
          <w:tcPr>
            <w:tcW w:type="dxa" w:w="2960"/>
            <w:tcBorders>
              <w:top w:val="none" w:color="FFFFFF" w:sz="0"/>
              <w:left w:val="none" w:color="FFFFFF" w:sz="0"/>
              <w:bottom w:val="none" w:color="FFFFFF" w:sz="0"/>
              <w:right w:val="none" w:color="FFFFFF" w:sz="0"/>
            </w:tcBorders>
            <w:shd w:fill="FFFFFF" w:val="clear"/>
            <w:tcMar>
              <w:top w:type="dxa" w:w="160"/>
              <w:left w:type="dxa" w:w="120"/>
              <w:bottom w:type="dxa" w:w="160"/>
              <w:right w:type="dxa" w:w="120"/>
            </w:tcMar>
            <w:vAlign w:val="top"/>
          </w:tcPr>
          <w:p>
            <w:pPr>
              <w:spacing w:before="40" w:after="60"/>
              <w:jc w:val="left"/>
            </w:pPr>
            <w:r>
              <w:rPr>
                <w:rFonts w:ascii="Arial" w:cs="Arial" w:eastAsia="Arial" w:hAnsi="Arial"/>
                <w:b w:val="false"/>
                <w:bCs w:val="false"/>
                <w:i w:val="false"/>
                <w:iCs w:val="false"/>
                <w:color w:val="E87722"/>
                <w:sz w:val="22"/>
                <w:szCs w:val="22"/>
              </w:rPr>
              <w:t xml:space="preserve">★★★★★</w:t>
            </w:r>
          </w:p>
          <w:p>
            <w:pPr>
              <w:spacing w:before="0" w:after="80"/>
              <w:jc w:val="left"/>
            </w:pPr>
            <w:r>
              <w:rPr>
                <w:rFonts w:ascii="Arial" w:cs="Arial" w:eastAsia="Arial" w:hAnsi="Arial"/>
                <w:b w:val="false"/>
                <w:bCs w:val="false"/>
                <w:i/>
                <w:iCs/>
                <w:color w:val="333333"/>
                <w:sz w:val="17"/>
                <w:szCs w:val="17"/>
              </w:rPr>
              <w:t xml:space="preserve">"We run 45 delivery trucks across the Bay Area. I used to call whoever answered — different company every time, different quality every time. Since signing a fleet contract with Heavy Haulers, every call is handled the same way. Priority dispatch, invoice at month end, no surprises."</w:t>
            </w:r>
          </w:p>
          <w:p>
            <w:pPr>
              <w:spacing w:before="0" w:after="20"/>
              <w:jc w:val="left"/>
            </w:pPr>
            <w:r>
              <w:rPr>
                <w:rFonts w:ascii="Arial" w:cs="Arial" w:eastAsia="Arial" w:hAnsi="Arial"/>
                <w:b/>
                <w:bCs/>
                <w:i w:val="false"/>
                <w:iCs w:val="false"/>
                <w:color w:val="1A3C6E"/>
                <w:sz w:val="18"/>
                <w:szCs w:val="18"/>
              </w:rPr>
              <w:t xml:space="preserve">David K.</w:t>
            </w:r>
            <w:r>
              <w:rPr>
                <w:rFonts w:ascii="Arial" w:cs="Arial" w:eastAsia="Arial" w:hAnsi="Arial"/>
                <w:b w:val="false"/>
                <w:bCs w:val="false"/>
                <w:i w:val="false"/>
                <w:iCs w:val="false"/>
                <w:color w:val="666666"/>
                <w:sz w:val="17"/>
                <w:szCs w:val="17"/>
              </w:rPr>
              <w:t xml:space="preserve">  |  Fleet Operations Manager</w:t>
            </w:r>
          </w:p>
          <w:p>
            <w:pPr>
              <w:spacing w:before="0" w:after="40"/>
              <w:jc w:val="left"/>
            </w:pPr>
            <w:r>
              <w:rPr>
                <w:rFonts w:ascii="Arial" w:cs="Arial" w:eastAsia="Arial" w:hAnsi="Arial"/>
                <w:b w:val="false"/>
                <w:bCs w:val="false"/>
                <w:i/>
                <w:iCs/>
                <w:color w:val="E87722"/>
                <w:sz w:val="16"/>
                <w:szCs w:val="16"/>
              </w:rPr>
              <w:t xml:space="preserve">Fleet Contract — Delivery Company</w:t>
            </w:r>
          </w:p>
        </w:tc>
        <w:tc>
          <w:tcPr>
            <w:tcW w:type="dxa" w:w="2960"/>
            <w:tcBorders>
              <w:top w:val="none" w:color="FFFFFF" w:sz="0"/>
              <w:left w:val="none" w:color="FFFFFF" w:sz="0"/>
              <w:bottom w:val="none" w:color="FFFFFF" w:sz="0"/>
              <w:right w:val="none" w:color="FFFFFF" w:sz="0"/>
            </w:tcBorders>
            <w:shd w:fill="FFFFFF" w:val="clear"/>
            <w:tcMar>
              <w:top w:type="dxa" w:w="160"/>
              <w:left w:type="dxa" w:w="120"/>
              <w:bottom w:type="dxa" w:w="160"/>
              <w:right w:type="dxa" w:w="120"/>
            </w:tcMar>
            <w:vAlign w:val="top"/>
          </w:tcPr>
          <w:p>
            <w:pPr>
              <w:spacing w:before="40" w:after="60"/>
              <w:jc w:val="left"/>
            </w:pPr>
            <w:r>
              <w:rPr>
                <w:rFonts w:ascii="Arial" w:cs="Arial" w:eastAsia="Arial" w:hAnsi="Arial"/>
                <w:b w:val="false"/>
                <w:bCs w:val="false"/>
                <w:i w:val="false"/>
                <w:iCs w:val="false"/>
                <w:color w:val="E87722"/>
                <w:sz w:val="22"/>
                <w:szCs w:val="22"/>
              </w:rPr>
              <w:t xml:space="preserve">★★★★★</w:t>
            </w:r>
          </w:p>
          <w:p>
            <w:pPr>
              <w:spacing w:before="0" w:after="80"/>
              <w:jc w:val="left"/>
            </w:pPr>
            <w:r>
              <w:rPr>
                <w:rFonts w:ascii="Arial" w:cs="Arial" w:eastAsia="Arial" w:hAnsi="Arial"/>
                <w:b w:val="false"/>
                <w:bCs w:val="false"/>
                <w:i/>
                <w:iCs/>
                <w:color w:val="333333"/>
                <w:sz w:val="17"/>
                <w:szCs w:val="17"/>
              </w:rPr>
              <w:t xml:space="preserve">"Jackknifed semi on 880 at 2am. They had a heavy-duty unit on scene in 22 minutes, coordinated with CHP for lane closure, and cleared the incident in under 3 hours. That's how you save $2,000 in insurance escalation costs in one call."</w:t>
            </w:r>
          </w:p>
          <w:p>
            <w:pPr>
              <w:spacing w:before="0" w:after="20"/>
              <w:jc w:val="left"/>
            </w:pPr>
            <w:r>
              <w:rPr>
                <w:rFonts w:ascii="Arial" w:cs="Arial" w:eastAsia="Arial" w:hAnsi="Arial"/>
                <w:b/>
                <w:bCs/>
                <w:i w:val="false"/>
                <w:iCs w:val="false"/>
                <w:color w:val="1A3C6E"/>
                <w:sz w:val="18"/>
                <w:szCs w:val="18"/>
              </w:rPr>
              <w:t xml:space="preserve">Marcus T.</w:t>
            </w:r>
            <w:r>
              <w:rPr>
                <w:rFonts w:ascii="Arial" w:cs="Arial" w:eastAsia="Arial" w:hAnsi="Arial"/>
                <w:b w:val="false"/>
                <w:bCs w:val="false"/>
                <w:i w:val="false"/>
                <w:iCs w:val="false"/>
                <w:color w:val="666666"/>
                <w:sz w:val="17"/>
                <w:szCs w:val="17"/>
              </w:rPr>
              <w:t xml:space="preserve">  |  Logistics Coordinator</w:t>
            </w:r>
          </w:p>
          <w:p>
            <w:pPr>
              <w:spacing w:before="0" w:after="40"/>
              <w:jc w:val="left"/>
            </w:pPr>
            <w:r>
              <w:rPr>
                <w:rFonts w:ascii="Arial" w:cs="Arial" w:eastAsia="Arial" w:hAnsi="Arial"/>
                <w:b w:val="false"/>
                <w:bCs w:val="false"/>
                <w:i/>
                <w:iCs/>
                <w:color w:val="E87722"/>
                <w:sz w:val="16"/>
                <w:szCs w:val="16"/>
              </w:rPr>
              <w:t xml:space="preserve">Semi Recovery — I-880</w:t>
            </w:r>
          </w:p>
        </w:tc>
      </w:tr>
    </w:tbl>
    <w:p>
      <w:pPr>
        <w:spacing w:before="0" w:after="80"/>
        <w:jc w:val="left"/>
      </w:pPr>
      <w:r>
        <w:rPr>
          <w:rFonts w:ascii="Arial" w:cs="Arial" w:eastAsia="Arial" w:hAnsi="Arial"/>
          <w:b w:val="false"/>
          <w:bCs w:val="false"/>
          <w:i w:val="false"/>
          <w:iCs w:val="false"/>
          <w:color w:val="333333"/>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5F5" w:val="clear"/>
            <w:tcMar>
              <w:top w:type="dxa" w:w="160"/>
              <w:left w:type="dxa" w:w="200"/>
              <w:bottom w:type="dxa" w:w="160"/>
              <w:right w:type="dxa" w:w="200"/>
            </w:tcMar>
            <w:vAlign w:val="top"/>
          </w:tcPr>
          <w:p>
            <w:pPr>
              <w:spacing w:before="40" w:after="60"/>
              <w:jc w:val="left"/>
            </w:pPr>
            <w:r>
              <w:rPr>
                <w:rFonts w:ascii="Arial" w:cs="Arial" w:eastAsia="Arial" w:hAnsi="Arial"/>
                <w:b/>
                <w:bCs/>
                <w:i w:val="false"/>
                <w:iCs w:val="false"/>
                <w:color w:val="8B1A1A"/>
                <w:sz w:val="20"/>
                <w:szCs w:val="20"/>
              </w:rPr>
              <w:t xml:space="preserve">💰 FLEET DOWNTIME COST (Phase 2 Research):</w:t>
            </w:r>
          </w:p>
          <w:p>
            <w:pPr>
              <w:spacing w:before="0" w:after="40"/>
              <w:jc w:val="left"/>
            </w:pPr>
            <w:r>
              <w:rPr>
                <w:rFonts w:ascii="Arial" w:cs="Arial" w:eastAsia="Arial" w:hAnsi="Arial"/>
                <w:b w:val="false"/>
                <w:bCs w:val="false"/>
                <w:i w:val="false"/>
                <w:iCs w:val="false"/>
                <w:color w:val="333333"/>
                <w:sz w:val="19"/>
                <w:szCs w:val="19"/>
              </w:rPr>
              <w:t xml:space="preserve">David K.'s fleet contract story illustrates the core B2B value proposition: consistency and predictability over ad-hoc quality. Marcus T.'s story quantifies downtime cost savings ($2,000 in a single incident). Robert M.'s story confirms rotator capability for high-stakes recoveries. Each testimonial targets a specific C2 persona from Phase 2.</w:t>
            </w:r>
          </w:p>
        </w:tc>
      </w:tr>
    </w:tbl>
    <w:p>
      <w:pPr>
        <w:pBdr>
          <w:bottom w:val="single" w:color="E87722" w:sz="6"/>
        </w:pBdr>
        <w:spacing w:before="160" w:after="160"/>
      </w:pPr>
    </w:p>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7722" w:val="clear"/>
            <w:tcMar>
              <w:top w:type="dxa" w:w="120"/>
              <w:left w:type="dxa" w:w="120"/>
              <w:bottom w:type="dxa" w:w="120"/>
              <w:right w:type="dxa" w:w="120"/>
            </w:tcMar>
            <w:vAlign w:val="top"/>
          </w:tcPr>
          <w:p>
            <w:pPr>
              <w:spacing w:before="60" w:after="60"/>
              <w:jc w:val="center"/>
            </w:pPr>
            <w:r>
              <w:rPr>
                <w:rFonts w:ascii="Arial" w:cs="Arial" w:eastAsia="Arial" w:hAnsi="Arial"/>
                <w:b/>
                <w:bCs/>
                <w:i w:val="false"/>
                <w:iCs w:val="false"/>
                <w:color w:val="FFFFFF"/>
                <w:sz w:val="22"/>
                <w:szCs w:val="22"/>
              </w:rPr>
              <w:t xml:space="preserve">SECTION 8 — COVERAGE AREA &amp; DISPATCH HUBS</w:t>
            </w:r>
          </w:p>
        </w:tc>
      </w:tr>
    </w:tbl>
    <w:p>
      <w:pPr>
        <w:spacing w:before="0" w:after="80"/>
        <w:jc w:val="left"/>
      </w:pPr>
      <w:r>
        <w:rPr>
          <w:rFonts w:ascii="Arial" w:cs="Arial" w:eastAsia="Arial" w:hAnsi="Arial"/>
          <w:b w:val="false"/>
          <w:bCs w:val="false"/>
          <w:i w:val="false"/>
          <w:iCs w:val="false"/>
          <w:color w:val="333333"/>
          <w:sz w:val="20"/>
          <w:szCs w:val="20"/>
        </w:rPr>
        <w:t xml:space="preserve"/>
      </w:r>
    </w:p>
    <w:p>
      <w:pPr>
        <w:spacing w:before="200" w:after="60"/>
        <w:jc w:val="left"/>
      </w:pPr>
      <w:r>
        <w:rPr>
          <w:rFonts w:ascii="Arial" w:cs="Arial" w:eastAsia="Arial" w:hAnsi="Arial"/>
          <w:b/>
          <w:bCs/>
          <w:i w:val="false"/>
          <w:iCs w:val="false"/>
          <w:color w:val="1A3C6E"/>
          <w:sz w:val="36"/>
          <w:szCs w:val="36"/>
        </w:rPr>
        <w:t xml:space="preserve">5 Counties. 6 Dispatch Hubs. One Contract.</w:t>
      </w:r>
    </w:p>
    <w:p>
      <w:pPr>
        <w:spacing w:before="0" w:after="120"/>
        <w:jc w:val="left"/>
      </w:pPr>
      <w:r>
        <w:rPr>
          <w:rFonts w:ascii="Arial" w:cs="Arial" w:eastAsia="Arial" w:hAnsi="Arial"/>
          <w:b w:val="false"/>
          <w:bCs w:val="false"/>
          <w:i w:val="false"/>
          <w:iCs w:val="false"/>
          <w:color w:val="666666"/>
          <w:sz w:val="20"/>
          <w:szCs w:val="20"/>
        </w:rPr>
        <w:t xml:space="preserve">Bay Area-wide commercial coverage with strategic hub positioning.</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0F8" w:val="clear"/>
            <w:tcMar>
              <w:top w:type="dxa" w:w="160"/>
              <w:left w:type="dxa" w:w="200"/>
              <w:bottom w:type="dxa" w:w="160"/>
              <w:right w:type="dxa" w:w="200"/>
            </w:tcMar>
            <w:vAlign w:val="top"/>
          </w:tcPr>
          <w:p>
            <w:pPr>
              <w:spacing w:before="40" w:after="60"/>
              <w:jc w:val="left"/>
            </w:pPr>
            <w:r>
              <w:rPr>
                <w:rFonts w:ascii="Arial" w:cs="Arial" w:eastAsia="Arial" w:hAnsi="Arial"/>
                <w:b/>
                <w:bCs/>
                <w:i w:val="false"/>
                <w:iCs w:val="false"/>
                <w:color w:val="1A3C6E"/>
                <w:sz w:val="20"/>
                <w:szCs w:val="20"/>
              </w:rPr>
              <w:t xml:space="preserve">🎨 DESIGN / DEVELOPER NOTE:</w:t>
            </w:r>
          </w:p>
          <w:p>
            <w:pPr>
              <w:spacing w:before="0" w:after="40"/>
              <w:jc w:val="left"/>
            </w:pPr>
            <w:r>
              <w:rPr>
                <w:rFonts w:ascii="Arial" w:cs="Arial" w:eastAsia="Arial" w:hAnsi="Arial"/>
                <w:b w:val="false"/>
                <w:bCs w:val="false"/>
                <w:i w:val="false"/>
                <w:iCs w:val="false"/>
                <w:color w:val="333333"/>
                <w:sz w:val="19"/>
                <w:szCs w:val="19"/>
              </w:rPr>
              <w:t xml:space="preserve">Coverage focus for C2 is different from C1: show highway corridor coverage (I-80, I-880, I-101, I-580), port access (Port of Oakland), and interstate reach. Commercial operators care about route coverage, not just cities.</w:t>
            </w:r>
          </w:p>
        </w:tc>
      </w:tr>
    </w:tbl>
    <w:p>
      <w:pPr>
        <w:spacing w:before="0" w:after="80"/>
        <w:jc w:val="left"/>
      </w:pPr>
      <w:r>
        <w:rPr>
          <w:rFonts w:ascii="Arial" w:cs="Arial" w:eastAsia="Arial" w:hAnsi="Arial"/>
          <w:b w:val="false"/>
          <w:bCs w:val="false"/>
          <w:i w:val="false"/>
          <w:iCs w:val="false"/>
          <w:color w:val="333333"/>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800"/>
        <w:gridCol w:w="6560"/>
      </w:tblGrid>
      <w:tr>
        <w:tc>
          <w:tcPr>
            <w:tcW w:type="dxa" w:w="2800"/>
            <w:tcBorders>
              <w:top w:val="none" w:color="FFFFFF" w:sz="0"/>
              <w:left w:val="none" w:color="FFFFFF" w:sz="0"/>
              <w:bottom w:val="none" w:color="FFFFFF" w:sz="0"/>
              <w:right w:val="none" w:color="FFFFFF" w:sz="0"/>
            </w:tcBorders>
            <w:shd w:fill="1A3C6E"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FFFFFF"/>
                <w:sz w:val="19"/>
                <w:szCs w:val="19"/>
              </w:rPr>
              <w:t xml:space="preserve">Santa Clara County ★ Highest Volume</w:t>
            </w:r>
          </w:p>
        </w:tc>
        <w:tc>
          <w:tcPr>
            <w:tcW w:type="dxa" w:w="6560"/>
            <w:tcBorders>
              <w:top w:val="none" w:color="FFFFFF" w:sz="0"/>
              <w:left w:val="none" w:color="FFFFFF" w:sz="0"/>
              <w:bottom w:val="none" w:color="FFFFFF" w:sz="0"/>
              <w:right w:val="none" w:color="FFFFFF" w:sz="0"/>
            </w:tcBorders>
            <w:shd w:fill="E8F0F8"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333333"/>
                <w:sz w:val="18"/>
                <w:szCs w:val="18"/>
              </w:rPr>
              <w:t xml:space="preserve">San Jose industrial parks, Milpitas, Sunnyvale, I-101 &amp; Hwy 237 commercial corridors</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800"/>
        <w:gridCol w:w="6560"/>
      </w:tblGrid>
      <w:tr>
        <w:tc>
          <w:tcPr>
            <w:tcW w:type="dxa" w:w="2800"/>
            <w:tcBorders>
              <w:top w:val="none" w:color="FFFFFF" w:sz="0"/>
              <w:left w:val="none" w:color="FFFFFF" w:sz="0"/>
              <w:bottom w:val="none" w:color="FFFFFF" w:sz="0"/>
              <w:right w:val="none" w:color="FFFFFF" w:sz="0"/>
            </w:tcBorders>
            <w:shd w:fill="1A3C6E"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FFFFFF"/>
                <w:sz w:val="19"/>
                <w:szCs w:val="19"/>
              </w:rPr>
              <w:t xml:space="preserve">Alameda County</w:t>
            </w:r>
          </w:p>
        </w:tc>
        <w:tc>
          <w:tcPr>
            <w:tcW w:type="dxa" w:w="6560"/>
            <w:tcBorders>
              <w:top w:val="none" w:color="FFFFFF" w:sz="0"/>
              <w:left w:val="none" w:color="FFFFFF" w:sz="0"/>
              <w:bottom w:val="none" w:color="FFFFFF" w:sz="0"/>
              <w:right w:val="none" w:color="FFFFFF" w:sz="0"/>
            </w:tcBorders>
            <w:shd w:fill="E8F0F8"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333333"/>
                <w:sz w:val="18"/>
                <w:szCs w:val="18"/>
              </w:rPr>
              <w:t xml:space="preserve">Port of Oakland, I-880 industrial corridor, Hayward, Fremont, Livermore (I-580)</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800"/>
        <w:gridCol w:w="6560"/>
      </w:tblGrid>
      <w:tr>
        <w:tc>
          <w:tcPr>
            <w:tcW w:type="dxa" w:w="2800"/>
            <w:tcBorders>
              <w:top w:val="none" w:color="FFFFFF" w:sz="0"/>
              <w:left w:val="none" w:color="FFFFFF" w:sz="0"/>
              <w:bottom w:val="none" w:color="FFFFFF" w:sz="0"/>
              <w:right w:val="none" w:color="FFFFFF" w:sz="0"/>
            </w:tcBorders>
            <w:shd w:fill="1A3C6E"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FFFFFF"/>
                <w:sz w:val="19"/>
                <w:szCs w:val="19"/>
              </w:rPr>
              <w:t xml:space="preserve">San Francisco County</w:t>
            </w:r>
          </w:p>
        </w:tc>
        <w:tc>
          <w:tcPr>
            <w:tcW w:type="dxa" w:w="6560"/>
            <w:tcBorders>
              <w:top w:val="none" w:color="FFFFFF" w:sz="0"/>
              <w:left w:val="none" w:color="FFFFFF" w:sz="0"/>
              <w:bottom w:val="none" w:color="FFFFFF" w:sz="0"/>
              <w:right w:val="none" w:color="FFFFFF" w:sz="0"/>
            </w:tcBorders>
            <w:shd w:fill="E8F0F8"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333333"/>
                <w:sz w:val="18"/>
                <w:szCs w:val="18"/>
              </w:rPr>
              <w:t xml:space="preserve">Financial District, SoMa, Bayview, Highway 101 corridor, Bay Bridge approaches</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800"/>
        <w:gridCol w:w="6560"/>
      </w:tblGrid>
      <w:tr>
        <w:tc>
          <w:tcPr>
            <w:tcW w:type="dxa" w:w="2800"/>
            <w:tcBorders>
              <w:top w:val="none" w:color="FFFFFF" w:sz="0"/>
              <w:left w:val="none" w:color="FFFFFF" w:sz="0"/>
              <w:bottom w:val="none" w:color="FFFFFF" w:sz="0"/>
              <w:right w:val="none" w:color="FFFFFF" w:sz="0"/>
            </w:tcBorders>
            <w:shd w:fill="1A3C6E"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FFFFFF"/>
                <w:sz w:val="19"/>
                <w:szCs w:val="19"/>
              </w:rPr>
              <w:t xml:space="preserve">San Mateo County</w:t>
            </w:r>
          </w:p>
        </w:tc>
        <w:tc>
          <w:tcPr>
            <w:tcW w:type="dxa" w:w="6560"/>
            <w:tcBorders>
              <w:top w:val="none" w:color="FFFFFF" w:sz="0"/>
              <w:left w:val="none" w:color="FFFFFF" w:sz="0"/>
              <w:bottom w:val="none" w:color="FFFFFF" w:sz="0"/>
              <w:right w:val="none" w:color="FFFFFF" w:sz="0"/>
            </w:tcBorders>
            <w:shd w:fill="E8F0F8"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333333"/>
                <w:sz w:val="18"/>
                <w:szCs w:val="18"/>
              </w:rPr>
              <w:t xml:space="preserve">South SF, Port of San Francisco, SFO corridor, Redwood City, Hwy 101 &amp; 280 corridors</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800"/>
        <w:gridCol w:w="6560"/>
      </w:tblGrid>
      <w:tr>
        <w:tc>
          <w:tcPr>
            <w:tcW w:type="dxa" w:w="2800"/>
            <w:tcBorders>
              <w:top w:val="none" w:color="FFFFFF" w:sz="0"/>
              <w:left w:val="none" w:color="FFFFFF" w:sz="0"/>
              <w:bottom w:val="none" w:color="FFFFFF" w:sz="0"/>
              <w:right w:val="none" w:color="FFFFFF" w:sz="0"/>
            </w:tcBorders>
            <w:shd w:fill="1A3C6E"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FFFFFF"/>
                <w:sz w:val="19"/>
                <w:szCs w:val="19"/>
              </w:rPr>
              <w:t xml:space="preserve">Contra Costa County</w:t>
            </w:r>
          </w:p>
        </w:tc>
        <w:tc>
          <w:tcPr>
            <w:tcW w:type="dxa" w:w="6560"/>
            <w:tcBorders>
              <w:top w:val="none" w:color="FFFFFF" w:sz="0"/>
              <w:left w:val="none" w:color="FFFFFF" w:sz="0"/>
              <w:bottom w:val="none" w:color="FFFFFF" w:sz="0"/>
              <w:right w:val="none" w:color="FFFFFF" w:sz="0"/>
            </w:tcBorders>
            <w:shd w:fill="E8F0F8"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333333"/>
                <w:sz w:val="18"/>
                <w:szCs w:val="18"/>
              </w:rPr>
              <w:t xml:space="preserve">Richmond (Port), Concord, Antioch (I-4), Brentwood, I-680/780 corridors</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800"/>
        <w:gridCol w:w="6560"/>
      </w:tblGrid>
      <w:tr>
        <w:tc>
          <w:tcPr>
            <w:tcW w:type="dxa" w:w="2800"/>
            <w:tcBorders>
              <w:top w:val="none" w:color="FFFFFF" w:sz="0"/>
              <w:left w:val="none" w:color="FFFFFF" w:sz="0"/>
              <w:bottom w:val="none" w:color="FFFFFF" w:sz="0"/>
              <w:right w:val="none" w:color="FFFFFF" w:sz="0"/>
            </w:tcBorders>
            <w:shd w:fill="1A3C6E"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FFFFFF"/>
                <w:sz w:val="19"/>
                <w:szCs w:val="19"/>
              </w:rPr>
              <w:t xml:space="preserve">Central Valley (Stockton Hub)</w:t>
            </w:r>
          </w:p>
        </w:tc>
        <w:tc>
          <w:tcPr>
            <w:tcW w:type="dxa" w:w="6560"/>
            <w:tcBorders>
              <w:top w:val="none" w:color="FFFFFF" w:sz="0"/>
              <w:left w:val="none" w:color="FFFFFF" w:sz="0"/>
              <w:bottom w:val="none" w:color="FFFFFF" w:sz="0"/>
              <w:right w:val="none" w:color="FFFFFF" w:sz="0"/>
            </w:tcBorders>
            <w:shd w:fill="E8F0F8"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333333"/>
                <w:sz w:val="18"/>
                <w:szCs w:val="18"/>
              </w:rPr>
              <w:t xml:space="preserve">I-80 east, I-5 corridor, Stockton Port, Modesto, Sacramento long-haul routes</w:t>
            </w:r>
          </w:p>
        </w:tc>
      </w:tr>
    </w:tbl>
    <w:p>
      <w:pPr>
        <w:spacing w:before="0" w:after="80"/>
        <w:jc w:val="left"/>
      </w:pPr>
      <w:r>
        <w:rPr>
          <w:rFonts w:ascii="Arial" w:cs="Arial" w:eastAsia="Arial" w:hAnsi="Arial"/>
          <w:b w:val="false"/>
          <w:bCs w:val="false"/>
          <w:i w:val="false"/>
          <w:iCs w:val="false"/>
          <w:color w:val="333333"/>
          <w:sz w:val="20"/>
          <w:szCs w:val="20"/>
        </w:rPr>
        <w:t xml:space="preserve"/>
      </w:r>
    </w:p>
    <w:p>
      <w:pPr>
        <w:spacing w:before="120" w:after="80"/>
        <w:jc w:val="left"/>
      </w:pPr>
      <w:r>
        <w:rPr>
          <w:rFonts w:ascii="Arial" w:cs="Arial" w:eastAsia="Arial" w:hAnsi="Arial"/>
          <w:b/>
          <w:bCs/>
          <w:i w:val="false"/>
          <w:iCs w:val="false"/>
          <w:color w:val="1A3C6E"/>
          <w:sz w:val="22"/>
          <w:szCs w:val="22"/>
        </w:rPr>
        <w:t xml:space="preserve">DISPATCH HUBS — COMMERCIAL CONTACT:</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000"/>
        <w:gridCol w:w="5160"/>
        <w:gridCol w:w="2200"/>
      </w:tblGrid>
      <w:tr>
        <w:tc>
          <w:tcPr>
            <w:tcW w:type="dxa" w:w="2000"/>
            <w:tcBorders>
              <w:top w:val="none" w:color="FFFFFF" w:sz="0"/>
              <w:left w:val="none" w:color="FFFFFF" w:sz="0"/>
              <w:bottom w:val="none" w:color="FFFFFF" w:sz="0"/>
              <w:right w:val="none" w:color="FFFFFF" w:sz="0"/>
            </w:tcBorders>
            <w:shd w:fill="F2F2F2" w:val="clear"/>
            <w:tcMar>
              <w:top w:type="dxa" w:w="80"/>
              <w:left w:type="dxa" w:w="120"/>
              <w:bottom w:type="dxa" w:w="80"/>
              <w:right w:type="dxa" w:w="120"/>
            </w:tcMar>
            <w:vAlign w:val="top"/>
          </w:tcPr>
          <w:p>
            <w:pPr>
              <w:spacing w:before="0" w:after="80"/>
              <w:jc w:val="left"/>
            </w:pPr>
            <w:r>
              <w:rPr>
                <w:rFonts w:ascii="Arial" w:cs="Arial" w:eastAsia="Arial" w:hAnsi="Arial"/>
                <w:b/>
                <w:bCs/>
                <w:i w:val="false"/>
                <w:iCs w:val="false"/>
                <w:color w:val="1A3C6E"/>
                <w:sz w:val="19"/>
                <w:szCs w:val="19"/>
              </w:rPr>
              <w:t xml:space="preserve">🏢  Brisbane (HQ)</w:t>
            </w:r>
          </w:p>
        </w:tc>
        <w:tc>
          <w:tcPr>
            <w:tcW w:type="dxa" w:w="516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top"/>
          </w:tcPr>
          <w:p>
            <w:pPr>
              <w:spacing w:before="0" w:after="80"/>
              <w:jc w:val="left"/>
            </w:pPr>
            <w:r>
              <w:rPr>
                <w:rFonts w:ascii="Arial" w:cs="Arial" w:eastAsia="Arial" w:hAnsi="Arial"/>
                <w:b w:val="false"/>
                <w:bCs w:val="false"/>
                <w:i w:val="false"/>
                <w:iCs w:val="false"/>
                <w:color w:val="333333"/>
                <w:sz w:val="18"/>
                <w:szCs w:val="18"/>
              </w:rPr>
              <w:t xml:space="preserve">351 Industrial Way, Brisbane, CA 94005</w:t>
            </w:r>
          </w:p>
        </w:tc>
        <w:tc>
          <w:tcPr>
            <w:tcW w:type="dxa" w:w="22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top"/>
          </w:tcPr>
          <w:p>
            <w:pPr>
              <w:spacing w:before="0" w:after="80"/>
              <w:jc w:val="left"/>
            </w:pPr>
            <w:r>
              <w:rPr>
                <w:rFonts w:ascii="Arial" w:cs="Arial" w:eastAsia="Arial" w:hAnsi="Arial"/>
                <w:b/>
                <w:bCs/>
                <w:i w:val="false"/>
                <w:iCs w:val="false"/>
                <w:color w:val="E87722"/>
                <w:sz w:val="18"/>
                <w:szCs w:val="18"/>
              </w:rPr>
              <w:t xml:space="preserve">650-881-2400</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000"/>
        <w:gridCol w:w="5160"/>
        <w:gridCol w:w="2200"/>
      </w:tblGrid>
      <w:tr>
        <w:tc>
          <w:tcPr>
            <w:tcW w:type="dxa" w:w="2000"/>
            <w:tcBorders>
              <w:top w:val="none" w:color="FFFFFF" w:sz="0"/>
              <w:left w:val="none" w:color="FFFFFF" w:sz="0"/>
              <w:bottom w:val="none" w:color="FFFFFF" w:sz="0"/>
              <w:right w:val="none" w:color="FFFFFF" w:sz="0"/>
            </w:tcBorders>
            <w:shd w:fill="F2F2F2" w:val="clear"/>
            <w:tcMar>
              <w:top w:type="dxa" w:w="80"/>
              <w:left w:type="dxa" w:w="120"/>
              <w:bottom w:type="dxa" w:w="80"/>
              <w:right w:type="dxa" w:w="120"/>
            </w:tcMar>
            <w:vAlign w:val="top"/>
          </w:tcPr>
          <w:p>
            <w:pPr>
              <w:spacing w:before="0" w:after="80"/>
              <w:jc w:val="left"/>
            </w:pPr>
            <w:r>
              <w:rPr>
                <w:rFonts w:ascii="Arial" w:cs="Arial" w:eastAsia="Arial" w:hAnsi="Arial"/>
                <w:b/>
                <w:bCs/>
                <w:i w:val="false"/>
                <w:iCs w:val="false"/>
                <w:color w:val="1A3C6E"/>
                <w:sz w:val="19"/>
                <w:szCs w:val="19"/>
              </w:rPr>
              <w:t xml:space="preserve">🏢  Oakland Hub</w:t>
            </w:r>
          </w:p>
        </w:tc>
        <w:tc>
          <w:tcPr>
            <w:tcW w:type="dxa" w:w="516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top"/>
          </w:tcPr>
          <w:p>
            <w:pPr>
              <w:spacing w:before="0" w:after="80"/>
              <w:jc w:val="left"/>
            </w:pPr>
            <w:r>
              <w:rPr>
                <w:rFonts w:ascii="Arial" w:cs="Arial" w:eastAsia="Arial" w:hAnsi="Arial"/>
                <w:b w:val="false"/>
                <w:bCs w:val="false"/>
                <w:i w:val="false"/>
                <w:iCs w:val="false"/>
                <w:color w:val="333333"/>
                <w:sz w:val="18"/>
                <w:szCs w:val="18"/>
              </w:rPr>
              <w:t xml:space="preserve">Serving Alameda County + Port of Oakland</w:t>
            </w:r>
          </w:p>
        </w:tc>
        <w:tc>
          <w:tcPr>
            <w:tcW w:type="dxa" w:w="22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top"/>
          </w:tcPr>
          <w:p>
            <w:pPr>
              <w:spacing w:before="0" w:after="80"/>
              <w:jc w:val="left"/>
            </w:pPr>
            <w:r>
              <w:rPr>
                <w:rFonts w:ascii="Arial" w:cs="Arial" w:eastAsia="Arial" w:hAnsi="Arial"/>
                <w:b/>
                <w:bCs/>
                <w:i w:val="false"/>
                <w:iCs w:val="false"/>
                <w:color w:val="E87722"/>
                <w:sz w:val="18"/>
                <w:szCs w:val="18"/>
              </w:rPr>
              <w:t xml:space="preserve">510-800-3800</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000"/>
        <w:gridCol w:w="5160"/>
        <w:gridCol w:w="2200"/>
      </w:tblGrid>
      <w:tr>
        <w:tc>
          <w:tcPr>
            <w:tcW w:type="dxa" w:w="2000"/>
            <w:tcBorders>
              <w:top w:val="none" w:color="FFFFFF" w:sz="0"/>
              <w:left w:val="none" w:color="FFFFFF" w:sz="0"/>
              <w:bottom w:val="none" w:color="FFFFFF" w:sz="0"/>
              <w:right w:val="none" w:color="FFFFFF" w:sz="0"/>
            </w:tcBorders>
            <w:shd w:fill="F2F2F2" w:val="clear"/>
            <w:tcMar>
              <w:top w:type="dxa" w:w="80"/>
              <w:left w:type="dxa" w:w="120"/>
              <w:bottom w:type="dxa" w:w="80"/>
              <w:right w:type="dxa" w:w="120"/>
            </w:tcMar>
            <w:vAlign w:val="top"/>
          </w:tcPr>
          <w:p>
            <w:pPr>
              <w:spacing w:before="0" w:after="80"/>
              <w:jc w:val="left"/>
            </w:pPr>
            <w:r>
              <w:rPr>
                <w:rFonts w:ascii="Arial" w:cs="Arial" w:eastAsia="Arial" w:hAnsi="Arial"/>
                <w:b/>
                <w:bCs/>
                <w:i w:val="false"/>
                <w:iCs w:val="false"/>
                <w:color w:val="1A3C6E"/>
                <w:sz w:val="19"/>
                <w:szCs w:val="19"/>
              </w:rPr>
              <w:t xml:space="preserve">🏢  San Jose Hub</w:t>
            </w:r>
          </w:p>
        </w:tc>
        <w:tc>
          <w:tcPr>
            <w:tcW w:type="dxa" w:w="516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top"/>
          </w:tcPr>
          <w:p>
            <w:pPr>
              <w:spacing w:before="0" w:after="80"/>
              <w:jc w:val="left"/>
            </w:pPr>
            <w:r>
              <w:rPr>
                <w:rFonts w:ascii="Arial" w:cs="Arial" w:eastAsia="Arial" w:hAnsi="Arial"/>
                <w:b w:val="false"/>
                <w:bCs w:val="false"/>
                <w:i w:val="false"/>
                <w:iCs w:val="false"/>
                <w:color w:val="333333"/>
                <w:sz w:val="18"/>
                <w:szCs w:val="18"/>
              </w:rPr>
              <w:t xml:space="preserve">Serving Santa Clara County industrial corridor</w:t>
            </w:r>
          </w:p>
        </w:tc>
        <w:tc>
          <w:tcPr>
            <w:tcW w:type="dxa" w:w="22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top"/>
          </w:tcPr>
          <w:p>
            <w:pPr>
              <w:spacing w:before="0" w:after="80"/>
              <w:jc w:val="left"/>
            </w:pPr>
            <w:r>
              <w:rPr>
                <w:rFonts w:ascii="Arial" w:cs="Arial" w:eastAsia="Arial" w:hAnsi="Arial"/>
                <w:b/>
                <w:bCs/>
                <w:i w:val="false"/>
                <w:iCs w:val="false"/>
                <w:color w:val="E87722"/>
                <w:sz w:val="18"/>
                <w:szCs w:val="18"/>
              </w:rPr>
              <w:t xml:space="preserve">408-800-3800</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000"/>
        <w:gridCol w:w="5160"/>
        <w:gridCol w:w="2200"/>
      </w:tblGrid>
      <w:tr>
        <w:tc>
          <w:tcPr>
            <w:tcW w:type="dxa" w:w="2000"/>
            <w:tcBorders>
              <w:top w:val="none" w:color="FFFFFF" w:sz="0"/>
              <w:left w:val="none" w:color="FFFFFF" w:sz="0"/>
              <w:bottom w:val="none" w:color="FFFFFF" w:sz="0"/>
              <w:right w:val="none" w:color="FFFFFF" w:sz="0"/>
            </w:tcBorders>
            <w:shd w:fill="F2F2F2" w:val="clear"/>
            <w:tcMar>
              <w:top w:type="dxa" w:w="80"/>
              <w:left w:type="dxa" w:w="120"/>
              <w:bottom w:type="dxa" w:w="80"/>
              <w:right w:type="dxa" w:w="120"/>
            </w:tcMar>
            <w:vAlign w:val="top"/>
          </w:tcPr>
          <w:p>
            <w:pPr>
              <w:spacing w:before="0" w:after="80"/>
              <w:jc w:val="left"/>
            </w:pPr>
            <w:r>
              <w:rPr>
                <w:rFonts w:ascii="Arial" w:cs="Arial" w:eastAsia="Arial" w:hAnsi="Arial"/>
                <w:b/>
                <w:bCs/>
                <w:i w:val="false"/>
                <w:iCs w:val="false"/>
                <w:color w:val="1A3C6E"/>
                <w:sz w:val="19"/>
                <w:szCs w:val="19"/>
              </w:rPr>
              <w:t xml:space="preserve">🏢  Fremont Hub</w:t>
            </w:r>
          </w:p>
        </w:tc>
        <w:tc>
          <w:tcPr>
            <w:tcW w:type="dxa" w:w="516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top"/>
          </w:tcPr>
          <w:p>
            <w:pPr>
              <w:spacing w:before="0" w:after="80"/>
              <w:jc w:val="left"/>
            </w:pPr>
            <w:r>
              <w:rPr>
                <w:rFonts w:ascii="Arial" w:cs="Arial" w:eastAsia="Arial" w:hAnsi="Arial"/>
                <w:b w:val="false"/>
                <w:bCs w:val="false"/>
                <w:i w:val="false"/>
                <w:iCs w:val="false"/>
                <w:color w:val="333333"/>
                <w:sz w:val="18"/>
                <w:szCs w:val="18"/>
              </w:rPr>
              <w:t xml:space="preserve">Serving I-880 / Central Alameda commercial zones</w:t>
            </w:r>
          </w:p>
        </w:tc>
        <w:tc>
          <w:tcPr>
            <w:tcW w:type="dxa" w:w="22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top"/>
          </w:tcPr>
          <w:p>
            <w:pPr>
              <w:spacing w:before="0" w:after="80"/>
              <w:jc w:val="left"/>
            </w:pPr>
            <w:r>
              <w:rPr>
                <w:rFonts w:ascii="Arial" w:cs="Arial" w:eastAsia="Arial" w:hAnsi="Arial"/>
                <w:b/>
                <w:bCs/>
                <w:i w:val="false"/>
                <w:iCs w:val="false"/>
                <w:color w:val="E87722"/>
                <w:sz w:val="18"/>
                <w:szCs w:val="18"/>
              </w:rPr>
              <w:t xml:space="preserve">Available via HQ dispatch</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000"/>
        <w:gridCol w:w="5160"/>
        <w:gridCol w:w="2200"/>
      </w:tblGrid>
      <w:tr>
        <w:tc>
          <w:tcPr>
            <w:tcW w:type="dxa" w:w="2000"/>
            <w:tcBorders>
              <w:top w:val="none" w:color="FFFFFF" w:sz="0"/>
              <w:left w:val="none" w:color="FFFFFF" w:sz="0"/>
              <w:bottom w:val="none" w:color="FFFFFF" w:sz="0"/>
              <w:right w:val="none" w:color="FFFFFF" w:sz="0"/>
            </w:tcBorders>
            <w:shd w:fill="F2F2F2" w:val="clear"/>
            <w:tcMar>
              <w:top w:type="dxa" w:w="80"/>
              <w:left w:type="dxa" w:w="120"/>
              <w:bottom w:type="dxa" w:w="80"/>
              <w:right w:type="dxa" w:w="120"/>
            </w:tcMar>
            <w:vAlign w:val="top"/>
          </w:tcPr>
          <w:p>
            <w:pPr>
              <w:spacing w:before="0" w:after="80"/>
              <w:jc w:val="left"/>
            </w:pPr>
            <w:r>
              <w:rPr>
                <w:rFonts w:ascii="Arial" w:cs="Arial" w:eastAsia="Arial" w:hAnsi="Arial"/>
                <w:b/>
                <w:bCs/>
                <w:i w:val="false"/>
                <w:iCs w:val="false"/>
                <w:color w:val="1A3C6E"/>
                <w:sz w:val="19"/>
                <w:szCs w:val="19"/>
              </w:rPr>
              <w:t xml:space="preserve">🏢  Daly City Hub</w:t>
            </w:r>
          </w:p>
        </w:tc>
        <w:tc>
          <w:tcPr>
            <w:tcW w:type="dxa" w:w="516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top"/>
          </w:tcPr>
          <w:p>
            <w:pPr>
              <w:spacing w:before="0" w:after="80"/>
              <w:jc w:val="left"/>
            </w:pPr>
            <w:r>
              <w:rPr>
                <w:rFonts w:ascii="Arial" w:cs="Arial" w:eastAsia="Arial" w:hAnsi="Arial"/>
                <w:b w:val="false"/>
                <w:bCs w:val="false"/>
                <w:i w:val="false"/>
                <w:iCs w:val="false"/>
                <w:color w:val="333333"/>
                <w:sz w:val="18"/>
                <w:szCs w:val="18"/>
              </w:rPr>
              <w:t xml:space="preserve">Serving Northern San Mateo, SFO corridor</w:t>
            </w:r>
          </w:p>
        </w:tc>
        <w:tc>
          <w:tcPr>
            <w:tcW w:type="dxa" w:w="22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top"/>
          </w:tcPr>
          <w:p>
            <w:pPr>
              <w:spacing w:before="0" w:after="80"/>
              <w:jc w:val="left"/>
            </w:pPr>
            <w:r>
              <w:rPr>
                <w:rFonts w:ascii="Arial" w:cs="Arial" w:eastAsia="Arial" w:hAnsi="Arial"/>
                <w:b/>
                <w:bCs/>
                <w:i w:val="false"/>
                <w:iCs w:val="false"/>
                <w:color w:val="E87722"/>
                <w:sz w:val="18"/>
                <w:szCs w:val="18"/>
              </w:rPr>
              <w:t xml:space="preserve">Available via HQ dispatch</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000"/>
        <w:gridCol w:w="5160"/>
        <w:gridCol w:w="2200"/>
      </w:tblGrid>
      <w:tr>
        <w:tc>
          <w:tcPr>
            <w:tcW w:type="dxa" w:w="2000"/>
            <w:tcBorders>
              <w:top w:val="none" w:color="FFFFFF" w:sz="0"/>
              <w:left w:val="none" w:color="FFFFFF" w:sz="0"/>
              <w:bottom w:val="none" w:color="FFFFFF" w:sz="0"/>
              <w:right w:val="none" w:color="FFFFFF" w:sz="0"/>
            </w:tcBorders>
            <w:shd w:fill="F2F2F2" w:val="clear"/>
            <w:tcMar>
              <w:top w:type="dxa" w:w="80"/>
              <w:left w:type="dxa" w:w="120"/>
              <w:bottom w:type="dxa" w:w="80"/>
              <w:right w:type="dxa" w:w="120"/>
            </w:tcMar>
            <w:vAlign w:val="top"/>
          </w:tcPr>
          <w:p>
            <w:pPr>
              <w:spacing w:before="0" w:after="80"/>
              <w:jc w:val="left"/>
            </w:pPr>
            <w:r>
              <w:rPr>
                <w:rFonts w:ascii="Arial" w:cs="Arial" w:eastAsia="Arial" w:hAnsi="Arial"/>
                <w:b/>
                <w:bCs/>
                <w:i w:val="false"/>
                <w:iCs w:val="false"/>
                <w:color w:val="1A3C6E"/>
                <w:sz w:val="19"/>
                <w:szCs w:val="19"/>
              </w:rPr>
              <w:t xml:space="preserve">🏢  Concord Hub</w:t>
            </w:r>
          </w:p>
        </w:tc>
        <w:tc>
          <w:tcPr>
            <w:tcW w:type="dxa" w:w="516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top"/>
          </w:tcPr>
          <w:p>
            <w:pPr>
              <w:spacing w:before="0" w:after="80"/>
              <w:jc w:val="left"/>
            </w:pPr>
            <w:r>
              <w:rPr>
                <w:rFonts w:ascii="Arial" w:cs="Arial" w:eastAsia="Arial" w:hAnsi="Arial"/>
                <w:b w:val="false"/>
                <w:bCs w:val="false"/>
                <w:i w:val="false"/>
                <w:iCs w:val="false"/>
                <w:color w:val="333333"/>
                <w:sz w:val="18"/>
                <w:szCs w:val="18"/>
              </w:rPr>
              <w:t xml:space="preserve">Serving Contra Costa, I-680/780 corridor</w:t>
            </w:r>
          </w:p>
        </w:tc>
        <w:tc>
          <w:tcPr>
            <w:tcW w:type="dxa" w:w="22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top"/>
          </w:tcPr>
          <w:p>
            <w:pPr>
              <w:spacing w:before="0" w:after="80"/>
              <w:jc w:val="left"/>
            </w:pPr>
            <w:r>
              <w:rPr>
                <w:rFonts w:ascii="Arial" w:cs="Arial" w:eastAsia="Arial" w:hAnsi="Arial"/>
                <w:b/>
                <w:bCs/>
                <w:i w:val="false"/>
                <w:iCs w:val="false"/>
                <w:color w:val="E87722"/>
                <w:sz w:val="18"/>
                <w:szCs w:val="18"/>
              </w:rPr>
              <w:t xml:space="preserve">Available via HQ dispatch</w:t>
            </w:r>
          </w:p>
        </w:tc>
      </w:tr>
    </w:tbl>
    <w:p>
      <w:pPr>
        <w:spacing w:before="0" w:after="80"/>
        <w:jc w:val="left"/>
      </w:pPr>
      <w:r>
        <w:rPr>
          <w:rFonts w:ascii="Arial" w:cs="Arial" w:eastAsia="Arial" w:hAnsi="Arial"/>
          <w:b w:val="false"/>
          <w:bCs w:val="false"/>
          <w:i w:val="false"/>
          <w:iCs w:val="false"/>
          <w:color w:val="333333"/>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5E9" w:val="clear"/>
            <w:tcMar>
              <w:top w:type="dxa" w:w="160"/>
              <w:left w:type="dxa" w:w="200"/>
              <w:bottom w:type="dxa" w:w="160"/>
              <w:right w:type="dxa" w:w="200"/>
            </w:tcMar>
            <w:vAlign w:val="top"/>
          </w:tcPr>
          <w:p>
            <w:pPr>
              <w:spacing w:before="40" w:after="60"/>
              <w:jc w:val="left"/>
            </w:pPr>
            <w:r>
              <w:rPr>
                <w:rFonts w:ascii="Arial" w:cs="Arial" w:eastAsia="Arial" w:hAnsi="Arial"/>
                <w:b/>
                <w:bCs/>
                <w:i w:val="false"/>
                <w:iCs w:val="false"/>
                <w:color w:val="2E7D32"/>
                <w:sz w:val="20"/>
                <w:szCs w:val="20"/>
              </w:rPr>
              <w:t xml:space="preserve">📊 BUYER PSYCHOLOGY (Phase 2 Insight):</w:t>
            </w:r>
          </w:p>
          <w:p>
            <w:pPr>
              <w:spacing w:before="0" w:after="40"/>
              <w:jc w:val="left"/>
            </w:pPr>
            <w:r>
              <w:rPr>
                <w:rFonts w:ascii="Arial" w:cs="Arial" w:eastAsia="Arial" w:hAnsi="Arial"/>
                <w:b w:val="false"/>
                <w:bCs w:val="false"/>
                <w:i w:val="false"/>
                <w:iCs w:val="false"/>
                <w:color w:val="333333"/>
                <w:sz w:val="19"/>
                <w:szCs w:val="19"/>
              </w:rPr>
              <w:t xml:space="preserve">Fleet managers and logistics coordinators think in routes, not neighborhoods. Listing highway corridors (I-880, I-101, Port of Oakland) directly addresses the 'do you cover my operational routes?' question. The Stockton hub and Central Valley mention is a competitive differentiator — most Bay Area towing companies stop at county borders.</w:t>
            </w:r>
          </w:p>
        </w:tc>
      </w:tr>
    </w:tbl>
    <w:p>
      <w:pPr>
        <w:pBdr>
          <w:bottom w:val="single" w:color="E87722" w:sz="6"/>
        </w:pBdr>
        <w:spacing w:before="160" w:after="160"/>
      </w:pPr>
    </w:p>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7722" w:val="clear"/>
            <w:tcMar>
              <w:top w:type="dxa" w:w="120"/>
              <w:left w:type="dxa" w:w="120"/>
              <w:bottom w:type="dxa" w:w="120"/>
              <w:right w:type="dxa" w:w="120"/>
            </w:tcMar>
            <w:vAlign w:val="top"/>
          </w:tcPr>
          <w:p>
            <w:pPr>
              <w:spacing w:before="60" w:after="60"/>
              <w:jc w:val="center"/>
            </w:pPr>
            <w:r>
              <w:rPr>
                <w:rFonts w:ascii="Arial" w:cs="Arial" w:eastAsia="Arial" w:hAnsi="Arial"/>
                <w:b/>
                <w:bCs/>
                <w:i w:val="false"/>
                <w:iCs w:val="false"/>
                <w:color w:val="FFFFFF"/>
                <w:sz w:val="22"/>
                <w:szCs w:val="22"/>
              </w:rPr>
              <w:t xml:space="preserve">SECTION 9 — COMMERCIAL FAQ</w:t>
            </w:r>
          </w:p>
        </w:tc>
      </w:tr>
    </w:tbl>
    <w:p>
      <w:pPr>
        <w:spacing w:before="0" w:after="80"/>
        <w:jc w:val="left"/>
      </w:pPr>
      <w:r>
        <w:rPr>
          <w:rFonts w:ascii="Arial" w:cs="Arial" w:eastAsia="Arial" w:hAnsi="Arial"/>
          <w:b w:val="false"/>
          <w:bCs w:val="false"/>
          <w:i w:val="false"/>
          <w:iCs w:val="false"/>
          <w:color w:val="333333"/>
          <w:sz w:val="20"/>
          <w:szCs w:val="20"/>
        </w:rPr>
        <w:t xml:space="preserve"/>
      </w:r>
    </w:p>
    <w:p>
      <w:pPr>
        <w:spacing w:before="200" w:after="60"/>
        <w:jc w:val="left"/>
      </w:pPr>
      <w:r>
        <w:rPr>
          <w:rFonts w:ascii="Arial" w:cs="Arial" w:eastAsia="Arial" w:hAnsi="Arial"/>
          <w:b/>
          <w:bCs/>
          <w:i w:val="false"/>
          <w:iCs w:val="false"/>
          <w:color w:val="1A3C6E"/>
          <w:sz w:val="36"/>
          <w:szCs w:val="36"/>
        </w:rPr>
        <w:t xml:space="preserve">Commercial Towing FAQs</w:t>
      </w:r>
    </w:p>
    <w:p>
      <w:pPr>
        <w:spacing w:before="0" w:after="120"/>
        <w:jc w:val="left"/>
      </w:pPr>
      <w:r>
        <w:rPr>
          <w:rFonts w:ascii="Arial" w:cs="Arial" w:eastAsia="Arial" w:hAnsi="Arial"/>
          <w:b w:val="false"/>
          <w:bCs w:val="false"/>
          <w:i w:val="false"/>
          <w:iCs w:val="false"/>
          <w:color w:val="666666"/>
          <w:sz w:val="20"/>
          <w:szCs w:val="20"/>
        </w:rPr>
        <w:t xml:space="preserve">Questions fleet managers and commercial operators ask before signing.</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0F8" w:val="clear"/>
            <w:tcMar>
              <w:top w:type="dxa" w:w="160"/>
              <w:left w:type="dxa" w:w="200"/>
              <w:bottom w:type="dxa" w:w="160"/>
              <w:right w:type="dxa" w:w="200"/>
            </w:tcMar>
            <w:vAlign w:val="top"/>
          </w:tcPr>
          <w:p>
            <w:pPr>
              <w:spacing w:before="40" w:after="60"/>
              <w:jc w:val="left"/>
            </w:pPr>
            <w:r>
              <w:rPr>
                <w:rFonts w:ascii="Arial" w:cs="Arial" w:eastAsia="Arial" w:hAnsi="Arial"/>
                <w:b/>
                <w:bCs/>
                <w:i w:val="false"/>
                <w:iCs w:val="false"/>
                <w:color w:val="1A3C6E"/>
                <w:sz w:val="20"/>
                <w:szCs w:val="20"/>
              </w:rPr>
              <w:t xml:space="preserve">🎨 DESIGN / DEVELOPER NOTE:</w:t>
            </w:r>
          </w:p>
          <w:p>
            <w:pPr>
              <w:spacing w:before="0" w:after="40"/>
              <w:jc w:val="left"/>
            </w:pPr>
            <w:r>
              <w:rPr>
                <w:rFonts w:ascii="Arial" w:cs="Arial" w:eastAsia="Arial" w:hAnsi="Arial"/>
                <w:b w:val="false"/>
                <w:bCs w:val="false"/>
                <w:i w:val="false"/>
                <w:iCs w:val="false"/>
                <w:color w:val="333333"/>
                <w:sz w:val="19"/>
                <w:szCs w:val="19"/>
              </w:rPr>
              <w:t xml:space="preserve">8 FAQs. B2B-focused — heavier on capability specs, contract terms, compliance, and SLA. Schema markup (FAQPage) recommended for SEO. Answers should be authoritative and specific — this audience knows the industry.</w:t>
            </w:r>
          </w:p>
        </w:tc>
      </w:tr>
    </w:tbl>
    <w:p>
      <w:pPr>
        <w:spacing w:before="0" w:after="80"/>
        <w:jc w:val="left"/>
      </w:pPr>
      <w:r>
        <w:rPr>
          <w:rFonts w:ascii="Arial" w:cs="Arial" w:eastAsia="Arial" w:hAnsi="Arial"/>
          <w:b w:val="false"/>
          <w:bCs w:val="false"/>
          <w:i w:val="false"/>
          <w:iCs w:val="false"/>
          <w:color w:val="333333"/>
          <w:sz w:val="20"/>
          <w:szCs w:val="20"/>
        </w:rPr>
        <w:t xml:space="preserve"/>
      </w:r>
    </w:p>
    <w:tbl>
      <w:tblPr>
        <w:tblW w:type="dxa" w:w="9360"/>
        <w:tblBorders>
          <w:top w:val="single" w:color="DDDDDD" w:sz="1"/>
          <w:left w:val="none" w:color="FFFFFF" w:sz="0"/>
          <w:bottom w:val="single" w:color="DDDDDD" w:sz="1"/>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0F8" w:val="clear"/>
            <w:tcMar>
              <w:top w:type="dxa" w:w="80"/>
              <w:left w:type="dxa" w:w="120"/>
              <w:bottom w:type="dxa" w:w="80"/>
              <w:right w:type="dxa" w:w="120"/>
            </w:tcMar>
            <w:vAlign w:val="top"/>
          </w:tcPr>
          <w:p>
            <w:pPr>
              <w:spacing w:before="60" w:after="40"/>
              <w:jc w:val="left"/>
            </w:pPr>
            <w:r>
              <w:rPr>
                <w:rFonts w:ascii="Arial" w:cs="Arial" w:eastAsia="Arial" w:hAnsi="Arial"/>
                <w:b/>
                <w:bCs/>
                <w:i w:val="false"/>
                <w:iCs w:val="false"/>
                <w:color w:val="1A3C6E"/>
                <w:sz w:val="20"/>
                <w:szCs w:val="20"/>
              </w:rPr>
              <w:t xml:space="preserve">Q: What is your maximum recovery weight?</w:t>
            </w:r>
          </w:p>
        </w:tc>
      </w:tr>
      <w:tr>
        <w:tc>
          <w:tcPr>
            <w:tcW w:type="dxa" w:w="9360"/>
            <w:tcBorders>
              <w:top w:val="none" w:color="FFFFFF" w:sz="0"/>
              <w:left w:val="none" w:color="FFFFFF" w:sz="0"/>
              <w:bottom w:val="none" w:color="FFFFFF" w:sz="0"/>
              <w:right w:val="none" w:color="FFFFFF" w:sz="0"/>
            </w:tcBorders>
            <w:shd w:fill="FFFFFF" w:val="clear"/>
            <w:tcMar>
              <w:top w:type="dxa" w:w="80"/>
              <w:left w:type="dxa" w:w="200"/>
              <w:bottom w:type="dxa" w:w="80"/>
              <w:right w:type="dxa" w:w="120"/>
            </w:tcMar>
            <w:vAlign w:val="top"/>
          </w:tcPr>
          <w:p>
            <w:pPr>
              <w:spacing w:before="40" w:after="80"/>
              <w:jc w:val="left"/>
            </w:pPr>
            <w:r>
              <w:rPr>
                <w:rFonts w:ascii="Arial" w:cs="Arial" w:eastAsia="Arial" w:hAnsi="Arial"/>
                <w:b w:val="false"/>
                <w:bCs w:val="false"/>
                <w:i w:val="false"/>
                <w:iCs w:val="false"/>
                <w:color w:val="333333"/>
                <w:sz w:val="19"/>
                <w:szCs w:val="19"/>
              </w:rPr>
              <w:t xml:space="preserve">A: Our rotator fleet handles recoveries up to 75+ tons. This covers Class 8 semis, loaded trailers, large construction equipment, and multi-vehicle incidents. For extremely complex recoveries, we can assess on-site and bring additional equipment if required. Call to discuss your specific situation.</w:t>
            </w:r>
          </w:p>
        </w:tc>
      </w:tr>
    </w:tbl>
    <w:tbl>
      <w:tblPr>
        <w:tblW w:type="dxa" w:w="9360"/>
        <w:tblBorders>
          <w:top w:val="single" w:color="DDDDDD" w:sz="1"/>
          <w:left w:val="none" w:color="FFFFFF" w:sz="0"/>
          <w:bottom w:val="single" w:color="DDDDDD" w:sz="1"/>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0F8" w:val="clear"/>
            <w:tcMar>
              <w:top w:type="dxa" w:w="80"/>
              <w:left w:type="dxa" w:w="120"/>
              <w:bottom w:type="dxa" w:w="80"/>
              <w:right w:type="dxa" w:w="120"/>
            </w:tcMar>
            <w:vAlign w:val="top"/>
          </w:tcPr>
          <w:p>
            <w:pPr>
              <w:spacing w:before="60" w:after="40"/>
              <w:jc w:val="left"/>
            </w:pPr>
            <w:r>
              <w:rPr>
                <w:rFonts w:ascii="Arial" w:cs="Arial" w:eastAsia="Arial" w:hAnsi="Arial"/>
                <w:b/>
                <w:bCs/>
                <w:i w:val="false"/>
                <w:iCs w:val="false"/>
                <w:color w:val="1A3C6E"/>
                <w:sz w:val="20"/>
                <w:szCs w:val="20"/>
              </w:rPr>
              <w:t xml:space="preserve">Q: Do you handle jackknifed semis and rollover recoveries?</w:t>
            </w:r>
          </w:p>
        </w:tc>
      </w:tr>
      <w:tr>
        <w:tc>
          <w:tcPr>
            <w:tcW w:type="dxa" w:w="9360"/>
            <w:tcBorders>
              <w:top w:val="none" w:color="FFFFFF" w:sz="0"/>
              <w:left w:val="none" w:color="FFFFFF" w:sz="0"/>
              <w:bottom w:val="none" w:color="FFFFFF" w:sz="0"/>
              <w:right w:val="none" w:color="FFFFFF" w:sz="0"/>
            </w:tcBorders>
            <w:shd w:fill="FFFFFF" w:val="clear"/>
            <w:tcMar>
              <w:top w:type="dxa" w:w="80"/>
              <w:left w:type="dxa" w:w="200"/>
              <w:bottom w:type="dxa" w:w="80"/>
              <w:right w:type="dxa" w:w="120"/>
            </w:tcMar>
            <w:vAlign w:val="top"/>
          </w:tcPr>
          <w:p>
            <w:pPr>
              <w:spacing w:before="40" w:after="80"/>
              <w:jc w:val="left"/>
            </w:pPr>
            <w:r>
              <w:rPr>
                <w:rFonts w:ascii="Arial" w:cs="Arial" w:eastAsia="Arial" w:hAnsi="Arial"/>
                <w:b w:val="false"/>
                <w:bCs w:val="false"/>
                <w:i w:val="false"/>
                <w:iCs w:val="false"/>
                <w:color w:val="333333"/>
                <w:sz w:val="19"/>
                <w:szCs w:val="19"/>
              </w:rPr>
              <w:t xml:space="preserve">A: Yes — this is core to our heavy-duty capability. Our rotator-equipped units are specifically designed for jackknifes, rollovers, and off-road recoveries. We carry out-rigger stabilization, air bags, and snatch block rigging for complex recovery scenarios. We coordinate with CHP and incident command.</w:t>
            </w:r>
          </w:p>
        </w:tc>
      </w:tr>
    </w:tbl>
    <w:tbl>
      <w:tblPr>
        <w:tblW w:type="dxa" w:w="9360"/>
        <w:tblBorders>
          <w:top w:val="single" w:color="DDDDDD" w:sz="1"/>
          <w:left w:val="none" w:color="FFFFFF" w:sz="0"/>
          <w:bottom w:val="single" w:color="DDDDDD" w:sz="1"/>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0F8" w:val="clear"/>
            <w:tcMar>
              <w:top w:type="dxa" w:w="80"/>
              <w:left w:type="dxa" w:w="120"/>
              <w:bottom w:type="dxa" w:w="80"/>
              <w:right w:type="dxa" w:w="120"/>
            </w:tcMar>
            <w:vAlign w:val="top"/>
          </w:tcPr>
          <w:p>
            <w:pPr>
              <w:spacing w:before="60" w:after="40"/>
              <w:jc w:val="left"/>
            </w:pPr>
            <w:r>
              <w:rPr>
                <w:rFonts w:ascii="Arial" w:cs="Arial" w:eastAsia="Arial" w:hAnsi="Arial"/>
                <w:b/>
                <w:bCs/>
                <w:i w:val="false"/>
                <w:iCs w:val="false"/>
                <w:color w:val="1A3C6E"/>
                <w:sz w:val="20"/>
                <w:szCs w:val="20"/>
              </w:rPr>
              <w:t xml:space="preserve">Q: Can you tow loaded trailers?</w:t>
            </w:r>
          </w:p>
        </w:tc>
      </w:tr>
      <w:tr>
        <w:tc>
          <w:tcPr>
            <w:tcW w:type="dxa" w:w="9360"/>
            <w:tcBorders>
              <w:top w:val="none" w:color="FFFFFF" w:sz="0"/>
              <w:left w:val="none" w:color="FFFFFF" w:sz="0"/>
              <w:bottom w:val="none" w:color="FFFFFF" w:sz="0"/>
              <w:right w:val="none" w:color="FFFFFF" w:sz="0"/>
            </w:tcBorders>
            <w:shd w:fill="FFFFFF" w:val="clear"/>
            <w:tcMar>
              <w:top w:type="dxa" w:w="80"/>
              <w:left w:type="dxa" w:w="200"/>
              <w:bottom w:type="dxa" w:w="80"/>
              <w:right w:type="dxa" w:w="120"/>
            </w:tcMar>
            <w:vAlign w:val="top"/>
          </w:tcPr>
          <w:p>
            <w:pPr>
              <w:spacing w:before="40" w:after="80"/>
              <w:jc w:val="left"/>
            </w:pPr>
            <w:r>
              <w:rPr>
                <w:rFonts w:ascii="Arial" w:cs="Arial" w:eastAsia="Arial" w:hAnsi="Arial"/>
                <w:b w:val="false"/>
                <w:bCs w:val="false"/>
                <w:i w:val="false"/>
                <w:iCs w:val="false"/>
                <w:color w:val="333333"/>
                <w:sz w:val="19"/>
                <w:szCs w:val="19"/>
              </w:rPr>
              <w:t xml:space="preserve">A: Yes. We tow loaded trailers — both with the tractor attached and as independent trailer moves. For oversized or overweight configurations, we advise on permit requirements and can coordinate permitted loads where necessary.</w:t>
            </w:r>
          </w:p>
        </w:tc>
      </w:tr>
    </w:tbl>
    <w:tbl>
      <w:tblPr>
        <w:tblW w:type="dxa" w:w="9360"/>
        <w:tblBorders>
          <w:top w:val="single" w:color="DDDDDD" w:sz="1"/>
          <w:left w:val="none" w:color="FFFFFF" w:sz="0"/>
          <w:bottom w:val="single" w:color="DDDDDD" w:sz="1"/>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0F8" w:val="clear"/>
            <w:tcMar>
              <w:top w:type="dxa" w:w="80"/>
              <w:left w:type="dxa" w:w="120"/>
              <w:bottom w:type="dxa" w:w="80"/>
              <w:right w:type="dxa" w:w="120"/>
            </w:tcMar>
            <w:vAlign w:val="top"/>
          </w:tcPr>
          <w:p>
            <w:pPr>
              <w:spacing w:before="60" w:after="40"/>
              <w:jc w:val="left"/>
            </w:pPr>
            <w:r>
              <w:rPr>
                <w:rFonts w:ascii="Arial" w:cs="Arial" w:eastAsia="Arial" w:hAnsi="Arial"/>
                <w:b/>
                <w:bCs/>
                <w:i w:val="false"/>
                <w:iCs w:val="false"/>
                <w:color w:val="1A3C6E"/>
                <w:sz w:val="20"/>
                <w:szCs w:val="20"/>
              </w:rPr>
              <w:t xml:space="preserve">Q: Do you offer fleet/SLA towing contracts?</w:t>
            </w:r>
          </w:p>
        </w:tc>
      </w:tr>
      <w:tr>
        <w:tc>
          <w:tcPr>
            <w:tcW w:type="dxa" w:w="9360"/>
            <w:tcBorders>
              <w:top w:val="none" w:color="FFFFFF" w:sz="0"/>
              <w:left w:val="none" w:color="FFFFFF" w:sz="0"/>
              <w:bottom w:val="none" w:color="FFFFFF" w:sz="0"/>
              <w:right w:val="none" w:color="FFFFFF" w:sz="0"/>
            </w:tcBorders>
            <w:shd w:fill="FFFFFF" w:val="clear"/>
            <w:tcMar>
              <w:top w:type="dxa" w:w="80"/>
              <w:left w:type="dxa" w:w="200"/>
              <w:bottom w:type="dxa" w:w="80"/>
              <w:right w:type="dxa" w:w="120"/>
            </w:tcMar>
            <w:vAlign w:val="top"/>
          </w:tcPr>
          <w:p>
            <w:pPr>
              <w:spacing w:before="40" w:after="80"/>
              <w:jc w:val="left"/>
            </w:pPr>
            <w:r>
              <w:rPr>
                <w:rFonts w:ascii="Arial" w:cs="Arial" w:eastAsia="Arial" w:hAnsi="Arial"/>
                <w:b w:val="false"/>
                <w:bCs w:val="false"/>
                <w:i w:val="false"/>
                <w:iCs w:val="false"/>
                <w:color w:val="333333"/>
                <w:sz w:val="19"/>
                <w:szCs w:val="19"/>
              </w:rPr>
              <w:t xml:space="preserve">A: Yes. We offer dedicated fleet contracts for commercial operators with monthly invoicing, priority dispatch, volume pricing, dedicated account management, and SLA response time commitments. Contact dispatch@heavytowpro.com or call 650-881-2400 for a custom fleet quote.</w:t>
            </w:r>
          </w:p>
        </w:tc>
      </w:tr>
    </w:tbl>
    <w:tbl>
      <w:tblPr>
        <w:tblW w:type="dxa" w:w="9360"/>
        <w:tblBorders>
          <w:top w:val="single" w:color="DDDDDD" w:sz="1"/>
          <w:left w:val="none" w:color="FFFFFF" w:sz="0"/>
          <w:bottom w:val="single" w:color="DDDDDD" w:sz="1"/>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0F8" w:val="clear"/>
            <w:tcMar>
              <w:top w:type="dxa" w:w="80"/>
              <w:left w:type="dxa" w:w="120"/>
              <w:bottom w:type="dxa" w:w="80"/>
              <w:right w:type="dxa" w:w="120"/>
            </w:tcMar>
            <w:vAlign w:val="top"/>
          </w:tcPr>
          <w:p>
            <w:pPr>
              <w:spacing w:before="60" w:after="40"/>
              <w:jc w:val="left"/>
            </w:pPr>
            <w:r>
              <w:rPr>
                <w:rFonts w:ascii="Arial" w:cs="Arial" w:eastAsia="Arial" w:hAnsi="Arial"/>
                <w:b/>
                <w:bCs/>
                <w:i w:val="false"/>
                <w:iCs w:val="false"/>
                <w:color w:val="1A3C6E"/>
                <w:sz w:val="20"/>
                <w:szCs w:val="20"/>
              </w:rPr>
              <w:t xml:space="preserve">Q: Are you DOT compliant? Can I see your credentials?</w:t>
            </w:r>
          </w:p>
        </w:tc>
      </w:tr>
      <w:tr>
        <w:tc>
          <w:tcPr>
            <w:tcW w:type="dxa" w:w="9360"/>
            <w:tcBorders>
              <w:top w:val="none" w:color="FFFFFF" w:sz="0"/>
              <w:left w:val="none" w:color="FFFFFF" w:sz="0"/>
              <w:bottom w:val="none" w:color="FFFFFF" w:sz="0"/>
              <w:right w:val="none" w:color="FFFFFF" w:sz="0"/>
            </w:tcBorders>
            <w:shd w:fill="FFFFFF" w:val="clear"/>
            <w:tcMar>
              <w:top w:type="dxa" w:w="80"/>
              <w:left w:type="dxa" w:w="200"/>
              <w:bottom w:type="dxa" w:w="80"/>
              <w:right w:type="dxa" w:w="120"/>
            </w:tcMar>
            <w:vAlign w:val="top"/>
          </w:tcPr>
          <w:p>
            <w:pPr>
              <w:spacing w:before="40" w:after="80"/>
              <w:jc w:val="left"/>
            </w:pPr>
            <w:r>
              <w:rPr>
                <w:rFonts w:ascii="Arial" w:cs="Arial" w:eastAsia="Arial" w:hAnsi="Arial"/>
                <w:b w:val="false"/>
                <w:bCs w:val="false"/>
                <w:i w:val="false"/>
                <w:iCs w:val="false"/>
                <w:color w:val="333333"/>
                <w:sz w:val="19"/>
                <w:szCs w:val="19"/>
              </w:rPr>
              <w:t xml:space="preserve">A: Yes — fully DOT compliant. We also hold CTTA (California Tow Truck Association), ITRA (International Towing &amp; Recovery Association), and OSHA training certifications. Certificate of Insurance available on request for fleet onboarding. Email dispatch@heavytowpro.com.</w:t>
            </w:r>
          </w:p>
        </w:tc>
      </w:tr>
    </w:tbl>
    <w:tbl>
      <w:tblPr>
        <w:tblW w:type="dxa" w:w="9360"/>
        <w:tblBorders>
          <w:top w:val="single" w:color="DDDDDD" w:sz="1"/>
          <w:left w:val="none" w:color="FFFFFF" w:sz="0"/>
          <w:bottom w:val="single" w:color="DDDDDD" w:sz="1"/>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0F8" w:val="clear"/>
            <w:tcMar>
              <w:top w:type="dxa" w:w="80"/>
              <w:left w:type="dxa" w:w="120"/>
              <w:bottom w:type="dxa" w:w="80"/>
              <w:right w:type="dxa" w:w="120"/>
            </w:tcMar>
            <w:vAlign w:val="top"/>
          </w:tcPr>
          <w:p>
            <w:pPr>
              <w:spacing w:before="60" w:after="40"/>
              <w:jc w:val="left"/>
            </w:pPr>
            <w:r>
              <w:rPr>
                <w:rFonts w:ascii="Arial" w:cs="Arial" w:eastAsia="Arial" w:hAnsi="Arial"/>
                <w:b/>
                <w:bCs/>
                <w:i w:val="false"/>
                <w:iCs w:val="false"/>
                <w:color w:val="1A3C6E"/>
                <w:sz w:val="20"/>
                <w:szCs w:val="20"/>
              </w:rPr>
              <w:t xml:space="preserve">Q: Do you cover interstate routes and long-distance hauls?</w:t>
            </w:r>
          </w:p>
        </w:tc>
      </w:tr>
      <w:tr>
        <w:tc>
          <w:tcPr>
            <w:tcW w:type="dxa" w:w="9360"/>
            <w:tcBorders>
              <w:top w:val="none" w:color="FFFFFF" w:sz="0"/>
              <w:left w:val="none" w:color="FFFFFF" w:sz="0"/>
              <w:bottom w:val="none" w:color="FFFFFF" w:sz="0"/>
              <w:right w:val="none" w:color="FFFFFF" w:sz="0"/>
            </w:tcBorders>
            <w:shd w:fill="FFFFFF" w:val="clear"/>
            <w:tcMar>
              <w:top w:type="dxa" w:w="80"/>
              <w:left w:type="dxa" w:w="200"/>
              <w:bottom w:type="dxa" w:w="80"/>
              <w:right w:type="dxa" w:w="120"/>
            </w:tcMar>
            <w:vAlign w:val="top"/>
          </w:tcPr>
          <w:p>
            <w:pPr>
              <w:spacing w:before="40" w:after="80"/>
              <w:jc w:val="left"/>
            </w:pPr>
            <w:r>
              <w:rPr>
                <w:rFonts w:ascii="Arial" w:cs="Arial" w:eastAsia="Arial" w:hAnsi="Arial"/>
                <w:b w:val="false"/>
                <w:bCs w:val="false"/>
                <w:i w:val="false"/>
                <w:iCs w:val="false"/>
                <w:color w:val="333333"/>
                <w:sz w:val="19"/>
                <w:szCs w:val="19"/>
              </w:rPr>
              <w:t xml:space="preserve">A: Yes. We operate on all major Bay Area interstate corridors (I-80, I-880, I-101, I-580, I-680) and can haul to Sacramento, Stockton, Modesto, and beyond. Long-distance routes are available — call for specific route availability and pricing.</w:t>
            </w:r>
          </w:p>
        </w:tc>
      </w:tr>
    </w:tbl>
    <w:tbl>
      <w:tblPr>
        <w:tblW w:type="dxa" w:w="9360"/>
        <w:tblBorders>
          <w:top w:val="single" w:color="DDDDDD" w:sz="1"/>
          <w:left w:val="none" w:color="FFFFFF" w:sz="0"/>
          <w:bottom w:val="single" w:color="DDDDDD" w:sz="1"/>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0F8" w:val="clear"/>
            <w:tcMar>
              <w:top w:type="dxa" w:w="80"/>
              <w:left w:type="dxa" w:w="120"/>
              <w:bottom w:type="dxa" w:w="80"/>
              <w:right w:type="dxa" w:w="120"/>
            </w:tcMar>
            <w:vAlign w:val="top"/>
          </w:tcPr>
          <w:p>
            <w:pPr>
              <w:spacing w:before="60" w:after="40"/>
              <w:jc w:val="left"/>
            </w:pPr>
            <w:r>
              <w:rPr>
                <w:rFonts w:ascii="Arial" w:cs="Arial" w:eastAsia="Arial" w:hAnsi="Arial"/>
                <w:b/>
                <w:bCs/>
                <w:i w:val="false"/>
                <w:iCs w:val="false"/>
                <w:color w:val="1A3C6E"/>
                <w:sz w:val="20"/>
                <w:szCs w:val="20"/>
              </w:rPr>
              <w:t xml:space="preserve">Q: How do you handle after-hours commercial emergencies?</w:t>
            </w:r>
          </w:p>
        </w:tc>
      </w:tr>
      <w:tr>
        <w:tc>
          <w:tcPr>
            <w:tcW w:type="dxa" w:w="9360"/>
            <w:tcBorders>
              <w:top w:val="none" w:color="FFFFFF" w:sz="0"/>
              <w:left w:val="none" w:color="FFFFFF" w:sz="0"/>
              <w:bottom w:val="none" w:color="FFFFFF" w:sz="0"/>
              <w:right w:val="none" w:color="FFFFFF" w:sz="0"/>
            </w:tcBorders>
            <w:shd w:fill="FFFFFF" w:val="clear"/>
            <w:tcMar>
              <w:top w:type="dxa" w:w="80"/>
              <w:left w:type="dxa" w:w="200"/>
              <w:bottom w:type="dxa" w:w="80"/>
              <w:right w:type="dxa" w:w="120"/>
            </w:tcMar>
            <w:vAlign w:val="top"/>
          </w:tcPr>
          <w:p>
            <w:pPr>
              <w:spacing w:before="40" w:after="80"/>
              <w:jc w:val="left"/>
            </w:pPr>
            <w:r>
              <w:rPr>
                <w:rFonts w:ascii="Arial" w:cs="Arial" w:eastAsia="Arial" w:hAnsi="Arial"/>
                <w:b w:val="false"/>
                <w:bCs w:val="false"/>
                <w:i w:val="false"/>
                <w:iCs w:val="false"/>
                <w:color w:val="333333"/>
                <w:sz w:val="19"/>
                <w:szCs w:val="19"/>
              </w:rPr>
              <w:t xml:space="preserve">A: We dispatch 24/7, including holidays. Commercial emergencies don't wait for business hours, and neither do we. Fleet account holders receive priority dispatch at any hour. After-hours calls are answered by the same commercial-capable dispatchers — not an answering service.</w:t>
            </w:r>
          </w:p>
        </w:tc>
      </w:tr>
    </w:tbl>
    <w:tbl>
      <w:tblPr>
        <w:tblW w:type="dxa" w:w="9360"/>
        <w:tblBorders>
          <w:top w:val="single" w:color="DDDDDD" w:sz="1"/>
          <w:left w:val="none" w:color="FFFFFF" w:sz="0"/>
          <w:bottom w:val="single" w:color="DDDDDD" w:sz="1"/>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0F8" w:val="clear"/>
            <w:tcMar>
              <w:top w:type="dxa" w:w="80"/>
              <w:left w:type="dxa" w:w="120"/>
              <w:bottom w:type="dxa" w:w="80"/>
              <w:right w:type="dxa" w:w="120"/>
            </w:tcMar>
            <w:vAlign w:val="top"/>
          </w:tcPr>
          <w:p>
            <w:pPr>
              <w:spacing w:before="60" w:after="40"/>
              <w:jc w:val="left"/>
            </w:pPr>
            <w:r>
              <w:rPr>
                <w:rFonts w:ascii="Arial" w:cs="Arial" w:eastAsia="Arial" w:hAnsi="Arial"/>
                <w:b/>
                <w:bCs/>
                <w:i w:val="false"/>
                <w:iCs w:val="false"/>
                <w:color w:val="1A3C6E"/>
                <w:sz w:val="20"/>
                <w:szCs w:val="20"/>
              </w:rPr>
              <w:t xml:space="preserve">Q: Can you work within incident command and with CHP?</w:t>
            </w:r>
          </w:p>
        </w:tc>
      </w:tr>
      <w:tr>
        <w:tc>
          <w:tcPr>
            <w:tcW w:type="dxa" w:w="9360"/>
            <w:tcBorders>
              <w:top w:val="none" w:color="FFFFFF" w:sz="0"/>
              <w:left w:val="none" w:color="FFFFFF" w:sz="0"/>
              <w:bottom w:val="none" w:color="FFFFFF" w:sz="0"/>
              <w:right w:val="none" w:color="FFFFFF" w:sz="0"/>
            </w:tcBorders>
            <w:shd w:fill="FFFFFF" w:val="clear"/>
            <w:tcMar>
              <w:top w:type="dxa" w:w="80"/>
              <w:left w:type="dxa" w:w="200"/>
              <w:bottom w:type="dxa" w:w="80"/>
              <w:right w:type="dxa" w:w="120"/>
            </w:tcMar>
            <w:vAlign w:val="top"/>
          </w:tcPr>
          <w:p>
            <w:pPr>
              <w:spacing w:before="40" w:after="80"/>
              <w:jc w:val="left"/>
            </w:pPr>
            <w:r>
              <w:rPr>
                <w:rFonts w:ascii="Arial" w:cs="Arial" w:eastAsia="Arial" w:hAnsi="Arial"/>
                <w:b w:val="false"/>
                <w:bCs w:val="false"/>
                <w:i w:val="false"/>
                <w:iCs w:val="false"/>
                <w:color w:val="333333"/>
                <w:sz w:val="19"/>
                <w:szCs w:val="19"/>
              </w:rPr>
              <w:t xml:space="preserve">A: Yes. Our operators are trained for incident scene management and work within established incident command structures. We coordinate directly with CHP, fire departments, and emergency services — we don't create additional chaos at your scene.</w:t>
            </w:r>
          </w:p>
        </w:tc>
      </w:tr>
    </w:tbl>
    <w:p>
      <w:pPr>
        <w:spacing w:before="0" w:after="80"/>
        <w:jc w:val="left"/>
      </w:pPr>
      <w:r>
        <w:rPr>
          <w:rFonts w:ascii="Arial" w:cs="Arial" w:eastAsia="Arial" w:hAnsi="Arial"/>
          <w:b w:val="false"/>
          <w:bCs w:val="false"/>
          <w:i w:val="false"/>
          <w:iCs w:val="false"/>
          <w:color w:val="333333"/>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5E9" w:val="clear"/>
            <w:tcMar>
              <w:top w:type="dxa" w:w="160"/>
              <w:left w:type="dxa" w:w="200"/>
              <w:bottom w:type="dxa" w:w="160"/>
              <w:right w:type="dxa" w:w="200"/>
            </w:tcMar>
            <w:vAlign w:val="top"/>
          </w:tcPr>
          <w:p>
            <w:pPr>
              <w:spacing w:before="40" w:after="60"/>
              <w:jc w:val="left"/>
            </w:pPr>
            <w:r>
              <w:rPr>
                <w:rFonts w:ascii="Arial" w:cs="Arial" w:eastAsia="Arial" w:hAnsi="Arial"/>
                <w:b/>
                <w:bCs/>
                <w:i w:val="false"/>
                <w:iCs w:val="false"/>
                <w:color w:val="2E7D32"/>
                <w:sz w:val="20"/>
                <w:szCs w:val="20"/>
              </w:rPr>
              <w:t xml:space="preserve">📊 BUYER PSYCHOLOGY (Phase 2 Insight):</w:t>
            </w:r>
          </w:p>
          <w:p>
            <w:pPr>
              <w:spacing w:before="0" w:after="40"/>
              <w:jc w:val="left"/>
            </w:pPr>
            <w:r>
              <w:rPr>
                <w:rFonts w:ascii="Arial" w:cs="Arial" w:eastAsia="Arial" w:hAnsi="Arial"/>
                <w:b w:val="false"/>
                <w:bCs w:val="false"/>
                <w:i w:val="false"/>
                <w:iCs w:val="false"/>
                <w:color w:val="333333"/>
                <w:sz w:val="19"/>
                <w:szCs w:val="19"/>
              </w:rPr>
              <w:t xml:space="preserve">C2 buyers research more thoroughly before committing — especially for fleet contracts. These 8 FAQs remove the final objections: capability doubt (max weight, rotator), compliance concern (DOT/CTTA), procurement process (COI, contract terms), geographic coverage (routes, interstate). Answering these comprehensively eliminates the need for a competitor comparison.</w:t>
            </w:r>
          </w:p>
        </w:tc>
      </w:tr>
    </w:tbl>
    <w:p>
      <w:pPr>
        <w:pBdr>
          <w:bottom w:val="single" w:color="E87722" w:sz="6"/>
        </w:pBdr>
        <w:spacing w:before="160" w:after="160"/>
      </w:pPr>
    </w:p>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7722" w:val="clear"/>
            <w:tcMar>
              <w:top w:type="dxa" w:w="120"/>
              <w:left w:type="dxa" w:w="120"/>
              <w:bottom w:type="dxa" w:w="120"/>
              <w:right w:type="dxa" w:w="120"/>
            </w:tcMar>
            <w:vAlign w:val="top"/>
          </w:tcPr>
          <w:p>
            <w:pPr>
              <w:spacing w:before="60" w:after="60"/>
              <w:jc w:val="center"/>
            </w:pPr>
            <w:r>
              <w:rPr>
                <w:rFonts w:ascii="Arial" w:cs="Arial" w:eastAsia="Arial" w:hAnsi="Arial"/>
                <w:b/>
                <w:bCs/>
                <w:i w:val="false"/>
                <w:iCs w:val="false"/>
                <w:color w:val="FFFFFF"/>
                <w:sz w:val="22"/>
                <w:szCs w:val="22"/>
              </w:rPr>
              <w:t xml:space="preserve">SECTION 10 — DUAL CONVERSION ZONE (Emergency + Fleet)</w:t>
            </w:r>
          </w:p>
        </w:tc>
      </w:tr>
    </w:tbl>
    <w:p>
      <w:pPr>
        <w:spacing w:before="0" w:after="80"/>
        <w:jc w:val="left"/>
      </w:pPr>
      <w:r>
        <w:rPr>
          <w:rFonts w:ascii="Arial" w:cs="Arial" w:eastAsia="Arial" w:hAnsi="Arial"/>
          <w:b w:val="false"/>
          <w:bCs w:val="false"/>
          <w:i w:val="false"/>
          <w:iCs w:val="false"/>
          <w:color w:val="333333"/>
          <w:sz w:val="20"/>
          <w:szCs w:val="20"/>
        </w:rPr>
        <w:t xml:space="preserve"/>
      </w:r>
    </w:p>
    <w:p>
      <w:pPr>
        <w:spacing w:before="200" w:after="60"/>
        <w:jc w:val="left"/>
      </w:pPr>
      <w:r>
        <w:rPr>
          <w:rFonts w:ascii="Arial" w:cs="Arial" w:eastAsia="Arial" w:hAnsi="Arial"/>
          <w:b/>
          <w:bCs/>
          <w:i w:val="false"/>
          <w:iCs w:val="false"/>
          <w:color w:val="1A3C6E"/>
          <w:sz w:val="36"/>
          <w:szCs w:val="36"/>
        </w:rPr>
        <w:t xml:space="preserve">Ready to Move Heavy?</w:t>
      </w:r>
    </w:p>
    <w:p>
      <w:pPr>
        <w:spacing w:before="0" w:after="120"/>
        <w:jc w:val="left"/>
      </w:pPr>
      <w:r>
        <w:rPr>
          <w:rFonts w:ascii="Arial" w:cs="Arial" w:eastAsia="Arial" w:hAnsi="Arial"/>
          <w:b w:val="false"/>
          <w:bCs w:val="false"/>
          <w:i w:val="false"/>
          <w:iCs w:val="false"/>
          <w:color w:val="666666"/>
          <w:sz w:val="20"/>
          <w:szCs w:val="20"/>
        </w:rPr>
        <w:t xml:space="preserve">Emergency dispatch or fleet contract — both handled right here.</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0F8" w:val="clear"/>
            <w:tcMar>
              <w:top w:type="dxa" w:w="160"/>
              <w:left w:type="dxa" w:w="200"/>
              <w:bottom w:type="dxa" w:w="160"/>
              <w:right w:type="dxa" w:w="200"/>
            </w:tcMar>
            <w:vAlign w:val="top"/>
          </w:tcPr>
          <w:p>
            <w:pPr>
              <w:spacing w:before="40" w:after="60"/>
              <w:jc w:val="left"/>
            </w:pPr>
            <w:r>
              <w:rPr>
                <w:rFonts w:ascii="Arial" w:cs="Arial" w:eastAsia="Arial" w:hAnsi="Arial"/>
                <w:b/>
                <w:bCs/>
                <w:i w:val="false"/>
                <w:iCs w:val="false"/>
                <w:color w:val="1A3C6E"/>
                <w:sz w:val="20"/>
                <w:szCs w:val="20"/>
              </w:rPr>
              <w:t xml:space="preserve">🎨 DESIGN / DEVELOPER NOTE:</w:t>
            </w:r>
          </w:p>
          <w:p>
            <w:pPr>
              <w:spacing w:before="0" w:after="40"/>
              <w:jc w:val="left"/>
            </w:pPr>
            <w:r>
              <w:rPr>
                <w:rFonts w:ascii="Arial" w:cs="Arial" w:eastAsia="Arial" w:hAnsi="Arial"/>
                <w:b w:val="false"/>
                <w:bCs w:val="false"/>
                <w:i w:val="false"/>
                <w:iCs w:val="false"/>
                <w:color w:val="333333"/>
                <w:sz w:val="19"/>
                <w:szCs w:val="19"/>
              </w:rPr>
              <w:t xml:space="preserve">Full-width dark navy section split into two halves: left for emergency call (orange button), right for fleet quote form/link (outlined button). Clear visual separation of the two conversion paths. B2B conversion journeys are longer — give both paths equal visual weight.</w:t>
            </w:r>
          </w:p>
        </w:tc>
      </w:tr>
    </w:tbl>
    <w:p>
      <w:pPr>
        <w:spacing w:before="0" w:after="80"/>
        <w:jc w:val="left"/>
      </w:pPr>
      <w:r>
        <w:rPr>
          <w:rFonts w:ascii="Arial" w:cs="Arial" w:eastAsia="Arial" w:hAnsi="Arial"/>
          <w:b w:val="false"/>
          <w:bCs w:val="false"/>
          <w:i w:val="false"/>
          <w:iCs w:val="false"/>
          <w:color w:val="333333"/>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0D2B4E" w:val="clear"/>
            <w:tcMar>
              <w:top w:type="dxa" w:w="200"/>
              <w:left w:type="dxa" w:w="120"/>
              <w:bottom w:type="dxa" w:w="200"/>
              <w:right w:type="dxa" w:w="120"/>
            </w:tcMar>
            <w:vAlign w:val="top"/>
          </w:tcPr>
          <w:p>
            <w:pPr>
              <w:spacing w:before="80" w:after="80"/>
              <w:jc w:val="center"/>
            </w:pPr>
            <w:r>
              <w:rPr>
                <w:rFonts w:ascii="Arial" w:cs="Arial" w:eastAsia="Arial" w:hAnsi="Arial"/>
                <w:b/>
                <w:bCs/>
                <w:i w:val="false"/>
                <w:iCs w:val="false"/>
                <w:color w:val="E87722"/>
                <w:sz w:val="22"/>
                <w:szCs w:val="22"/>
              </w:rPr>
              <w:t xml:space="preserve">EMERGENCY DISPATCH</w:t>
            </w:r>
          </w:p>
          <w:p>
            <w:pPr>
              <w:spacing w:before="0" w:after="120"/>
              <w:jc w:val="center"/>
            </w:pPr>
            <w:r>
              <w:rPr>
                <w:rFonts w:ascii="Arial" w:cs="Arial" w:eastAsia="Arial" w:hAnsi="Arial"/>
                <w:b w:val="false"/>
                <w:bCs w:val="false"/>
                <w:i w:val="false"/>
                <w:iCs w:val="false"/>
                <w:color w:val="FFFFFF"/>
                <w:sz w:val="19"/>
                <w:szCs w:val="19"/>
              </w:rPr>
              <w:t xml:space="preserve">Semi down. I-880 incident. Rollover on 101. We answer immediately.</w:t>
            </w:r>
          </w:p>
          <w:tbl>
            <w:tblPr>
              <w:tblW w:type="dxa" w:w="4000"/>
              <w:tblBorders>
                <w:top w:val="none" w:color="FFFFFF" w:sz="0"/>
                <w:left w:val="none" w:color="FFFFFF" w:sz="0"/>
                <w:bottom w:val="none" w:color="FFFFFF" w:sz="0"/>
                <w:right w:val="none" w:color="FFFFFF" w:sz="0"/>
                <w:insideH w:val="single" w:color="auto" w:sz="4"/>
                <w:insideV w:val="single" w:color="auto" w:sz="4"/>
              </w:tblBorders>
            </w:tblPr>
            <w:tblGrid>
              <w:gridCol w:w="4000"/>
            </w:tblGrid>
            <w:tr>
              <w:tc>
                <w:tcPr>
                  <w:tcW w:type="dxa" w:w="4000"/>
                  <w:tcBorders>
                    <w:top w:val="none" w:color="FFFFFF" w:sz="0"/>
                    <w:left w:val="none" w:color="FFFFFF" w:sz="0"/>
                    <w:bottom w:val="none" w:color="FFFFFF" w:sz="0"/>
                    <w:right w:val="none" w:color="FFFFFF" w:sz="0"/>
                  </w:tcBorders>
                  <w:shd w:fill="E87722" w:val="clear"/>
                  <w:tcMar>
                    <w:top w:type="dxa" w:w="120"/>
                    <w:left w:type="dxa" w:w="120"/>
                    <w:bottom w:type="dxa" w:w="120"/>
                    <w:right w:type="dxa" w:w="120"/>
                  </w:tcMar>
                  <w:vAlign w:val="top"/>
                </w:tcPr>
                <w:p>
                  <w:pPr>
                    <w:spacing w:before="80" w:after="80"/>
                    <w:jc w:val="center"/>
                  </w:pPr>
                  <w:r>
                    <w:rPr>
                      <w:rFonts w:ascii="Arial" w:cs="Arial" w:eastAsia="Arial" w:hAnsi="Arial"/>
                      <w:b/>
                      <w:bCs/>
                      <w:i w:val="false"/>
                      <w:iCs w:val="false"/>
                      <w:color w:val="FFFFFF"/>
                      <w:sz w:val="22"/>
                      <w:szCs w:val="22"/>
                    </w:rPr>
                    <w:t xml:space="preserve">📞  CALL NOW — 650-881-2400</w:t>
                  </w:r>
                </w:p>
              </w:tc>
            </w:tr>
          </w:tbl>
          <w:p>
            <w:pPr>
              <w:spacing w:before="0" w:after="80"/>
              <w:jc w:val="left"/>
            </w:pPr>
            <w:r>
              <w:rPr>
                <w:rFonts w:ascii="Arial" w:cs="Arial" w:eastAsia="Arial" w:hAnsi="Arial"/>
                <w:b w:val="false"/>
                <w:bCs w:val="false"/>
                <w:i w:val="false"/>
                <w:iCs w:val="false"/>
                <w:color w:val="333333"/>
                <w:sz w:val="20"/>
                <w:szCs w:val="20"/>
              </w:rPr>
              <w:t xml:space="preserve"/>
            </w:r>
          </w:p>
          <w:p>
            <w:pPr>
              <w:spacing w:before="0" w:after="80"/>
              <w:jc w:val="center"/>
            </w:pPr>
            <w:r>
              <w:rPr>
                <w:rFonts w:ascii="Arial" w:cs="Arial" w:eastAsia="Arial" w:hAnsi="Arial"/>
                <w:b w:val="false"/>
                <w:bCs w:val="false"/>
                <w:i w:val="false"/>
                <w:iCs w:val="false"/>
                <w:color w:val="E8F0F8"/>
                <w:sz w:val="17"/>
                <w:szCs w:val="17"/>
              </w:rPr>
              <w:t xml:space="preserve">Live dispatcher. ETA in 60 seconds. 24/7 / 365.</w:t>
            </w:r>
          </w:p>
        </w:tc>
        <w:tc>
          <w:tcPr>
            <w:tcW w:type="dxa" w:w="4680"/>
            <w:tcBorders>
              <w:top w:val="none" w:color="FFFFFF" w:sz="0"/>
              <w:left w:val="none" w:color="FFFFFF" w:sz="0"/>
              <w:bottom w:val="none" w:color="FFFFFF" w:sz="0"/>
              <w:right w:val="none" w:color="FFFFFF" w:sz="0"/>
            </w:tcBorders>
            <w:shd w:fill="333333" w:val="clear"/>
            <w:tcMar>
              <w:top w:type="dxa" w:w="200"/>
              <w:left w:type="dxa" w:w="120"/>
              <w:bottom w:type="dxa" w:w="200"/>
              <w:right w:type="dxa" w:w="120"/>
            </w:tcMar>
            <w:vAlign w:val="top"/>
          </w:tcPr>
          <w:p>
            <w:pPr>
              <w:spacing w:before="80" w:after="80"/>
              <w:jc w:val="center"/>
            </w:pPr>
            <w:r>
              <w:rPr>
                <w:rFonts w:ascii="Arial" w:cs="Arial" w:eastAsia="Arial" w:hAnsi="Arial"/>
                <w:b/>
                <w:bCs/>
                <w:i w:val="false"/>
                <w:iCs w:val="false"/>
                <w:color w:val="E87722"/>
                <w:sz w:val="22"/>
                <w:szCs w:val="22"/>
              </w:rPr>
              <w:t xml:space="preserve">FLEET CONTRACT INQUIRY</w:t>
            </w:r>
          </w:p>
          <w:p>
            <w:pPr>
              <w:spacing w:before="0" w:after="120"/>
              <w:jc w:val="center"/>
            </w:pPr>
            <w:r>
              <w:rPr>
                <w:rFonts w:ascii="Arial" w:cs="Arial" w:eastAsia="Arial" w:hAnsi="Arial"/>
                <w:b w:val="false"/>
                <w:bCs w:val="false"/>
                <w:i w:val="false"/>
                <w:iCs w:val="false"/>
                <w:color w:val="FFFFFF"/>
                <w:sz w:val="19"/>
                <w:szCs w:val="19"/>
              </w:rPr>
              <w:t xml:space="preserve">Multiple vehicles. Recurring needs. Want priority dispatch and volume pricing?</w:t>
            </w:r>
          </w:p>
          <w:tbl>
            <w:tblPr>
              <w:tblW w:type="dxa" w:w="4000"/>
              <w:tblBorders>
                <w:top w:val="none" w:color="FFFFFF" w:sz="0"/>
                <w:left w:val="none" w:color="FFFFFF" w:sz="0"/>
                <w:bottom w:val="none" w:color="FFFFFF" w:sz="0"/>
                <w:right w:val="none" w:color="FFFFFF" w:sz="0"/>
                <w:insideH w:val="single" w:color="auto" w:sz="4"/>
                <w:insideV w:val="single" w:color="auto" w:sz="4"/>
              </w:tblBorders>
            </w:tblPr>
            <w:tblGrid>
              <w:gridCol w:w="4000"/>
            </w:tblGrid>
            <w:tr>
              <w:tc>
                <w:tcPr>
                  <w:tcW w:type="dxa" w:w="4000"/>
                  <w:tcBorders>
                    <w:top w:val="none" w:color="FFFFFF" w:sz="0"/>
                    <w:left w:val="none" w:color="FFFFFF" w:sz="0"/>
                    <w:bottom w:val="none" w:color="FFFFFF" w:sz="0"/>
                    <w:right w:val="none" w:color="FFFFFF" w:sz="0"/>
                  </w:tcBorders>
                  <w:shd w:fill="E8F0F8" w:val="clear"/>
                  <w:tcMar>
                    <w:top w:type="dxa" w:w="120"/>
                    <w:left w:type="dxa" w:w="120"/>
                    <w:bottom w:type="dxa" w:w="120"/>
                    <w:right w:type="dxa" w:w="120"/>
                  </w:tcMar>
                  <w:vAlign w:val="top"/>
                </w:tcPr>
                <w:p>
                  <w:pPr>
                    <w:spacing w:before="80" w:after="80"/>
                    <w:jc w:val="center"/>
                  </w:pPr>
                  <w:r>
                    <w:rPr>
                      <w:rFonts w:ascii="Arial" w:cs="Arial" w:eastAsia="Arial" w:hAnsi="Arial"/>
                      <w:b/>
                      <w:bCs/>
                      <w:i w:val="false"/>
                      <w:iCs w:val="false"/>
                      <w:color w:val="1A3C6E"/>
                      <w:sz w:val="20"/>
                      <w:szCs w:val="20"/>
                    </w:rPr>
                    <w:t xml:space="preserve">REQUEST A FLEET QUOTE  →</w:t>
                  </w:r>
                </w:p>
              </w:tc>
            </w:tr>
          </w:tbl>
          <w:p>
            <w:pPr>
              <w:spacing w:before="0" w:after="80"/>
              <w:jc w:val="left"/>
            </w:pPr>
            <w:r>
              <w:rPr>
                <w:rFonts w:ascii="Arial" w:cs="Arial" w:eastAsia="Arial" w:hAnsi="Arial"/>
                <w:b w:val="false"/>
                <w:bCs w:val="false"/>
                <w:i w:val="false"/>
                <w:iCs w:val="false"/>
                <w:color w:val="333333"/>
                <w:sz w:val="20"/>
                <w:szCs w:val="20"/>
              </w:rPr>
              <w:t xml:space="preserve"/>
            </w:r>
          </w:p>
          <w:p>
            <w:pPr>
              <w:spacing w:before="0" w:after="80"/>
              <w:jc w:val="center"/>
            </w:pPr>
            <w:r>
              <w:rPr>
                <w:rFonts w:ascii="Arial" w:cs="Arial" w:eastAsia="Arial" w:hAnsi="Arial"/>
                <w:b w:val="false"/>
                <w:bCs w:val="false"/>
                <w:i w:val="false"/>
                <w:iCs w:val="false"/>
                <w:color w:val="E8F0F8"/>
                <w:sz w:val="17"/>
                <w:szCs w:val="17"/>
              </w:rPr>
              <w:t xml:space="preserve">Or email: dispatch@heavytowpro.com</w:t>
            </w:r>
          </w:p>
        </w:tc>
      </w:tr>
    </w:tbl>
    <w:p>
      <w:pPr>
        <w:spacing w:before="0" w:after="80"/>
        <w:jc w:val="left"/>
      </w:pPr>
      <w:r>
        <w:rPr>
          <w:rFonts w:ascii="Arial" w:cs="Arial" w:eastAsia="Arial" w:hAnsi="Arial"/>
          <w:b w:val="false"/>
          <w:bCs w:val="false"/>
          <w:i w:val="false"/>
          <w:iCs w:val="false"/>
          <w:color w:val="333333"/>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5E9" w:val="clear"/>
            <w:tcMar>
              <w:top w:type="dxa" w:w="160"/>
              <w:left w:type="dxa" w:w="200"/>
              <w:bottom w:type="dxa" w:w="160"/>
              <w:right w:type="dxa" w:w="200"/>
            </w:tcMar>
            <w:vAlign w:val="top"/>
          </w:tcPr>
          <w:p>
            <w:pPr>
              <w:spacing w:before="40" w:after="60"/>
              <w:jc w:val="left"/>
            </w:pPr>
            <w:r>
              <w:rPr>
                <w:rFonts w:ascii="Arial" w:cs="Arial" w:eastAsia="Arial" w:hAnsi="Arial"/>
                <w:b/>
                <w:bCs/>
                <w:i w:val="false"/>
                <w:iCs w:val="false"/>
                <w:color w:val="2E7D32"/>
                <w:sz w:val="20"/>
                <w:szCs w:val="20"/>
              </w:rPr>
              <w:t xml:space="preserve">📊 BUYER PSYCHOLOGY (Phase 2 Insight):</w:t>
            </w:r>
          </w:p>
          <w:p>
            <w:pPr>
              <w:spacing w:before="0" w:after="40"/>
              <w:jc w:val="left"/>
            </w:pPr>
            <w:r>
              <w:rPr>
                <w:rFonts w:ascii="Arial" w:cs="Arial" w:eastAsia="Arial" w:hAnsi="Arial"/>
                <w:b w:val="false"/>
                <w:bCs w:val="false"/>
                <w:i w:val="false"/>
                <w:iCs w:val="false"/>
                <w:color w:val="333333"/>
                <w:sz w:val="19"/>
                <w:szCs w:val="19"/>
              </w:rPr>
              <w:t xml:space="preserve">C2 buyers have two distinct conversion moments: emergency dispatch (immediate, call-driven) and fleet procurement (planned, form-driven). Giving both equal visual weight captures both buyer modes. The email option for fleet inquiry is critical — procurement officers often cannot make calls during approvals processes.</w:t>
            </w:r>
          </w:p>
        </w:tc>
      </w:tr>
    </w:tbl>
    <w:p>
      <w:pPr>
        <w:pBdr>
          <w:bottom w:val="single" w:color="E87722" w:sz="6"/>
        </w:pBdr>
        <w:spacing w:before="160" w:after="160"/>
      </w:pPr>
    </w:p>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7722" w:val="clear"/>
            <w:tcMar>
              <w:top w:type="dxa" w:w="120"/>
              <w:left w:type="dxa" w:w="120"/>
              <w:bottom w:type="dxa" w:w="120"/>
              <w:right w:type="dxa" w:w="120"/>
            </w:tcMar>
            <w:vAlign w:val="top"/>
          </w:tcPr>
          <w:p>
            <w:pPr>
              <w:spacing w:before="60" w:after="60"/>
              <w:jc w:val="center"/>
            </w:pPr>
            <w:r>
              <w:rPr>
                <w:rFonts w:ascii="Arial" w:cs="Arial" w:eastAsia="Arial" w:hAnsi="Arial"/>
                <w:b/>
                <w:bCs/>
                <w:i w:val="false"/>
                <w:iCs w:val="false"/>
                <w:color w:val="FFFFFF"/>
                <w:sz w:val="22"/>
                <w:szCs w:val="22"/>
              </w:rPr>
              <w:t xml:space="preserve">SECTION 11 — COMMERCIAL RISK REVERSAL</w:t>
            </w:r>
          </w:p>
        </w:tc>
      </w:tr>
    </w:tbl>
    <w:p>
      <w:pPr>
        <w:spacing w:before="0" w:after="80"/>
        <w:jc w:val="left"/>
      </w:pPr>
      <w:r>
        <w:rPr>
          <w:rFonts w:ascii="Arial" w:cs="Arial" w:eastAsia="Arial" w:hAnsi="Arial"/>
          <w:b w:val="false"/>
          <w:bCs w:val="false"/>
          <w:i w:val="false"/>
          <w:iCs w:val="false"/>
          <w:color w:val="333333"/>
          <w:sz w:val="20"/>
          <w:szCs w:val="20"/>
        </w:rPr>
        <w:t xml:space="preserve"/>
      </w:r>
    </w:p>
    <w:p>
      <w:pPr>
        <w:spacing w:before="200" w:after="60"/>
        <w:jc w:val="left"/>
      </w:pPr>
      <w:r>
        <w:rPr>
          <w:rFonts w:ascii="Arial" w:cs="Arial" w:eastAsia="Arial" w:hAnsi="Arial"/>
          <w:b/>
          <w:bCs/>
          <w:i w:val="false"/>
          <w:iCs w:val="false"/>
          <w:color w:val="1A3C6E"/>
          <w:sz w:val="36"/>
          <w:szCs w:val="36"/>
        </w:rPr>
        <w:t xml:space="preserve">Our Commercial Promise</w:t>
      </w:r>
    </w:p>
    <w:p>
      <w:pPr>
        <w:spacing w:before="0" w:after="120"/>
        <w:jc w:val="left"/>
      </w:pPr>
      <w:r>
        <w:rPr>
          <w:rFonts w:ascii="Arial" w:cs="Arial" w:eastAsia="Arial" w:hAnsi="Arial"/>
          <w:b w:val="false"/>
          <w:bCs w:val="false"/>
          <w:i w:val="false"/>
          <w:iCs w:val="false"/>
          <w:color w:val="666666"/>
          <w:sz w:val="20"/>
          <w:szCs w:val="20"/>
        </w:rPr>
        <w:t xml:space="preserve">What we guarantee to every fleet customer and commercial operator.</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0F8" w:val="clear"/>
            <w:tcMar>
              <w:top w:type="dxa" w:w="160"/>
              <w:left w:type="dxa" w:w="200"/>
              <w:bottom w:type="dxa" w:w="160"/>
              <w:right w:type="dxa" w:w="200"/>
            </w:tcMar>
            <w:vAlign w:val="top"/>
          </w:tcPr>
          <w:p>
            <w:pPr>
              <w:spacing w:before="40" w:after="60"/>
              <w:jc w:val="left"/>
            </w:pPr>
            <w:r>
              <w:rPr>
                <w:rFonts w:ascii="Arial" w:cs="Arial" w:eastAsia="Arial" w:hAnsi="Arial"/>
                <w:b/>
                <w:bCs/>
                <w:i w:val="false"/>
                <w:iCs w:val="false"/>
                <w:color w:val="1A3C6E"/>
                <w:sz w:val="20"/>
                <w:szCs w:val="20"/>
              </w:rPr>
              <w:t xml:space="preserve">🎨 DESIGN / DEVELOPER NOTE:</w:t>
            </w:r>
          </w:p>
          <w:p>
            <w:pPr>
              <w:spacing w:before="0" w:after="40"/>
              <w:jc w:val="left"/>
            </w:pPr>
            <w:r>
              <w:rPr>
                <w:rFonts w:ascii="Arial" w:cs="Arial" w:eastAsia="Arial" w:hAnsi="Arial"/>
                <w:b w:val="false"/>
                <w:bCs w:val="false"/>
                <w:i w:val="false"/>
                <w:iCs w:val="false"/>
                <w:color w:val="333333"/>
                <w:sz w:val="19"/>
                <w:szCs w:val="19"/>
              </w:rPr>
              <w:t xml:space="preserve">4 guarantee cards. B2B-focused guarantees are about liability, professionalism, and predictability — not just customer service. Include insurance/COI mention. Fleet managers must justify vendor selection to their superiors — these guarantees give them the language.</w:t>
            </w:r>
          </w:p>
        </w:tc>
      </w:tr>
    </w:tbl>
    <w:p>
      <w:pPr>
        <w:spacing w:before="0" w:after="80"/>
        <w:jc w:val="left"/>
      </w:pPr>
      <w:r>
        <w:rPr>
          <w:rFonts w:ascii="Arial" w:cs="Arial" w:eastAsia="Arial" w:hAnsi="Arial"/>
          <w:b w:val="false"/>
          <w:bCs w:val="false"/>
          <w:i w:val="false"/>
          <w:iCs w:val="false"/>
          <w:color w:val="333333"/>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560"/>
        <w:gridCol w:w="4800"/>
      </w:tblGrid>
      <w:tr>
        <w:tc>
          <w:tcPr>
            <w:tcW w:type="dxa" w:w="4560"/>
            <w:tcBorders>
              <w:top w:val="none" w:color="FFFFFF" w:sz="0"/>
              <w:left w:val="none" w:color="FFFFFF" w:sz="0"/>
              <w:bottom w:val="none" w:color="FFFFFF" w:sz="0"/>
              <w:right w:val="none" w:color="FFFFFF" w:sz="0"/>
            </w:tcBorders>
            <w:shd w:fill="E8F0F8" w:val="clear"/>
            <w:tcMar>
              <w:top w:type="dxa" w:w="160"/>
              <w:left w:type="dxa" w:w="180"/>
              <w:bottom w:type="dxa" w:w="160"/>
              <w:right w:type="dxa" w:w="180"/>
            </w:tcMar>
            <w:vAlign w:val="top"/>
          </w:tcPr>
          <w:p>
            <w:pPr>
              <w:spacing w:before="60" w:after="60"/>
              <w:jc w:val="left"/>
            </w:pPr>
            <w:r>
              <w:rPr>
                <w:rFonts w:ascii="Arial" w:cs="Arial" w:eastAsia="Arial" w:hAnsi="Arial"/>
                <w:b/>
                <w:bCs/>
                <w:i w:val="false"/>
                <w:iCs w:val="false"/>
                <w:color w:val="1A3C6E"/>
                <w:sz w:val="22"/>
                <w:szCs w:val="22"/>
              </w:rPr>
              <w:t xml:space="preserve">🛡 Right Equipment. First Dispatch.</w:t>
            </w:r>
          </w:p>
          <w:p>
            <w:pPr>
              <w:spacing w:before="0" w:after="80"/>
              <w:jc w:val="left"/>
            </w:pPr>
            <w:r>
              <w:rPr>
                <w:rFonts w:ascii="Arial" w:cs="Arial" w:eastAsia="Arial" w:hAnsi="Arial"/>
                <w:b w:val="false"/>
                <w:bCs w:val="false"/>
                <w:i w:val="false"/>
                <w:iCs w:val="false"/>
                <w:color w:val="333333"/>
                <w:sz w:val="19"/>
                <w:szCs w:val="19"/>
              </w:rPr>
              <w:t xml:space="preserve">We assess your vehicle or equipment correctly on the first call and dispatch the right unit. No light-duty trucks attempting heavy-duty work. If we can't handle your specific situation, we tell you immediately — and refer you to someone who can.</w:t>
            </w:r>
          </w:p>
        </w:tc>
        <w:tc>
          <w:tcPr>
            <w:tcW w:type="dxa" w:w="4560"/>
            <w:tcBorders>
              <w:top w:val="none" w:color="FFFFFF" w:sz="0"/>
              <w:left w:val="none" w:color="FFFFFF" w:sz="0"/>
              <w:bottom w:val="none" w:color="FFFFFF" w:sz="0"/>
              <w:right w:val="none" w:color="FFFFFF" w:sz="0"/>
            </w:tcBorders>
            <w:shd w:fill="E8F0F8" w:val="clear"/>
            <w:tcMar>
              <w:top w:type="dxa" w:w="160"/>
              <w:left w:type="dxa" w:w="180"/>
              <w:bottom w:type="dxa" w:w="160"/>
              <w:right w:type="dxa" w:w="180"/>
            </w:tcMar>
            <w:vAlign w:val="top"/>
          </w:tcPr>
          <w:p>
            <w:pPr>
              <w:spacing w:before="60" w:after="60"/>
              <w:jc w:val="left"/>
            </w:pPr>
            <w:r>
              <w:rPr>
                <w:rFonts w:ascii="Arial" w:cs="Arial" w:eastAsia="Arial" w:hAnsi="Arial"/>
                <w:b/>
                <w:bCs/>
                <w:i w:val="false"/>
                <w:iCs w:val="false"/>
                <w:color w:val="1A3C6E"/>
                <w:sz w:val="22"/>
                <w:szCs w:val="22"/>
              </w:rPr>
              <w:t xml:space="preserve">🛡 Full Cargo Liability Insurance</w:t>
            </w:r>
          </w:p>
          <w:p>
            <w:pPr>
              <w:spacing w:before="0" w:after="80"/>
              <w:jc w:val="left"/>
            </w:pPr>
            <w:r>
              <w:rPr>
                <w:rFonts w:ascii="Arial" w:cs="Arial" w:eastAsia="Arial" w:hAnsi="Arial"/>
                <w:b w:val="false"/>
                <w:bCs w:val="false"/>
                <w:i w:val="false"/>
                <w:iCs w:val="false"/>
                <w:color w:val="333333"/>
                <w:sz w:val="19"/>
                <w:szCs w:val="19"/>
              </w:rPr>
              <w:t xml:space="preserve">We carry comprehensive cargo liability insurance for all commercial tows. COI available on request for vendor onboarding. Your equipment is protected — and your procurement paperwork is covered.</w:t>
            </w:r>
          </w:p>
        </w:tc>
      </w:tr>
    </w:tbl>
    <w:p>
      <w:pPr>
        <w:spacing w:before="0" w:after="80"/>
        <w:jc w:val="left"/>
      </w:pPr>
      <w:r>
        <w:rPr>
          <w:rFonts w:ascii="Arial" w:cs="Arial" w:eastAsia="Arial" w:hAnsi="Arial"/>
          <w:b w:val="false"/>
          <w:bCs w:val="false"/>
          <w:i w:val="false"/>
          <w:iCs w:val="false"/>
          <w:color w:val="333333"/>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560"/>
        <w:gridCol w:w="4800"/>
      </w:tblGrid>
      <w:tr>
        <w:tc>
          <w:tcPr>
            <w:tcW w:type="dxa" w:w="4560"/>
            <w:tcBorders>
              <w:top w:val="none" w:color="FFFFFF" w:sz="0"/>
              <w:left w:val="none" w:color="FFFFFF" w:sz="0"/>
              <w:bottom w:val="none" w:color="FFFFFF" w:sz="0"/>
              <w:right w:val="none" w:color="FFFFFF" w:sz="0"/>
            </w:tcBorders>
            <w:shd w:fill="E8F0F8" w:val="clear"/>
            <w:tcMar>
              <w:top w:type="dxa" w:w="160"/>
              <w:left w:type="dxa" w:w="180"/>
              <w:bottom w:type="dxa" w:w="160"/>
              <w:right w:type="dxa" w:w="180"/>
            </w:tcMar>
            <w:vAlign w:val="top"/>
          </w:tcPr>
          <w:p>
            <w:pPr>
              <w:spacing w:before="60" w:after="60"/>
              <w:jc w:val="left"/>
            </w:pPr>
            <w:r>
              <w:rPr>
                <w:rFonts w:ascii="Arial" w:cs="Arial" w:eastAsia="Arial" w:hAnsi="Arial"/>
                <w:b/>
                <w:bCs/>
                <w:i w:val="false"/>
                <w:iCs w:val="false"/>
                <w:color w:val="1A3C6E"/>
                <w:sz w:val="22"/>
                <w:szCs w:val="22"/>
              </w:rPr>
              <w:t xml:space="preserve">🛡 DOT-Compliant Operations, Every Run</w:t>
            </w:r>
          </w:p>
          <w:p>
            <w:pPr>
              <w:spacing w:before="0" w:after="80"/>
              <w:jc w:val="left"/>
            </w:pPr>
            <w:r>
              <w:rPr>
                <w:rFonts w:ascii="Arial" w:cs="Arial" w:eastAsia="Arial" w:hAnsi="Arial"/>
                <w:b w:val="false"/>
                <w:bCs w:val="false"/>
                <w:i w:val="false"/>
                <w:iCs w:val="false"/>
                <w:color w:val="333333"/>
                <w:sz w:val="19"/>
                <w:szCs w:val="19"/>
              </w:rPr>
              <w:t xml:space="preserve">Every tow is executed under full DOT compliance — driver logs, tie-down standards, weight limits, safety protocols. No shortcuts. No liability exposure for your company because of our non-compliance.</w:t>
            </w:r>
          </w:p>
        </w:tc>
        <w:tc>
          <w:tcPr>
            <w:tcW w:type="dxa" w:w="4560"/>
            <w:tcBorders>
              <w:top w:val="none" w:color="FFFFFF" w:sz="0"/>
              <w:left w:val="none" w:color="FFFFFF" w:sz="0"/>
              <w:bottom w:val="none" w:color="FFFFFF" w:sz="0"/>
              <w:right w:val="none" w:color="FFFFFF" w:sz="0"/>
            </w:tcBorders>
            <w:shd w:fill="E8F0F8" w:val="clear"/>
            <w:tcMar>
              <w:top w:type="dxa" w:w="160"/>
              <w:left w:type="dxa" w:w="180"/>
              <w:bottom w:type="dxa" w:w="160"/>
              <w:right w:type="dxa" w:w="180"/>
            </w:tcMar>
            <w:vAlign w:val="top"/>
          </w:tcPr>
          <w:p>
            <w:pPr>
              <w:spacing w:before="60" w:after="60"/>
              <w:jc w:val="left"/>
            </w:pPr>
            <w:r>
              <w:rPr>
                <w:rFonts w:ascii="Arial" w:cs="Arial" w:eastAsia="Arial" w:hAnsi="Arial"/>
                <w:b/>
                <w:bCs/>
                <w:i w:val="false"/>
                <w:iCs w:val="false"/>
                <w:color w:val="1A3C6E"/>
                <w:sz w:val="22"/>
                <w:szCs w:val="22"/>
              </w:rPr>
              <w:t xml:space="preserve">🛡 SLA Accountability for Fleet Accounts</w:t>
            </w:r>
          </w:p>
          <w:p>
            <w:pPr>
              <w:spacing w:before="0" w:after="80"/>
              <w:jc w:val="left"/>
            </w:pPr>
            <w:r>
              <w:rPr>
                <w:rFonts w:ascii="Arial" w:cs="Arial" w:eastAsia="Arial" w:hAnsi="Arial"/>
                <w:b w:val="false"/>
                <w:bCs w:val="false"/>
                <w:i w:val="false"/>
                <w:iCs w:val="false"/>
                <w:color w:val="333333"/>
                <w:sz w:val="19"/>
                <w:szCs w:val="19"/>
              </w:rPr>
              <w:t xml:space="preserve">Fleet contract holders receive contractual response time commitments. If we miss an SLA, we acknowledge it, document it, and credit your account. We stand behind our service levels in writing.</w:t>
            </w:r>
          </w:p>
        </w:tc>
      </w:tr>
    </w:tbl>
    <w:p>
      <w:pPr>
        <w:spacing w:before="0" w:after="80"/>
        <w:jc w:val="left"/>
      </w:pPr>
      <w:r>
        <w:rPr>
          <w:rFonts w:ascii="Arial" w:cs="Arial" w:eastAsia="Arial" w:hAnsi="Arial"/>
          <w:b w:val="false"/>
          <w:bCs w:val="false"/>
          <w:i w:val="false"/>
          <w:iCs w:val="false"/>
          <w:color w:val="333333"/>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5E9" w:val="clear"/>
            <w:tcMar>
              <w:top w:type="dxa" w:w="160"/>
              <w:left w:type="dxa" w:w="200"/>
              <w:bottom w:type="dxa" w:w="160"/>
              <w:right w:type="dxa" w:w="200"/>
            </w:tcMar>
            <w:vAlign w:val="top"/>
          </w:tcPr>
          <w:p>
            <w:pPr>
              <w:spacing w:before="40" w:after="60"/>
              <w:jc w:val="left"/>
            </w:pPr>
            <w:r>
              <w:rPr>
                <w:rFonts w:ascii="Arial" w:cs="Arial" w:eastAsia="Arial" w:hAnsi="Arial"/>
                <w:b/>
                <w:bCs/>
                <w:i w:val="false"/>
                <w:iCs w:val="false"/>
                <w:color w:val="2E7D32"/>
                <w:sz w:val="20"/>
                <w:szCs w:val="20"/>
              </w:rPr>
              <w:t xml:space="preserve">📊 BUYER PSYCHOLOGY (Phase 2 Insight):</w:t>
            </w:r>
          </w:p>
          <w:p>
            <w:pPr>
              <w:spacing w:before="0" w:after="40"/>
              <w:jc w:val="left"/>
            </w:pPr>
            <w:r>
              <w:rPr>
                <w:rFonts w:ascii="Arial" w:cs="Arial" w:eastAsia="Arial" w:hAnsi="Arial"/>
                <w:b w:val="false"/>
                <w:bCs w:val="false"/>
                <w:i w:val="false"/>
                <w:iCs w:val="false"/>
                <w:color w:val="333333"/>
                <w:sz w:val="19"/>
                <w:szCs w:val="19"/>
              </w:rPr>
              <w:t xml:space="preserve">B2B risk reversal is about professional accountability, not personal reassurance. 'COI available for vendor onboarding' removes a procurement blocker. 'DOT compliance' removes liability exposure fear. 'SLA accountability in writing' removes the risk of recommending a vendor who doesn't perform. Each promise speaks to a specific B2B persona fear from Phase 2.</w:t>
            </w:r>
          </w:p>
        </w:tc>
      </w:tr>
    </w:tbl>
    <w:p>
      <w:pPr>
        <w:pBdr>
          <w:bottom w:val="single" w:color="E87722" w:sz="6"/>
        </w:pBdr>
        <w:spacing w:before="160" w:after="160"/>
      </w:pPr>
    </w:p>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7722" w:val="clear"/>
            <w:tcMar>
              <w:top w:type="dxa" w:w="120"/>
              <w:left w:type="dxa" w:w="120"/>
              <w:bottom w:type="dxa" w:w="120"/>
              <w:right w:type="dxa" w:w="120"/>
            </w:tcMar>
            <w:vAlign w:val="top"/>
          </w:tcPr>
          <w:p>
            <w:pPr>
              <w:spacing w:before="60" w:after="60"/>
              <w:jc w:val="center"/>
            </w:pPr>
            <w:r>
              <w:rPr>
                <w:rFonts w:ascii="Arial" w:cs="Arial" w:eastAsia="Arial" w:hAnsi="Arial"/>
                <w:b/>
                <w:bCs/>
                <w:i w:val="false"/>
                <w:iCs w:val="false"/>
                <w:color w:val="FFFFFF"/>
                <w:sz w:val="22"/>
                <w:szCs w:val="22"/>
              </w:rPr>
              <w:t xml:space="preserve">SECTION 12 — UX SPECIFICATION &amp; DEVELOPER NOTES</w:t>
            </w:r>
          </w:p>
        </w:tc>
      </w:tr>
    </w:tbl>
    <w:p>
      <w:pPr>
        <w:spacing w:before="0" w:after="80"/>
        <w:jc w:val="left"/>
      </w:pPr>
      <w:r>
        <w:rPr>
          <w:rFonts w:ascii="Arial" w:cs="Arial" w:eastAsia="Arial" w:hAnsi="Arial"/>
          <w:b w:val="false"/>
          <w:bCs w:val="false"/>
          <w:i w:val="false"/>
          <w:iCs w:val="false"/>
          <w:color w:val="333333"/>
          <w:sz w:val="20"/>
          <w:szCs w:val="20"/>
        </w:rPr>
        <w:t xml:space="preserve"/>
      </w:r>
    </w:p>
    <w:p>
      <w:pPr>
        <w:spacing w:before="200" w:after="60"/>
        <w:jc w:val="left"/>
      </w:pPr>
      <w:r>
        <w:rPr>
          <w:rFonts w:ascii="Arial" w:cs="Arial" w:eastAsia="Arial" w:hAnsi="Arial"/>
          <w:b/>
          <w:bCs/>
          <w:i w:val="false"/>
          <w:iCs w:val="false"/>
          <w:color w:val="1A3C6E"/>
          <w:sz w:val="36"/>
          <w:szCs w:val="36"/>
        </w:rPr>
        <w:t xml:space="preserve">Page Technical Specification</w:t>
      </w:r>
    </w:p>
    <w:p>
      <w:pPr>
        <w:spacing w:before="0" w:after="120"/>
        <w:jc w:val="left"/>
      </w:pPr>
      <w:r>
        <w:rPr>
          <w:rFonts w:ascii="Arial" w:cs="Arial" w:eastAsia="Arial" w:hAnsi="Arial"/>
          <w:b w:val="false"/>
          <w:bCs w:val="false"/>
          <w:i w:val="false"/>
          <w:iCs w:val="false"/>
          <w:color w:val="666666"/>
          <w:sz w:val="20"/>
          <w:szCs w:val="20"/>
        </w:rPr>
        <w:t xml:space="preserve">Implementation notes for the web developer or Cursor AI build.</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0F8" w:val="clear"/>
            <w:tcMar>
              <w:top w:type="dxa" w:w="160"/>
              <w:left w:type="dxa" w:w="200"/>
              <w:bottom w:type="dxa" w:w="160"/>
              <w:right w:type="dxa" w:w="200"/>
            </w:tcMar>
            <w:vAlign w:val="top"/>
          </w:tcPr>
          <w:p>
            <w:pPr>
              <w:spacing w:before="40" w:after="60"/>
              <w:jc w:val="left"/>
            </w:pPr>
            <w:r>
              <w:rPr>
                <w:rFonts w:ascii="Arial" w:cs="Arial" w:eastAsia="Arial" w:hAnsi="Arial"/>
                <w:b/>
                <w:bCs/>
                <w:i w:val="false"/>
                <w:iCs w:val="false"/>
                <w:color w:val="1A3C6E"/>
                <w:sz w:val="20"/>
                <w:szCs w:val="20"/>
              </w:rPr>
              <w:t xml:space="preserve">🎨 DESIGN / DEVELOPER NOTE:</w:t>
            </w:r>
          </w:p>
          <w:p>
            <w:pPr>
              <w:spacing w:before="0" w:after="40"/>
              <w:jc w:val="left"/>
            </w:pPr>
            <w:r>
              <w:rPr>
                <w:rFonts w:ascii="Arial" w:cs="Arial" w:eastAsia="Arial" w:hAnsi="Arial"/>
                <w:b w:val="false"/>
                <w:bCs w:val="false"/>
                <w:i w:val="false"/>
                <w:iCs w:val="false"/>
                <w:color w:val="333333"/>
                <w:sz w:val="19"/>
                <w:szCs w:val="19"/>
              </w:rPr>
              <w:t xml:space="preserve">These are not visible to users — they are implementation directives for the web developer or Cursor AI prompt.</w:t>
            </w:r>
          </w:p>
        </w:tc>
      </w:tr>
    </w:tbl>
    <w:p>
      <w:pPr>
        <w:spacing w:before="0" w:after="80"/>
        <w:jc w:val="left"/>
      </w:pPr>
      <w:r>
        <w:rPr>
          <w:rFonts w:ascii="Arial" w:cs="Arial" w:eastAsia="Arial" w:hAnsi="Arial"/>
          <w:b w:val="false"/>
          <w:bCs w:val="false"/>
          <w:i w:val="false"/>
          <w:iCs w:val="false"/>
          <w:color w:val="333333"/>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C6E" w:val="clear"/>
            <w:tcMar>
              <w:top w:type="dxa" w:w="160"/>
              <w:left w:type="dxa" w:w="200"/>
              <w:bottom w:type="dxa" w:w="160"/>
              <w:right w:type="dxa" w:w="200"/>
            </w:tcMar>
            <w:vAlign w:val="top"/>
          </w:tcPr>
          <w:p>
            <w:pPr>
              <w:spacing w:before="40" w:after="60"/>
              <w:jc w:val="left"/>
            </w:pPr>
            <w:r>
              <w:rPr>
                <w:rFonts w:ascii="Arial" w:cs="Arial" w:eastAsia="Arial" w:hAnsi="Arial"/>
                <w:b/>
                <w:bCs/>
                <w:i w:val="false"/>
                <w:iCs w:val="false"/>
                <w:color w:val="FFFFFF"/>
                <w:sz w:val="20"/>
                <w:szCs w:val="20"/>
              </w:rPr>
              <w:t xml:space="preserve">CONVERSION ELEMENTS SPECIFICATION</w:t>
            </w:r>
          </w:p>
          <w:p>
            <w:pPr>
              <w:spacing w:before="0" w:after="40"/>
              <w:jc w:val="left"/>
            </w:pPr>
            <w:r>
              <w:rPr>
                <w:rFonts w:ascii="Arial" w:cs="Arial" w:eastAsia="Arial" w:hAnsi="Arial"/>
                <w:b w:val="false"/>
                <w:bCs w:val="false"/>
                <w:i w:val="false"/>
                <w:iCs w:val="false"/>
                <w:color w:val="333333"/>
                <w:sz w:val="19"/>
                <w:szCs w:val="19"/>
              </w:rPr>
              <w:t xml:space="preserve">Sticky Call Bar: Orange (#E87722) bottom bar on mobile — 'TAP TO CALL — 650-881-2400' (tel: link)</w:t>
            </w:r>
          </w:p>
          <w:p>
            <w:pPr>
              <w:spacing w:before="0" w:after="40"/>
              <w:jc w:val="left"/>
            </w:pPr>
            <w:r>
              <w:rPr>
                <w:rFonts w:ascii="Arial" w:cs="Arial" w:eastAsia="Arial" w:hAnsi="Arial"/>
                <w:b w:val="false"/>
                <w:bCs w:val="false"/>
                <w:i w:val="false"/>
                <w:iCs w:val="false"/>
                <w:color w:val="333333"/>
                <w:sz w:val="19"/>
                <w:szCs w:val="19"/>
              </w:rPr>
              <w:t xml:space="preserve">Fleet Quote Form: Floating form widget or dedicated form section — fields: Company Name, Contact, Number of Vehicles, Service Needed, Message</w:t>
            </w:r>
          </w:p>
          <w:p>
            <w:pPr>
              <w:spacing w:before="0" w:after="40"/>
              <w:jc w:val="left"/>
            </w:pPr>
            <w:r>
              <w:rPr>
                <w:rFonts w:ascii="Arial" w:cs="Arial" w:eastAsia="Arial" w:hAnsi="Arial"/>
                <w:b w:val="false"/>
                <w:bCs w:val="false"/>
                <w:i w:val="false"/>
                <w:iCs w:val="false"/>
                <w:color w:val="333333"/>
                <w:sz w:val="19"/>
                <w:szCs w:val="19"/>
              </w:rPr>
              <w:t xml:space="preserve">Phone Numbers Rendered as Text: Must be selectable/clickable on mobile — not images</w:t>
            </w:r>
          </w:p>
          <w:p>
            <w:pPr>
              <w:spacing w:before="0" w:after="40"/>
              <w:jc w:val="left"/>
            </w:pPr>
            <w:r>
              <w:rPr>
                <w:rFonts w:ascii="Arial" w:cs="Arial" w:eastAsia="Arial" w:hAnsi="Arial"/>
                <w:b w:val="false"/>
                <w:bCs w:val="false"/>
                <w:i w:val="false"/>
                <w:iCs w:val="false"/>
                <w:color w:val="333333"/>
                <w:sz w:val="19"/>
                <w:szCs w:val="19"/>
              </w:rPr>
              <w:t xml:space="preserve">Dual Header CTAs on Desktop: CALL NOW (orange button) + FLEET QUOTE (navy outlined button)</w:t>
            </w:r>
          </w:p>
          <w:p>
            <w:pPr>
              <w:spacing w:before="0" w:after="40"/>
              <w:jc w:val="left"/>
            </w:pPr>
            <w:r>
              <w:rPr>
                <w:rFonts w:ascii="Arial" w:cs="Arial" w:eastAsia="Arial" w:hAnsi="Arial"/>
                <w:b w:val="false"/>
                <w:bCs w:val="false"/>
                <w:i w:val="false"/>
                <w:iCs w:val="false"/>
                <w:color w:val="333333"/>
                <w:sz w:val="19"/>
                <w:szCs w:val="19"/>
              </w:rPr>
              <w:t xml:space="preserve">Above-Fold Priority: Hero, Stats Bar, and Dual CTA must load in first viewport — no scroll required</w:t>
            </w:r>
          </w:p>
        </w:tc>
      </w:tr>
    </w:tbl>
    <w:p>
      <w:pPr>
        <w:spacing w:before="0" w:after="80"/>
        <w:jc w:val="left"/>
      </w:pPr>
      <w:r>
        <w:rPr>
          <w:rFonts w:ascii="Arial" w:cs="Arial" w:eastAsia="Arial" w:hAnsi="Arial"/>
          <w:b w:val="false"/>
          <w:bCs w:val="false"/>
          <w:i w:val="false"/>
          <w:iCs w:val="false"/>
          <w:color w:val="333333"/>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0F8" w:val="clear"/>
            <w:tcMar>
              <w:top w:type="dxa" w:w="160"/>
              <w:left w:type="dxa" w:w="200"/>
              <w:bottom w:type="dxa" w:w="160"/>
              <w:right w:type="dxa" w:w="200"/>
            </w:tcMar>
            <w:vAlign w:val="top"/>
          </w:tcPr>
          <w:p>
            <w:pPr>
              <w:spacing w:before="40" w:after="60"/>
              <w:jc w:val="left"/>
            </w:pPr>
            <w:r>
              <w:rPr>
                <w:rFonts w:ascii="Arial" w:cs="Arial" w:eastAsia="Arial" w:hAnsi="Arial"/>
                <w:b/>
                <w:bCs/>
                <w:i w:val="false"/>
                <w:iCs w:val="false"/>
                <w:color w:val="1A3C6E"/>
                <w:sz w:val="20"/>
                <w:szCs w:val="20"/>
              </w:rPr>
              <w:t xml:space="preserve">SEO &amp; PERFORMANCE SPECIFICATION</w:t>
            </w:r>
          </w:p>
          <w:p>
            <w:pPr>
              <w:spacing w:before="0" w:after="40"/>
              <w:jc w:val="left"/>
            </w:pPr>
            <w:r>
              <w:rPr>
                <w:rFonts w:ascii="Arial" w:cs="Arial" w:eastAsia="Arial" w:hAnsi="Arial"/>
                <w:b w:val="false"/>
                <w:bCs w:val="false"/>
                <w:i w:val="false"/>
                <w:iCs w:val="false"/>
                <w:color w:val="333333"/>
                <w:sz w:val="19"/>
                <w:szCs w:val="19"/>
              </w:rPr>
              <w:t xml:space="preserve">Schema Markup: LocalBusiness + Service + FAQPage schema for Google rich results</w:t>
            </w:r>
          </w:p>
          <w:p>
            <w:pPr>
              <w:spacing w:before="0" w:after="40"/>
              <w:jc w:val="left"/>
            </w:pPr>
            <w:r>
              <w:rPr>
                <w:rFonts w:ascii="Arial" w:cs="Arial" w:eastAsia="Arial" w:hAnsi="Arial"/>
                <w:b w:val="false"/>
                <w:bCs w:val="false"/>
                <w:i w:val="false"/>
                <w:iCs w:val="false"/>
                <w:color w:val="333333"/>
                <w:sz w:val="19"/>
                <w:szCs w:val="19"/>
              </w:rPr>
              <w:t xml:space="preserve">Target Keywords in H1/H2: 'heavy duty towing Bay Area', 'semi truck towing', 'rotator recovery', 'fleet towing contract'</w:t>
            </w:r>
          </w:p>
          <w:p>
            <w:pPr>
              <w:spacing w:before="0" w:after="40"/>
              <w:jc w:val="left"/>
            </w:pPr>
            <w:r>
              <w:rPr>
                <w:rFonts w:ascii="Arial" w:cs="Arial" w:eastAsia="Arial" w:hAnsi="Arial"/>
                <w:b w:val="false"/>
                <w:bCs w:val="false"/>
                <w:i w:val="false"/>
                <w:iCs w:val="false"/>
                <w:color w:val="333333"/>
                <w:sz w:val="19"/>
                <w:szCs w:val="19"/>
              </w:rPr>
              <w:t xml:space="preserve">Page Speed Target: Under 2 seconds on mobile — directly impacts Google Ads Quality Score</w:t>
            </w:r>
          </w:p>
          <w:p>
            <w:pPr>
              <w:spacing w:before="0" w:after="40"/>
              <w:jc w:val="left"/>
            </w:pPr>
            <w:r>
              <w:rPr>
                <w:rFonts w:ascii="Arial" w:cs="Arial" w:eastAsia="Arial" w:hAnsi="Arial"/>
                <w:b w:val="false"/>
                <w:bCs w:val="false"/>
                <w:i w:val="false"/>
                <w:iCs w:val="false"/>
                <w:color w:val="333333"/>
                <w:sz w:val="19"/>
                <w:szCs w:val="19"/>
              </w:rPr>
              <w:t xml:space="preserve">Alt Text on All Images: Include keywords (e.g., 'rotator recovery Bay Area', 'heavy duty towing semi truck')</w:t>
            </w:r>
          </w:p>
          <w:p>
            <w:pPr>
              <w:spacing w:before="0" w:after="40"/>
              <w:jc w:val="left"/>
            </w:pPr>
            <w:r>
              <w:rPr>
                <w:rFonts w:ascii="Arial" w:cs="Arial" w:eastAsia="Arial" w:hAnsi="Arial"/>
                <w:b w:val="false"/>
                <w:bCs w:val="false"/>
                <w:i w:val="false"/>
                <w:iCs w:val="false"/>
                <w:color w:val="333333"/>
                <w:sz w:val="19"/>
                <w:szCs w:val="19"/>
              </w:rPr>
              <w:t xml:space="preserve">Google Ads Conversion Tracking: Install on phone number clicks, form submissions, and call button taps</w:t>
            </w:r>
          </w:p>
          <w:p>
            <w:pPr>
              <w:spacing w:before="0" w:after="40"/>
              <w:jc w:val="left"/>
            </w:pPr>
            <w:r>
              <w:rPr>
                <w:rFonts w:ascii="Arial" w:cs="Arial" w:eastAsia="Arial" w:hAnsi="Arial"/>
                <w:b w:val="false"/>
                <w:bCs w:val="false"/>
                <w:i w:val="false"/>
                <w:iCs w:val="false"/>
                <w:color w:val="333333"/>
                <w:sz w:val="19"/>
                <w:szCs w:val="19"/>
              </w:rPr>
              <w:t xml:space="preserve">A/B Test: Test 'Fleet Quote' form vs. 'Schedule a Consultation' as secondary CTA label</w:t>
            </w:r>
          </w:p>
        </w:tc>
      </w:tr>
    </w:tbl>
    <w:p>
      <w:pPr>
        <w:spacing w:before="0" w:after="80"/>
        <w:jc w:val="left"/>
      </w:pPr>
      <w:r>
        <w:rPr>
          <w:rFonts w:ascii="Arial" w:cs="Arial" w:eastAsia="Arial" w:hAnsi="Arial"/>
          <w:b w:val="false"/>
          <w:bCs w:val="false"/>
          <w:i w:val="false"/>
          <w:iCs w:val="false"/>
          <w:color w:val="333333"/>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5E9" w:val="clear"/>
            <w:tcMar>
              <w:top w:type="dxa" w:w="160"/>
              <w:left w:type="dxa" w:w="200"/>
              <w:bottom w:type="dxa" w:w="160"/>
              <w:right w:type="dxa" w:w="200"/>
            </w:tcMar>
            <w:vAlign w:val="top"/>
          </w:tcPr>
          <w:p>
            <w:pPr>
              <w:spacing w:before="40" w:after="60"/>
              <w:jc w:val="left"/>
            </w:pPr>
            <w:r>
              <w:rPr>
                <w:rFonts w:ascii="Arial" w:cs="Arial" w:eastAsia="Arial" w:hAnsi="Arial"/>
                <w:b/>
                <w:bCs/>
                <w:i w:val="false"/>
                <w:iCs w:val="false"/>
                <w:color w:val="2E7D32"/>
                <w:sz w:val="20"/>
                <w:szCs w:val="20"/>
              </w:rPr>
              <w:t xml:space="preserve">CAMPAIGN 2 — UNIQUE PAGE REQUIREMENTS vs. CAMPAIGN 1</w:t>
            </w:r>
          </w:p>
          <w:p>
            <w:pPr>
              <w:spacing w:before="0" w:after="40"/>
              <w:jc w:val="left"/>
            </w:pPr>
            <w:r>
              <w:rPr>
                <w:rFonts w:ascii="Arial" w:cs="Arial" w:eastAsia="Arial" w:hAnsi="Arial"/>
                <w:b w:val="false"/>
                <w:bCs w:val="false"/>
                <w:i w:val="false"/>
                <w:iCs w:val="false"/>
                <w:color w:val="333333"/>
                <w:sz w:val="19"/>
                <w:szCs w:val="19"/>
              </w:rPr>
              <w:t xml:space="preserve">Fleet Quote Form: Required on C2 page — not needed on C1 (C1 is call-only conversion)</w:t>
            </w:r>
          </w:p>
          <w:p>
            <w:pPr>
              <w:spacing w:before="0" w:after="40"/>
              <w:jc w:val="left"/>
            </w:pPr>
            <w:r>
              <w:rPr>
                <w:rFonts w:ascii="Arial" w:cs="Arial" w:eastAsia="Arial" w:hAnsi="Arial"/>
                <w:b w:val="false"/>
                <w:bCs w:val="false"/>
                <w:i w:val="false"/>
                <w:iCs w:val="false"/>
                <w:color w:val="333333"/>
                <w:sz w:val="19"/>
                <w:szCs w:val="19"/>
              </w:rPr>
              <w:t xml:space="preserve">Certification Section: Required on C2 — B2B buyers verify credentials; C1 buyers trust star ratings</w:t>
            </w:r>
          </w:p>
          <w:p>
            <w:pPr>
              <w:spacing w:before="0" w:after="40"/>
              <w:jc w:val="left"/>
            </w:pPr>
            <w:r>
              <w:rPr>
                <w:rFonts w:ascii="Arial" w:cs="Arial" w:eastAsia="Arial" w:hAnsi="Arial"/>
                <w:b w:val="false"/>
                <w:bCs w:val="false"/>
                <w:i w:val="false"/>
                <w:iCs w:val="false"/>
                <w:color w:val="333333"/>
                <w:sz w:val="19"/>
                <w:szCs w:val="19"/>
              </w:rPr>
              <w:t xml:space="preserve">Weight/Capability Specs: Must appear above fold on C2 — C1 emphasizes speed instead</w:t>
            </w:r>
          </w:p>
          <w:p>
            <w:pPr>
              <w:spacing w:before="0" w:after="40"/>
              <w:jc w:val="left"/>
            </w:pPr>
            <w:r>
              <w:rPr>
                <w:rFonts w:ascii="Arial" w:cs="Arial" w:eastAsia="Arial" w:hAnsi="Arial"/>
                <w:b w:val="false"/>
                <w:bCs w:val="false"/>
                <w:i w:val="false"/>
                <w:iCs w:val="false"/>
                <w:color w:val="333333"/>
                <w:sz w:val="19"/>
                <w:szCs w:val="19"/>
              </w:rPr>
              <w:t xml:space="preserve">Dual CTA Throughout: Every CTA zone on C2 must show both CALL + FLEET QUOTE options</w:t>
            </w:r>
          </w:p>
          <w:p>
            <w:pPr>
              <w:spacing w:before="0" w:after="40"/>
              <w:jc w:val="left"/>
            </w:pPr>
            <w:r>
              <w:rPr>
                <w:rFonts w:ascii="Arial" w:cs="Arial" w:eastAsia="Arial" w:hAnsi="Arial"/>
                <w:b w:val="false"/>
                <w:bCs w:val="false"/>
                <w:i w:val="false"/>
                <w:iCs w:val="false"/>
                <w:color w:val="333333"/>
                <w:sz w:val="19"/>
                <w:szCs w:val="19"/>
              </w:rPr>
              <w:t xml:space="preserve">B2B Testimonials: Must mention company role/context — not just name and location</w:t>
            </w:r>
          </w:p>
          <w:p>
            <w:pPr>
              <w:spacing w:before="0" w:after="40"/>
              <w:jc w:val="left"/>
            </w:pPr>
            <w:r>
              <w:rPr>
                <w:rFonts w:ascii="Arial" w:cs="Arial" w:eastAsia="Arial" w:hAnsi="Arial"/>
                <w:b w:val="false"/>
                <w:bCs w:val="false"/>
                <w:i w:val="false"/>
                <w:iCs w:val="false"/>
                <w:color w:val="333333"/>
                <w:sz w:val="19"/>
                <w:szCs w:val="19"/>
              </w:rPr>
              <w:t xml:space="preserve">Email Contact: dispatch@heavytowpro.com must appear as visible text on C2 — B2B buyers email</w:t>
            </w:r>
          </w:p>
        </w:tc>
      </w:tr>
    </w:tbl>
    <w:p>
      <w:pPr>
        <w:spacing w:before="0" w:after="80"/>
        <w:jc w:val="left"/>
      </w:pPr>
      <w:r>
        <w:rPr>
          <w:rFonts w:ascii="Arial" w:cs="Arial" w:eastAsia="Arial" w:hAnsi="Arial"/>
          <w:b w:val="false"/>
          <w:bCs w:val="false"/>
          <w:i w:val="false"/>
          <w:iCs w:val="false"/>
          <w:color w:val="333333"/>
          <w:sz w:val="20"/>
          <w:szCs w:val="20"/>
        </w:rPr>
        <w:t xml:space="preserve"/>
      </w:r>
    </w:p>
    <w:p>
      <w:pPr>
        <w:spacing w:before="0" w:after="80"/>
        <w:jc w:val="left"/>
      </w:pPr>
      <w:r>
        <w:rPr>
          <w:rFonts w:ascii="Arial" w:cs="Arial" w:eastAsia="Arial" w:hAnsi="Arial"/>
          <w:b w:val="false"/>
          <w:bCs w:val="false"/>
          <w:i w:val="false"/>
          <w:iCs w:val="false"/>
          <w:color w:val="333333"/>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C6E" w:val="clear"/>
            <w:tcMar>
              <w:top w:type="dxa" w:w="120"/>
              <w:left w:type="dxa" w:w="120"/>
              <w:bottom w:type="dxa" w:w="120"/>
              <w:right w:type="dxa" w:w="120"/>
            </w:tcMar>
            <w:vAlign w:val="top"/>
          </w:tcPr>
          <w:p>
            <w:pPr>
              <w:spacing w:before="80" w:after="80"/>
              <w:jc w:val="center"/>
            </w:pPr>
            <w:r>
              <w:rPr>
                <w:rFonts w:ascii="Arial" w:cs="Arial" w:eastAsia="Arial" w:hAnsi="Arial"/>
                <w:b/>
                <w:bCs/>
                <w:i w:val="false"/>
                <w:iCs w:val="false"/>
                <w:color w:val="FFFFFF"/>
                <w:sz w:val="20"/>
                <w:szCs w:val="20"/>
              </w:rPr>
              <w:t xml:space="preserve">End of Phase 4 v2 — Landing Page 2: Heavy Duty &amp; Commercial | GKP-Enhanced</w:t>
            </w:r>
          </w:p>
          <w:p>
            <w:pPr>
              <w:spacing w:before="0" w:after="80"/>
              <w:jc w:val="center"/>
            </w:pPr>
            <w:r>
              <w:rPr>
                <w:rFonts w:ascii="Arial" w:cs="Arial" w:eastAsia="Arial" w:hAnsi="Arial"/>
                <w:b w:val="false"/>
                <w:bCs w:val="false"/>
                <w:i w:val="false"/>
                <w:iCs w:val="false"/>
                <w:color w:val="E8F0F8"/>
                <w:sz w:val="18"/>
                <w:szCs w:val="18"/>
              </w:rPr>
              <w:t xml:space="preserve">Phase 5 Next: Google Ads Copy | Phase 6: Cursor AI Build Prompts</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3C6E" w:sz="4"/>
      </w:pBdr>
      <w:spacing w:before="80" w:after="0"/>
      <w:jc w:val="center"/>
    </w:pP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r>
      <w:rPr>
        <w:rFonts w:ascii="Arial" w:cs="Arial" w:eastAsia="Arial" w:hAnsi="Arial"/>
        <w:color w:val="666666"/>
        <w:sz w:val="16"/>
        <w:szCs w:val="16"/>
      </w:rPr>
      <w:t xml:space="preserve"> of </w:t>
    </w:r>
    <w:r>
      <w:rPr>
        <w:rFonts w:ascii="Arial" w:cs="Arial" w:eastAsia="Arial" w:hAnsi="Arial"/>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7722" w:sz="4"/>
      </w:pBdr>
      <w:spacing w:before="0" w:after="80"/>
      <w:jc w:val="right"/>
    </w:pPr>
    <w:r>
      <w:rPr>
        <w:rFonts w:ascii="Arial" w:cs="Arial" w:eastAsia="Arial" w:hAnsi="Arial"/>
        <w:color w:val="666666"/>
        <w:sz w:val="16"/>
        <w:szCs w:val="16"/>
      </w:rPr>
      <w:t xml:space="preserve">HeavyTowPro | Campaign 2 — Heavy Duty &amp; Commercial | Landing Page Copy (v2 GKP-Enhanced)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Arial" w:cs="Arial" w:eastAsia="Arial" w:hAnsi="Arial"/>
      <w:b/>
      <w:bCs/>
      <w:color w:val="1A3C6E"/>
      <w:sz w:val="40"/>
      <w:szCs w:val="40"/>
    </w:rPr>
  </w:style>
  <w:style w:type="paragraph" w:styleId="Heading2">
    <w:name w:val="Heading 2"/>
    <w:basedOn w:val="Normal"/>
    <w:next w:val="Normal"/>
    <w:qFormat/>
    <w:pPr>
      <w:spacing w:before="180" w:after="100"/>
      <w:outlineLvl w:val="1"/>
    </w:pPr>
    <w:rPr>
      <w:rFonts w:ascii="Arial" w:cs="Arial" w:eastAsia="Arial" w:hAnsi="Arial"/>
      <w:b/>
      <w:bCs/>
      <w:color w:val="1A3C6E"/>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2026-02-21T17:04:43.000Z</dcterms:created>
  <dcterms:modified xsi:type="dcterms:W3CDTF">2026-02-21T17:04:43.000Z</dcterms:modified>
</cp:coreProperties>
</file>

<file path=docProps/custom.xml><?xml version="1.0" encoding="utf-8"?>
<Properties xmlns="http://schemas.openxmlformats.org/officeDocument/2006/custom-properties" xmlns:vt="http://schemas.openxmlformats.org/officeDocument/2006/docPropsVTypes"/>
</file>