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480" w:after="80"/>
        <w:jc w:val="center"/>
      </w:pPr>
      <w:r>
        <w:rPr>
          <w:rFonts w:ascii="Arial" w:cs="Arial" w:eastAsia="Arial" w:hAnsi="Arial"/>
          <w:b/>
          <w:bCs/>
          <w:color w:val="1A3C6E"/>
          <w:sz w:val="64"/>
          <w:szCs w:val="64"/>
        </w:rPr>
        <w:t xml:space="preserve">HEAVY HAULERS</w:t>
      </w:r>
    </w:p>
    <w:p>
      <w:pPr>
        <w:spacing w:before="0" w:after="40"/>
        <w:jc w:val="center"/>
      </w:pPr>
      <w:r>
        <w:rPr>
          <w:rFonts w:ascii="Arial" w:cs="Arial" w:eastAsia="Arial" w:hAnsi="Arial"/>
          <w:i/>
          <w:iCs/>
          <w:color w:val="555555"/>
          <w:sz w:val="28"/>
          <w:szCs w:val="28"/>
        </w:rPr>
        <w:t xml:space="preserve">operating as HeavyTowPro</w:t>
      </w:r>
    </w:p>
    <w:p>
      <w:pPr>
        <w:spacing w:before="40" w:after="40"/>
        <w:jc w:val="center"/>
      </w:pPr>
      <w:r>
        <w:rPr>
          <w:rFonts w:ascii="Arial" w:cs="Arial" w:eastAsia="Arial" w:hAnsi="Arial"/>
          <w:color w:val="E87722"/>
          <w:sz w:val="32"/>
          <w:szCs w:val="32"/>
        </w:rPr>
        <w:t xml:space="preserve">Company Research &amp; Market Analysis</w:t>
      </w:r>
    </w:p>
    <w:p>
      <w:pPr>
        <w:spacing w:before="40" w:after="40"/>
        <w:jc w:val="center"/>
      </w:pPr>
      <w:r>
        <w:rPr>
          <w:rFonts w:ascii="Arial" w:cs="Arial" w:eastAsia="Arial" w:hAnsi="Arial"/>
          <w:color w:val="555555"/>
          <w:sz w:val="24"/>
          <w:szCs w:val="24"/>
        </w:rPr>
        <w:t xml:space="preserve">Google Ads Campaign Foundation Document — Phase 1</w:t>
      </w:r>
    </w:p>
    <w:p>
      <w:pPr>
        <w:spacing w:before="40" w:after="400"/>
        <w:jc w:val="center"/>
      </w:pPr>
      <w:r>
        <w:rPr>
          <w:rFonts w:ascii="Arial" w:cs="Arial" w:eastAsia="Arial" w:hAnsi="Arial"/>
          <w:color w:val="888888"/>
          <w:sz w:val="22"/>
          <w:szCs w:val="22"/>
        </w:rPr>
        <w:t xml:space="preserve">San Francisco Bay Area | February 2026</w:t>
      </w:r>
    </w:p>
    <w:p>
      <w:pPr>
        <w:pBdr>
          <w:bottom w:val="single" w:color="DDDDDD" w:sz="4" w:space="1"/>
        </w:pBdr>
        <w:spacing w:before="200" w:after="200"/>
      </w:pPr>
      <w:r>
        <w:t xml:space="preserve"/>
      </w:r>
    </w:p>
    <w:p>
      <w:pPr>
        <w:spacing w:before="60" w:after="60"/>
      </w:pPr>
      <w:r>
        <w:t xml:space="preserve"/>
      </w:r>
    </w:p>
    <w:p>
      <w:pPr>
        <w:pStyle w:val="Heading1"/>
        <w:pBdr>
          <w:bottom w:val="single" w:color="1A3C6E" w:sz="8" w:space="4"/>
        </w:pBdr>
        <w:spacing w:before="400" w:after="200"/>
      </w:pPr>
      <w:r>
        <w:rPr>
          <w:rFonts w:ascii="Arial" w:cs="Arial" w:eastAsia="Arial" w:hAnsi="Arial"/>
          <w:b/>
          <w:bCs/>
          <w:color w:val="1A3C6E"/>
          <w:sz w:val="32"/>
          <w:szCs w:val="32"/>
        </w:rPr>
        <w:t xml:space="preserve">1. Executive Summary</w:t>
      </w:r>
    </w:p>
    <w:p>
      <w:pPr>
        <w:spacing w:before="80" w:after="80"/>
      </w:pPr>
      <w:r>
        <w:rPr>
          <w:rFonts w:ascii="Arial" w:cs="Arial" w:eastAsia="Arial" w:hAnsi="Arial"/>
          <w:sz w:val="22"/>
          <w:szCs w:val="22"/>
        </w:rPr>
        <w:t xml:space="preserve">Heavy Haulers — operating publicly as HeavyTowPro — is a professional towing, recovery, and hauling company headquartered in Brisbane, CA, with 6 dispatch hubs spanning the San Francisco Bay Area and Central Valley. The company delivers a deliberate, focused service model: full-spectrum towing capability (light, medium, and heavy-duty) without diluting quality through low-value roadside add-ons such as lockouts, battery jumps, or fuel delivery.</w:t>
      </w:r>
    </w:p>
    <w:p>
      <w:pPr>
        <w:spacing w:before="60" w:after="60"/>
      </w:pPr>
      <w:r>
        <w:t xml:space="preserve"/>
      </w:r>
    </w:p>
    <w:p>
      <w:pPr>
        <w:spacing w:before="80" w:after="80"/>
      </w:pPr>
      <w:r>
        <w:rPr>
          <w:rFonts w:ascii="Arial" w:cs="Arial" w:eastAsia="Arial" w:hAnsi="Arial"/>
          <w:sz w:val="22"/>
          <w:szCs w:val="22"/>
        </w:rPr>
        <w:t xml:space="preserve">Their market position is built on four pillars: speed (average 15-minute dispatch response), transparency (upfront pricing, no hidden fees), capability (vehicles up to 75+ tons), and professionalism (licensed, DOT-compliant, CTTA &amp; ITRA member operators). This makes them one of the most capable and systematically run towing operators in the Bay Area.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pPr>
              <w:spacing w:before="40" w:after="40"/>
            </w:pPr>
            <w:r>
              <w:rPr>
                <w:rFonts w:ascii="Arial" w:cs="Arial" w:eastAsia="Arial" w:hAnsi="Arial"/>
                <w:b/>
                <w:bCs/>
                <w:color w:val="1A3C6E"/>
                <w:sz w:val="22"/>
                <w:szCs w:val="22"/>
              </w:rPr>
              <w:t xml:space="preserve">Campaign Structure Implication</w:t>
            </w:r>
          </w:p>
          <w:p>
            <w:pPr>
              <w:spacing w:before="40" w:after="40"/>
            </w:pPr>
            <w:r>
              <w:rPr>
                <w:rFonts w:ascii="Arial" w:cs="Arial" w:eastAsia="Arial" w:hAnsi="Arial"/>
                <w:sz w:val="22"/>
                <w:szCs w:val="22"/>
              </w:rPr>
              <w:t xml:space="preserve">HeavyTowPro is NOT a generalist roadside assistance service — they are a premium towing and recovery specialist. This distinction is critical for ad copy, keyword selection, and landing page messaging. Every campaign element must reflect speed, capability, and trust — not price competition.</w:t>
            </w:r>
          </w:p>
        </w:tc>
      </w:tr>
    </w:tbl>
    <w:p>
      <w:pPr>
        <w:spacing w:before="60" w:after="60"/>
      </w:pPr>
      <w:r>
        <w:t xml:space="preserve"/>
      </w:r>
    </w:p>
    <w:p>
      <w:pPr>
        <w:pStyle w:val="Heading1"/>
        <w:pBdr>
          <w:bottom w:val="single" w:color="1A3C6E" w:sz="8" w:space="4"/>
        </w:pBdr>
        <w:spacing w:before="400" w:after="200"/>
      </w:pPr>
      <w:r>
        <w:rPr>
          <w:rFonts w:ascii="Arial" w:cs="Arial" w:eastAsia="Arial" w:hAnsi="Arial"/>
          <w:b/>
          <w:bCs/>
          <w:color w:val="1A3C6E"/>
          <w:sz w:val="32"/>
          <w:szCs w:val="32"/>
        </w:rPr>
        <w:t xml:space="preserve">2. Company Profile</w:t>
      </w:r>
    </w:p>
    <w:p>
      <w:pPr>
        <w:pStyle w:val="Heading2"/>
        <w:spacing w:before="280" w:after="120"/>
      </w:pPr>
      <w:r>
        <w:rPr>
          <w:rFonts w:ascii="Arial" w:cs="Arial" w:eastAsia="Arial" w:hAnsi="Arial"/>
          <w:b/>
          <w:bCs/>
          <w:color w:val="1A3C6E"/>
          <w:sz w:val="26"/>
          <w:szCs w:val="26"/>
        </w:rPr>
        <w:t xml:space="preserve">2.1 Business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Company Name</w:t>
            </w:r>
          </w:p>
        </w:tc>
        <w:tc>
          <w:tcPr>
            <w:tcW w:type="dxa" w:w="6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1"/>
                <w:szCs w:val="21"/>
              </w:rPr>
              <w:t xml:space="preserve">Heavy Haulers (operating as HeavyTowPro)</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000000"/>
                <w:sz w:val="21"/>
                <w:szCs w:val="21"/>
              </w:rPr>
              <w:t xml:space="preserve">Website</w:t>
            </w:r>
          </w:p>
        </w:tc>
        <w:tc>
          <w:tcPr>
            <w:tcW w:type="dxa" w:w="6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1"/>
                <w:szCs w:val="21"/>
              </w:rPr>
              <w:t xml:space="preserve">heavytowpro.com</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000000"/>
                <w:sz w:val="21"/>
                <w:szCs w:val="21"/>
              </w:rPr>
              <w:t xml:space="preserve">Primary Phone</w:t>
            </w:r>
          </w:p>
        </w:tc>
        <w:tc>
          <w:tcPr>
            <w:tcW w:type="dxa" w:w="6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1"/>
                <w:szCs w:val="21"/>
              </w:rPr>
              <w:t xml:space="preserve">650-881-2400</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000000"/>
                <w:sz w:val="21"/>
                <w:szCs w:val="21"/>
              </w:rPr>
              <w:t xml:space="preserve">Email</w:t>
            </w:r>
          </w:p>
        </w:tc>
        <w:tc>
          <w:tcPr>
            <w:tcW w:type="dxa" w:w="6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1"/>
                <w:szCs w:val="21"/>
              </w:rPr>
              <w:t xml:space="preserve">dispatch@heavytowpro.com</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000000"/>
                <w:sz w:val="21"/>
                <w:szCs w:val="21"/>
              </w:rPr>
              <w:t xml:space="preserve">Headquarters</w:t>
            </w:r>
          </w:p>
        </w:tc>
        <w:tc>
          <w:tcPr>
            <w:tcW w:type="dxa" w:w="6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1"/>
                <w:szCs w:val="21"/>
              </w:rPr>
              <w:t xml:space="preserve">351 Industrial Way, Brisbane, CA 94005</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000000"/>
                <w:sz w:val="21"/>
                <w:szCs w:val="21"/>
              </w:rPr>
              <w:t xml:space="preserve">Founded / Origin</w:t>
            </w:r>
          </w:p>
        </w:tc>
        <w:tc>
          <w:tcPr>
            <w:tcW w:type="dxa" w:w="6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1"/>
                <w:szCs w:val="21"/>
              </w:rPr>
              <w:t xml:space="preserve">San Francisco, CA</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000000"/>
                <w:sz w:val="21"/>
                <w:szCs w:val="21"/>
              </w:rPr>
              <w:t xml:space="preserve">Business Type</w:t>
            </w:r>
          </w:p>
        </w:tc>
        <w:tc>
          <w:tcPr>
            <w:tcW w:type="dxa" w:w="6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1"/>
                <w:szCs w:val="21"/>
              </w:rPr>
              <w:t xml:space="preserve">Private towing, recovery &amp; heavy hauling</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000000"/>
                <w:sz w:val="21"/>
                <w:szCs w:val="21"/>
              </w:rPr>
              <w:t xml:space="preserve">Primary Market</w:t>
            </w:r>
          </w:p>
        </w:tc>
        <w:tc>
          <w:tcPr>
            <w:tcW w:type="dxa" w:w="6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1"/>
                <w:szCs w:val="21"/>
              </w:rPr>
              <w:t xml:space="preserve">San Francisco Bay Area &amp; Central Valley, CA</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000000"/>
                <w:sz w:val="21"/>
                <w:szCs w:val="21"/>
              </w:rPr>
              <w:t xml:space="preserve">Service Area</w:t>
            </w:r>
          </w:p>
        </w:tc>
        <w:tc>
          <w:tcPr>
            <w:tcW w:type="dxa" w:w="6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1"/>
                <w:szCs w:val="21"/>
              </w:rPr>
              <w:t xml:space="preserve">5 counties, 60+ cities &amp; districts</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000000"/>
                <w:sz w:val="21"/>
                <w:szCs w:val="21"/>
              </w:rPr>
              <w:t xml:space="preserve">Dispatch Hubs</w:t>
            </w:r>
          </w:p>
        </w:tc>
        <w:tc>
          <w:tcPr>
            <w:tcW w:type="dxa" w:w="6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1"/>
                <w:szCs w:val="21"/>
              </w:rPr>
              <w:t xml:space="preserve">6 locations</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000000"/>
                <w:sz w:val="21"/>
                <w:szCs w:val="21"/>
              </w:rPr>
              <w:t xml:space="preserve">Availability</w:t>
            </w:r>
          </w:p>
        </w:tc>
        <w:tc>
          <w:tcPr>
            <w:tcW w:type="dxa" w:w="6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1"/>
                <w:szCs w:val="21"/>
              </w:rPr>
              <w:t xml:space="preserve">Emergency Dispatch: 24/7 | Office: Mon–Fri 7am–7pm, Sat 8am–6pm, Sun 9am–5pm</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000000"/>
                <w:sz w:val="21"/>
                <w:szCs w:val="21"/>
              </w:rPr>
              <w:t xml:space="preserve">Vehicle Range</w:t>
            </w:r>
          </w:p>
        </w:tc>
        <w:tc>
          <w:tcPr>
            <w:tcW w:type="dxa" w:w="6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1"/>
                <w:szCs w:val="21"/>
              </w:rPr>
              <w:t xml:space="preserve">Light-duty cars to 75+ ton heavy industrial equipment</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000000"/>
                <w:sz w:val="21"/>
                <w:szCs w:val="21"/>
              </w:rPr>
              <w:t xml:space="preserve">Certifications</w:t>
            </w:r>
          </w:p>
        </w:tc>
        <w:tc>
          <w:tcPr>
            <w:tcW w:type="dxa" w:w="6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1"/>
                <w:szCs w:val="21"/>
              </w:rPr>
              <w:t xml:space="preserve">California Commercial Towing Licences, DOT Compliant, OSHA Trained</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000000"/>
                <w:sz w:val="21"/>
                <w:szCs w:val="21"/>
              </w:rPr>
              <w:t xml:space="preserve">Associations</w:t>
            </w:r>
          </w:p>
        </w:tc>
        <w:tc>
          <w:tcPr>
            <w:tcW w:type="dxa" w:w="6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1"/>
                <w:szCs w:val="21"/>
              </w:rPr>
              <w:t xml:space="preserve">CTTA (California Tow Truck Association) | ITRA (International Towing &amp; Recovery Association)</w:t>
            </w:r>
          </w:p>
        </w:tc>
      </w:tr>
    </w:tbl>
    <w:p>
      <w:pPr>
        <w:spacing w:before="60" w:after="60"/>
      </w:pPr>
      <w:r>
        <w:t xml:space="preserve"/>
      </w:r>
    </w:p>
    <w:p>
      <w:pPr>
        <w:pStyle w:val="Heading2"/>
        <w:spacing w:before="280" w:after="120"/>
      </w:pPr>
      <w:r>
        <w:rPr>
          <w:rFonts w:ascii="Arial" w:cs="Arial" w:eastAsia="Arial" w:hAnsi="Arial"/>
          <w:b/>
          <w:bCs/>
          <w:color w:val="1A3C6E"/>
          <w:sz w:val="26"/>
          <w:szCs w:val="26"/>
        </w:rPr>
        <w:t xml:space="preserve">2.2 Mission &amp;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3C6E" w:val="clear"/>
            <w:tcMar>
              <w:top w:type="dxa" w:w="140"/>
              <w:left w:type="dxa" w:w="120"/>
              <w:bottom w:type="dxa" w:w="140"/>
              <w:right w:type="dxa" w:w="120"/>
            </w:tcMar>
            <w:vAlign w:val="center"/>
          </w:tcPr>
          <w:p>
            <w:pPr>
              <w:jc w:val="center"/>
            </w:pPr>
            <w:r>
              <w:rPr>
                <w:rFonts w:ascii="Arial" w:cs="Arial" w:eastAsia="Arial" w:hAnsi="Arial"/>
                <w:b/>
                <w:bCs/>
                <w:color w:val="FFFFFF"/>
                <w:sz w:val="20"/>
                <w:szCs w:val="20"/>
              </w:rPr>
              <w:t xml:space="preserve">MISSION</w:t>
            </w:r>
          </w:p>
        </w:tc>
        <w:tc>
          <w:tcPr>
            <w:tcW w:type="dxa" w:w="79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i/>
                <w:iCs/>
                <w:sz w:val="22"/>
                <w:szCs w:val="22"/>
              </w:rPr>
              <w:t xml:space="preserve">Deliver fast, transparent, and community-trusted towing with a trained, friendly team — available 24/7.</w:t>
            </w:r>
          </w:p>
        </w:tc>
      </w:tr>
      <w:tr>
        <w:tc>
          <w:tcPr>
            <w:tcW w:type="dxa" w:w="1440"/>
            <w:tcBorders>
              <w:top w:val="single" w:color="CCCCCC" w:sz="1"/>
              <w:left w:val="single" w:color="CCCCCC" w:sz="1"/>
              <w:bottom w:val="single" w:color="CCCCCC" w:sz="1"/>
              <w:right w:val="single" w:color="CCCCCC" w:sz="1"/>
            </w:tcBorders>
            <w:shd w:fill="E87722" w:val="clear"/>
            <w:tcMar>
              <w:top w:type="dxa" w:w="140"/>
              <w:left w:type="dxa" w:w="120"/>
              <w:bottom w:type="dxa" w:w="140"/>
              <w:right w:type="dxa" w:w="120"/>
            </w:tcMar>
            <w:vAlign w:val="center"/>
          </w:tcPr>
          <w:p>
            <w:pPr>
              <w:jc w:val="center"/>
            </w:pPr>
            <w:r>
              <w:rPr>
                <w:rFonts w:ascii="Arial" w:cs="Arial" w:eastAsia="Arial" w:hAnsi="Arial"/>
                <w:b/>
                <w:bCs/>
                <w:color w:val="FFFFFF"/>
                <w:sz w:val="20"/>
                <w:szCs w:val="20"/>
              </w:rPr>
              <w:t xml:space="preserve">VISION</w:t>
            </w:r>
          </w:p>
        </w:tc>
        <w:tc>
          <w:tcPr>
            <w:tcW w:type="dxa" w:w="79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i/>
                <w:iCs/>
                <w:sz w:val="22"/>
                <w:szCs w:val="22"/>
              </w:rPr>
              <w:t xml:space="preserve">Be California's most reliable partner for heavy and medium-duty towing by prioritising speed, clarity, and care.</w:t>
            </w:r>
          </w:p>
        </w:tc>
      </w:tr>
    </w:tbl>
    <w:p>
      <w:pPr>
        <w:spacing w:before="60" w:after="60"/>
      </w:pPr>
      <w:r>
        <w:t xml:space="preserve"/>
      </w:r>
    </w:p>
    <w:p>
      <w:pPr>
        <w:pStyle w:val="Heading2"/>
        <w:spacing w:before="280" w:after="120"/>
      </w:pPr>
      <w:r>
        <w:rPr>
          <w:rFonts w:ascii="Arial" w:cs="Arial" w:eastAsia="Arial" w:hAnsi="Arial"/>
          <w:b/>
          <w:bCs/>
          <w:color w:val="1A3C6E"/>
          <w:sz w:val="26"/>
          <w:szCs w:val="26"/>
        </w:rPr>
        <w:t xml:space="preserve">2.3 Core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0DCF0" w:val="clear"/>
            <w:tcMar>
              <w:top w:type="dxa" w:w="120"/>
              <w:left w:type="dxa" w:w="140"/>
              <w:bottom w:type="dxa" w:w="120"/>
              <w:right w:type="dxa" w:w="140"/>
            </w:tcMar>
            <w:vAlign w:val="center"/>
          </w:tcPr>
          <w:p>
            <w:r>
              <w:rPr>
                <w:rFonts w:ascii="Arial" w:cs="Arial" w:eastAsia="Arial" w:hAnsi="Arial"/>
                <w:b/>
                <w:bCs/>
                <w:color w:val="1A3C6E"/>
                <w:sz w:val="21"/>
                <w:szCs w:val="21"/>
              </w:rPr>
              <w:t xml:space="preserve">⚡  Speed</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1"/>
                <w:szCs w:val="21"/>
              </w:rPr>
              <w:t xml:space="preserve">One of the fastest dispatch response times in the Bay Area. Average 15–30 min for light-duty; 20–45 min for commercial vehicles. Overall average: 15 minutes.</w:t>
            </w:r>
          </w:p>
        </w:tc>
      </w:tr>
      <w:tr>
        <w:tc>
          <w:tcPr>
            <w:tcW w:type="dxa" w:w="2000"/>
            <w:tcBorders>
              <w:top w:val="single" w:color="CCCCCC" w:sz="1"/>
              <w:left w:val="single" w:color="CCCCCC" w:sz="1"/>
              <w:bottom w:val="single" w:color="CCCCCC" w:sz="1"/>
              <w:right w:val="single" w:color="CCCCCC" w:sz="1"/>
            </w:tcBorders>
            <w:shd w:fill="E8F0F8" w:val="clear"/>
            <w:tcMar>
              <w:top w:type="dxa" w:w="120"/>
              <w:left w:type="dxa" w:w="140"/>
              <w:bottom w:type="dxa" w:w="120"/>
              <w:right w:type="dxa" w:w="140"/>
            </w:tcMar>
            <w:vAlign w:val="center"/>
          </w:tcPr>
          <w:p>
            <w:r>
              <w:rPr>
                <w:rFonts w:ascii="Arial" w:cs="Arial" w:eastAsia="Arial" w:hAnsi="Arial"/>
                <w:b/>
                <w:bCs/>
                <w:color w:val="1A3C6E"/>
                <w:sz w:val="21"/>
                <w:szCs w:val="21"/>
              </w:rPr>
              <w:t xml:space="preserve">💬  Transparency</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1"/>
                <w:szCs w:val="21"/>
              </w:rPr>
              <w:t xml:space="preserve">Upfront pricing with no hidden charges. Free quotes within 15 minutes during business hours. Quotes valid for 7 days. No surprises — ever.</w:t>
            </w:r>
          </w:p>
        </w:tc>
      </w:tr>
      <w:tr>
        <w:tc>
          <w:tcPr>
            <w:tcW w:type="dxa" w:w="2000"/>
            <w:tcBorders>
              <w:top w:val="single" w:color="CCCCCC" w:sz="1"/>
              <w:left w:val="single" w:color="CCCCCC" w:sz="1"/>
              <w:bottom w:val="single" w:color="CCCCCC" w:sz="1"/>
              <w:right w:val="single" w:color="CCCCCC" w:sz="1"/>
            </w:tcBorders>
            <w:shd w:fill="D0DCF0" w:val="clear"/>
            <w:tcMar>
              <w:top w:type="dxa" w:w="120"/>
              <w:left w:type="dxa" w:w="140"/>
              <w:bottom w:type="dxa" w:w="120"/>
              <w:right w:type="dxa" w:w="140"/>
            </w:tcMar>
            <w:vAlign w:val="center"/>
          </w:tcPr>
          <w:p>
            <w:r>
              <w:rPr>
                <w:rFonts w:ascii="Arial" w:cs="Arial" w:eastAsia="Arial" w:hAnsi="Arial"/>
                <w:b/>
                <w:bCs/>
                <w:color w:val="1A3C6E"/>
                <w:sz w:val="21"/>
                <w:szCs w:val="21"/>
              </w:rPr>
              <w:t xml:space="preserve">👷  Professionalism</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1"/>
                <w:szCs w:val="21"/>
              </w:rPr>
              <w:t xml:space="preserve">Well-trained, courteous operators and dispatchers. Multilingual dispatch capabilities. Monthly safety &amp; equipment certification updates. Advanced rigging workshops.</w:t>
            </w:r>
          </w:p>
        </w:tc>
      </w:tr>
      <w:tr>
        <w:tc>
          <w:tcPr>
            <w:tcW w:type="dxa" w:w="2000"/>
            <w:tcBorders>
              <w:top w:val="single" w:color="CCCCCC" w:sz="1"/>
              <w:left w:val="single" w:color="CCCCCC" w:sz="1"/>
              <w:bottom w:val="single" w:color="CCCCCC" w:sz="1"/>
              <w:right w:val="single" w:color="CCCCCC" w:sz="1"/>
            </w:tcBorders>
            <w:shd w:fill="E8F0F8" w:val="clear"/>
            <w:tcMar>
              <w:top w:type="dxa" w:w="120"/>
              <w:left w:type="dxa" w:w="140"/>
              <w:bottom w:type="dxa" w:w="120"/>
              <w:right w:type="dxa" w:w="140"/>
            </w:tcMar>
            <w:vAlign w:val="center"/>
          </w:tcPr>
          <w:p>
            <w:r>
              <w:rPr>
                <w:rFonts w:ascii="Arial" w:cs="Arial" w:eastAsia="Arial" w:hAnsi="Arial"/>
                <w:b/>
                <w:bCs/>
                <w:color w:val="1A3C6E"/>
                <w:sz w:val="21"/>
                <w:szCs w:val="21"/>
              </w:rPr>
              <w:t xml:space="preserve">💪  Capability</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1"/>
                <w:szCs w:val="21"/>
              </w:rPr>
              <w:t xml:space="preserve">Fleet power handles everything from standard sedans to 75+ ton heavy industrial equipment. True full-spectrum towing — light, medium, and heavy-duty under one roof.</w:t>
            </w:r>
          </w:p>
        </w:tc>
      </w:tr>
    </w:tbl>
    <w:p>
      <w:pPr>
        <w:spacing w:before="60" w:after="60"/>
      </w:pPr>
      <w:r>
        <w:t xml:space="preserve"/>
      </w:r>
    </w:p>
    <w:p>
      <w:pPr>
        <w:pStyle w:val="Heading1"/>
        <w:pBdr>
          <w:bottom w:val="single" w:color="1A3C6E" w:sz="8" w:space="4"/>
        </w:pBdr>
        <w:spacing w:before="400" w:after="200"/>
      </w:pPr>
      <w:r>
        <w:rPr>
          <w:rFonts w:ascii="Arial" w:cs="Arial" w:eastAsia="Arial" w:hAnsi="Arial"/>
          <w:b/>
          <w:bCs/>
          <w:color w:val="1A3C6E"/>
          <w:sz w:val="32"/>
          <w:szCs w:val="32"/>
        </w:rPr>
        <w:t xml:space="preserve">3. Services Offered</w:t>
      </w:r>
    </w:p>
    <w:p>
      <w:pPr>
        <w:spacing w:before="80" w:after="80"/>
      </w:pPr>
      <w:r>
        <w:rPr>
          <w:rFonts w:ascii="Arial" w:cs="Arial" w:eastAsia="Arial" w:hAnsi="Arial"/>
          <w:sz w:val="22"/>
          <w:szCs w:val="22"/>
        </w:rPr>
        <w:t xml:space="preserve">Heavy Haulers operates a deliberately focused service model. Unlike most Bay Area towing competitors who bundle roadside add-ons, Heavy Haulers concentrates exclusively on towing, recovery, and hauling — maximising fleet utilisation and operator expertise. This focus is a strategic differentiator and should be reflected in all ad messaging.</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3.1 Light-Duty Towing (Vehicles under 10,000 lbs)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pPr>
              <w:spacing w:before="40" w:after="40"/>
            </w:pPr>
            <w:r>
              <w:rPr>
                <w:rFonts w:ascii="Arial" w:cs="Arial" w:eastAsia="Arial" w:hAnsi="Arial"/>
                <w:b/>
                <w:bCs/>
                <w:color w:val="1A3C6E"/>
                <w:sz w:val="22"/>
                <w:szCs w:val="22"/>
              </w:rPr>
              <w:t xml:space="preserve">Target Segment</w:t>
            </w:r>
          </w:p>
          <w:p>
            <w:pPr>
              <w:spacing w:before="40" w:after="40"/>
            </w:pPr>
            <w:r>
              <w:rPr>
                <w:rFonts w:ascii="Arial" w:cs="Arial" w:eastAsia="Arial" w:hAnsi="Arial"/>
                <w:sz w:val="22"/>
                <w:szCs w:val="22"/>
              </w:rPr>
              <w:t xml:space="preserve">Everyday motorists, luxury car owners, motorcycle owners, property managers, and private individuals in the Bay Area.</w:t>
            </w:r>
          </w:p>
        </w:tc>
      </w:tr>
    </w:tbl>
    <w:p>
      <w:pPr>
        <w:spacing w:before="60" w:after="60"/>
      </w:pPr>
      <w:r>
        <w:t xml:space="preserve"/>
      </w:r>
    </w:p>
    <w:p>
      <w:pPr>
        <w:pStyle w:val="ListParagraph"/>
        <w:numPr>
          <w:ilvl w:val="0"/>
          <w:numId w:val="2"/>
        </w:numPr>
        <w:spacing w:before="40" w:after="40"/>
      </w:pPr>
      <w:r>
        <w:rPr>
          <w:rFonts w:ascii="Arial" w:cs="Arial" w:eastAsia="Arial" w:hAnsi="Arial"/>
          <w:b/>
          <w:bCs/>
          <w:sz w:val="22"/>
          <w:szCs w:val="22"/>
        </w:rPr>
        <w:t xml:space="preserve">No wheel-lift contact, weather protection, safe for low-clearance vehicles — premium safe transport: </w:t>
      </w:r>
      <w:r>
        <w:rPr>
          <w:rFonts w:ascii="Arial" w:cs="Arial" w:eastAsia="Arial" w:hAnsi="Arial"/>
          <w:sz w:val="22"/>
          <w:szCs w:val="22"/>
        </w:rPr>
        <w:t xml:space="preserve">Flatbed Tow Service</w:t>
      </w:r>
    </w:p>
    <w:p>
      <w:pPr>
        <w:pStyle w:val="ListParagraph"/>
        <w:numPr>
          <w:ilvl w:val="0"/>
          <w:numId w:val="2"/>
        </w:numPr>
        <w:spacing w:before="40" w:after="40"/>
      </w:pPr>
      <w:r>
        <w:rPr>
          <w:rFonts w:ascii="Arial" w:cs="Arial" w:eastAsia="Arial" w:hAnsi="Arial"/>
          <w:b/>
          <w:bCs/>
          <w:sz w:val="22"/>
          <w:szCs w:val="22"/>
        </w:rPr>
        <w:t xml:space="preserve">Specialised restraints, experienced operators trained specifically for two-wheel transport: </w:t>
      </w:r>
      <w:r>
        <w:rPr>
          <w:rFonts w:ascii="Arial" w:cs="Arial" w:eastAsia="Arial" w:hAnsi="Arial"/>
          <w:sz w:val="22"/>
          <w:szCs w:val="22"/>
        </w:rPr>
        <w:t xml:space="preserve">Motorcycle Towing</w:t>
      </w:r>
    </w:p>
    <w:p>
      <w:pPr>
        <w:pStyle w:val="ListParagraph"/>
        <w:numPr>
          <w:ilvl w:val="0"/>
          <w:numId w:val="2"/>
        </w:numPr>
        <w:spacing w:before="40" w:after="40"/>
      </w:pPr>
      <w:r>
        <w:rPr>
          <w:rFonts w:ascii="Arial" w:cs="Arial" w:eastAsia="Arial" w:hAnsi="Arial"/>
          <w:b/>
          <w:bCs/>
          <w:sz w:val="22"/>
          <w:szCs w:val="22"/>
        </w:rPr>
        <w:t xml:space="preserve">Soft-tie systems, white-glove service, premium insurance coverage for high-value vehicles: </w:t>
      </w:r>
      <w:r>
        <w:rPr>
          <w:rFonts w:ascii="Arial" w:cs="Arial" w:eastAsia="Arial" w:hAnsi="Arial"/>
          <w:sz w:val="22"/>
          <w:szCs w:val="22"/>
        </w:rPr>
        <w:t xml:space="preserve">Luxury &amp; Exotic Car Transport</w:t>
      </w:r>
    </w:p>
    <w:p>
      <w:pPr>
        <w:pStyle w:val="ListParagraph"/>
        <w:numPr>
          <w:ilvl w:val="0"/>
          <w:numId w:val="2"/>
        </w:numPr>
        <w:spacing w:before="40" w:after="40"/>
      </w:pPr>
      <w:r>
        <w:rPr>
          <w:rFonts w:ascii="Arial" w:cs="Arial" w:eastAsia="Arial" w:hAnsi="Arial"/>
          <w:b/>
          <w:bCs/>
          <w:sz w:val="22"/>
          <w:szCs w:val="22"/>
        </w:rPr>
        <w:t xml:space="preserve">Legal compliance, property manager contracts, rapid deployment: </w:t>
      </w:r>
      <w:r>
        <w:rPr>
          <w:rFonts w:ascii="Arial" w:cs="Arial" w:eastAsia="Arial" w:hAnsi="Arial"/>
          <w:sz w:val="22"/>
          <w:szCs w:val="22"/>
        </w:rPr>
        <w:t xml:space="preserve">Private Property Vehicle Removal</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3.2 Medium-Duty Towing (10,000 – 26,000 lbs GVWR)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pPr>
              <w:spacing w:before="40" w:after="40"/>
            </w:pPr>
            <w:r>
              <w:rPr>
                <w:rFonts w:ascii="Arial" w:cs="Arial" w:eastAsia="Arial" w:hAnsi="Arial"/>
                <w:b/>
                <w:bCs/>
                <w:color w:val="1A3C6E"/>
                <w:sz w:val="22"/>
                <w:szCs w:val="22"/>
              </w:rPr>
              <w:t xml:space="preserve">Target Segment</w:t>
            </w:r>
          </w:p>
          <w:p>
            <w:pPr>
              <w:spacing w:before="40" w:after="40"/>
            </w:pPr>
            <w:r>
              <w:rPr>
                <w:rFonts w:ascii="Arial" w:cs="Arial" w:eastAsia="Arial" w:hAnsi="Arial"/>
                <w:sz w:val="22"/>
                <w:szCs w:val="22"/>
              </w:rPr>
              <w:t xml:space="preserve">Small commercial operators, delivery businesses, RV owners, food truck operators, municipal fleets, and commercial fleet managers.</w:t>
            </w:r>
          </w:p>
        </w:tc>
      </w:tr>
    </w:tbl>
    <w:p>
      <w:pPr>
        <w:spacing w:before="60" w:after="60"/>
      </w:pPr>
      <w:r>
        <w:t xml:space="preserve"/>
      </w:r>
    </w:p>
    <w:p>
      <w:pPr>
        <w:pStyle w:val="ListParagraph"/>
        <w:numPr>
          <w:ilvl w:val="0"/>
          <w:numId w:val="2"/>
        </w:numPr>
        <w:spacing w:before="40" w:after="40"/>
      </w:pPr>
      <w:r>
        <w:rPr>
          <w:rFonts w:ascii="Arial" w:cs="Arial" w:eastAsia="Arial" w:hAnsi="Arial"/>
          <w:b/>
          <w:bCs/>
          <w:sz w:val="22"/>
          <w:szCs w:val="22"/>
        </w:rPr>
        <w:t xml:space="preserve">Up to 26,000 lbs capacity — delivery trucks, moving trucks, commercial cargo: </w:t>
      </w:r>
      <w:r>
        <w:rPr>
          <w:rFonts w:ascii="Arial" w:cs="Arial" w:eastAsia="Arial" w:hAnsi="Arial"/>
          <w:sz w:val="22"/>
          <w:szCs w:val="22"/>
        </w:rPr>
        <w:t xml:space="preserve">Box Trucks</w:t>
      </w:r>
    </w:p>
    <w:p>
      <w:pPr>
        <w:pStyle w:val="ListParagraph"/>
        <w:numPr>
          <w:ilvl w:val="0"/>
          <w:numId w:val="2"/>
        </w:numPr>
        <w:spacing w:before="40" w:after="40"/>
      </w:pPr>
      <w:r>
        <w:rPr>
          <w:rFonts w:ascii="Arial" w:cs="Arial" w:eastAsia="Arial" w:hAnsi="Arial"/>
          <w:b/>
          <w:bCs/>
          <w:sz w:val="22"/>
          <w:szCs w:val="22"/>
        </w:rPr>
        <w:t xml:space="preserve">Sprinter vans, cargo vans, last-mile delivery vehicles: </w:t>
      </w:r>
      <w:r>
        <w:rPr>
          <w:rFonts w:ascii="Arial" w:cs="Arial" w:eastAsia="Arial" w:hAnsi="Arial"/>
          <w:sz w:val="22"/>
          <w:szCs w:val="22"/>
        </w:rPr>
        <w:t xml:space="preserve">Delivery Vans &amp; Cargo Vehicles</w:t>
      </w:r>
    </w:p>
    <w:p>
      <w:pPr>
        <w:pStyle w:val="ListParagraph"/>
        <w:numPr>
          <w:ilvl w:val="0"/>
          <w:numId w:val="2"/>
        </w:numPr>
        <w:spacing w:before="40" w:after="40"/>
      </w:pPr>
      <w:r>
        <w:rPr>
          <w:rFonts w:ascii="Arial" w:cs="Arial" w:eastAsia="Arial" w:hAnsi="Arial"/>
          <w:b/>
          <w:bCs/>
          <w:sz w:val="22"/>
          <w:szCs w:val="22"/>
        </w:rPr>
        <w:t xml:space="preserve">Specialist rigging for oversized recreational vehicles: </w:t>
      </w:r>
      <w:r>
        <w:rPr>
          <w:rFonts w:ascii="Arial" w:cs="Arial" w:eastAsia="Arial" w:hAnsi="Arial"/>
          <w:sz w:val="22"/>
          <w:szCs w:val="22"/>
        </w:rPr>
        <w:t xml:space="preserve">RVs, Motorhomes, Travel Trailers &amp; Camper Vans</w:t>
      </w:r>
    </w:p>
    <w:p>
      <w:pPr>
        <w:pStyle w:val="ListParagraph"/>
        <w:numPr>
          <w:ilvl w:val="0"/>
          <w:numId w:val="2"/>
        </w:numPr>
        <w:spacing w:before="40" w:after="40"/>
      </w:pPr>
      <w:r>
        <w:rPr>
          <w:rFonts w:ascii="Arial" w:cs="Arial" w:eastAsia="Arial" w:hAnsi="Arial"/>
          <w:b/>
          <w:bCs/>
          <w:sz w:val="22"/>
          <w:szCs w:val="22"/>
        </w:rPr>
        <w:t xml:space="preserve">Custom rigging for non-standard commercial builds: </w:t>
      </w:r>
      <w:r>
        <w:rPr>
          <w:rFonts w:ascii="Arial" w:cs="Arial" w:eastAsia="Arial" w:hAnsi="Arial"/>
          <w:sz w:val="22"/>
          <w:szCs w:val="22"/>
        </w:rPr>
        <w:t xml:space="preserve">Food Trucks &amp; Specialty Commercial Vehicles</w:t>
      </w:r>
    </w:p>
    <w:p>
      <w:pPr>
        <w:pStyle w:val="ListParagraph"/>
        <w:numPr>
          <w:ilvl w:val="0"/>
          <w:numId w:val="2"/>
        </w:numPr>
        <w:spacing w:before="40" w:after="40"/>
      </w:pPr>
      <w:r>
        <w:rPr>
          <w:rFonts w:ascii="Arial" w:cs="Arial" w:eastAsia="Arial" w:hAnsi="Arial"/>
          <w:b/>
          <w:bCs/>
          <w:sz w:val="22"/>
          <w:szCs w:val="22"/>
        </w:rPr>
        <w:t xml:space="preserve">Ambulances, utility trucks, government fleet vehicles: </w:t>
      </w:r>
      <w:r>
        <w:rPr>
          <w:rFonts w:ascii="Arial" w:cs="Arial" w:eastAsia="Arial" w:hAnsi="Arial"/>
          <w:sz w:val="22"/>
          <w:szCs w:val="22"/>
        </w:rPr>
        <w:t xml:space="preserve">Emergency, Municipal &amp; Utility Vehicles</w:t>
      </w:r>
    </w:p>
    <w:p>
      <w:pPr>
        <w:pStyle w:val="ListParagraph"/>
        <w:numPr>
          <w:ilvl w:val="0"/>
          <w:numId w:val="2"/>
        </w:numPr>
        <w:spacing w:before="40" w:after="40"/>
      </w:pPr>
      <w:r>
        <w:rPr>
          <w:rFonts w:ascii="Arial" w:cs="Arial" w:eastAsia="Arial" w:hAnsi="Arial"/>
          <w:b/>
          <w:bCs/>
          <w:sz w:val="22"/>
          <w:szCs w:val="22"/>
        </w:rPr>
        <w:t xml:space="preserve">Full commercial breakdown response: </w:t>
      </w:r>
      <w:r>
        <w:rPr>
          <w:rFonts w:ascii="Arial" w:cs="Arial" w:eastAsia="Arial" w:hAnsi="Arial"/>
          <w:sz w:val="22"/>
          <w:szCs w:val="22"/>
        </w:rPr>
        <w:t xml:space="preserve">Mechanical Breakdowns, Commercial Relocations, Accident Recovery</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3.3 Heavy-Duty Hauling &amp; Recovery (26,000 lbs – 75+ 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pPr>
              <w:spacing w:before="40" w:after="40"/>
            </w:pPr>
            <w:r>
              <w:rPr>
                <w:rFonts w:ascii="Arial" w:cs="Arial" w:eastAsia="Arial" w:hAnsi="Arial"/>
                <w:b/>
                <w:bCs/>
                <w:color w:val="1A3C6E"/>
                <w:sz w:val="22"/>
                <w:szCs w:val="22"/>
              </w:rPr>
              <w:t xml:space="preserve">Target Segment</w:t>
            </w:r>
          </w:p>
          <w:p>
            <w:pPr>
              <w:spacing w:before="40" w:after="40"/>
            </w:pPr>
            <w:r>
              <w:rPr>
                <w:rFonts w:ascii="Arial" w:cs="Arial" w:eastAsia="Arial" w:hAnsi="Arial"/>
                <w:sz w:val="22"/>
                <w:szCs w:val="22"/>
              </w:rPr>
              <w:t xml:space="preserve">Trucking companies, freight operators, construction firms, municipalities, industrial operators, logistics companies, and corporate fleet accounts.</w:t>
            </w:r>
          </w:p>
        </w:tc>
      </w:tr>
    </w:tbl>
    <w:p>
      <w:pPr>
        <w:spacing w:before="60" w:after="60"/>
      </w:pPr>
      <w:r>
        <w:t xml:space="preserve"/>
      </w:r>
    </w:p>
    <w:p>
      <w:pPr>
        <w:pStyle w:val="ListParagraph"/>
        <w:numPr>
          <w:ilvl w:val="0"/>
          <w:numId w:val="2"/>
        </w:numPr>
        <w:spacing w:before="40" w:after="40"/>
      </w:pPr>
      <w:r>
        <w:rPr>
          <w:rFonts w:ascii="Arial" w:cs="Arial" w:eastAsia="Arial" w:hAnsi="Arial"/>
          <w:b/>
          <w:bCs/>
          <w:sz w:val="22"/>
          <w:szCs w:val="22"/>
        </w:rPr>
        <w:t xml:space="preserve">Construction equipment (forklifts, excavators, bulldozers, loaders), industrial machinery, agricultural equipment, generators: </w:t>
      </w:r>
      <w:r>
        <w:rPr>
          <w:rFonts w:ascii="Arial" w:cs="Arial" w:eastAsia="Arial" w:hAnsi="Arial"/>
          <w:sz w:val="22"/>
          <w:szCs w:val="22"/>
        </w:rPr>
        <w:t xml:space="preserve">Equipment &amp; Machinery Transport</w:t>
      </w:r>
    </w:p>
    <w:p>
      <w:pPr>
        <w:pStyle w:val="ListParagraph"/>
        <w:numPr>
          <w:ilvl w:val="0"/>
          <w:numId w:val="2"/>
        </w:numPr>
        <w:spacing w:before="40" w:after="40"/>
      </w:pPr>
      <w:r>
        <w:rPr>
          <w:rFonts w:ascii="Arial" w:cs="Arial" w:eastAsia="Arial" w:hAnsi="Arial"/>
          <w:b/>
          <w:bCs/>
          <w:sz w:val="22"/>
          <w:szCs w:val="22"/>
        </w:rPr>
        <w:t xml:space="preserve">Rollovers, winch-outs, off-road extraction, accident scene recovery, multi-axle vehicle recovery: </w:t>
      </w:r>
      <w:r>
        <w:rPr>
          <w:rFonts w:ascii="Arial" w:cs="Arial" w:eastAsia="Arial" w:hAnsi="Arial"/>
          <w:sz w:val="22"/>
          <w:szCs w:val="22"/>
        </w:rPr>
        <w:t xml:space="preserve">Complex Recovery Operations</w:t>
      </w:r>
    </w:p>
    <w:p>
      <w:pPr>
        <w:pStyle w:val="ListParagraph"/>
        <w:numPr>
          <w:ilvl w:val="0"/>
          <w:numId w:val="2"/>
        </w:numPr>
        <w:spacing w:before="40" w:after="40"/>
      </w:pPr>
      <w:r>
        <w:rPr>
          <w:rFonts w:ascii="Arial" w:cs="Arial" w:eastAsia="Arial" w:hAnsi="Arial"/>
          <w:b/>
          <w:bCs/>
          <w:sz w:val="22"/>
          <w:szCs w:val="22"/>
        </w:rPr>
        <w:t xml:space="preserve">Corporate contracts, SLA agreements, volume pricing, dedicated account management: </w:t>
      </w:r>
      <w:r>
        <w:rPr>
          <w:rFonts w:ascii="Arial" w:cs="Arial" w:eastAsia="Arial" w:hAnsi="Arial"/>
          <w:sz w:val="22"/>
          <w:szCs w:val="22"/>
        </w:rPr>
        <w:t xml:space="preserve">Fleet &amp; Commercial Accounts</w:t>
      </w:r>
    </w:p>
    <w:p>
      <w:pPr>
        <w:pStyle w:val="ListParagraph"/>
        <w:numPr>
          <w:ilvl w:val="0"/>
          <w:numId w:val="2"/>
        </w:numPr>
        <w:spacing w:before="40" w:after="40"/>
      </w:pPr>
      <w:r>
        <w:rPr>
          <w:rFonts w:ascii="Arial" w:cs="Arial" w:eastAsia="Arial" w:hAnsi="Arial"/>
          <w:b/>
          <w:bCs/>
          <w:sz w:val="22"/>
          <w:szCs w:val="22"/>
        </w:rPr>
        <w:t xml:space="preserve">With proper permits and route planning — long-distance heavy transport across California and beyond: </w:t>
      </w:r>
      <w:r>
        <w:rPr>
          <w:rFonts w:ascii="Arial" w:cs="Arial" w:eastAsia="Arial" w:hAnsi="Arial"/>
          <w:sz w:val="22"/>
          <w:szCs w:val="22"/>
        </w:rPr>
        <w:t xml:space="preserve">Interstate Hauling</w:t>
      </w:r>
    </w:p>
    <w:p>
      <w:pPr>
        <w:pStyle w:val="ListParagraph"/>
        <w:numPr>
          <w:ilvl w:val="0"/>
          <w:numId w:val="2"/>
        </w:numPr>
        <w:spacing w:before="40" w:after="40"/>
      </w:pPr>
      <w:r>
        <w:rPr>
          <w:rFonts w:ascii="Arial" w:cs="Arial" w:eastAsia="Arial" w:hAnsi="Arial"/>
          <w:b/>
          <w:bCs/>
          <w:sz w:val="22"/>
          <w:szCs w:val="22"/>
        </w:rPr>
        <w:t xml:space="preserve">Tractor-trailers, 18-wheelers, big rigs, tanker trucks: </w:t>
      </w:r>
      <w:r>
        <w:rPr>
          <w:rFonts w:ascii="Arial" w:cs="Arial" w:eastAsia="Arial" w:hAnsi="Arial"/>
          <w:sz w:val="22"/>
          <w:szCs w:val="22"/>
        </w:rPr>
        <w:t xml:space="preserve">Class 7–8 Trucks &amp; Semi-Trucks</w:t>
      </w:r>
    </w:p>
    <w:p>
      <w:pPr>
        <w:pStyle w:val="ListParagraph"/>
        <w:numPr>
          <w:ilvl w:val="0"/>
          <w:numId w:val="2"/>
        </w:numPr>
        <w:spacing w:before="40" w:after="40"/>
      </w:pPr>
      <w:r>
        <w:rPr>
          <w:rFonts w:ascii="Arial" w:cs="Arial" w:eastAsia="Arial" w:hAnsi="Arial"/>
          <w:b/>
          <w:bCs/>
          <w:sz w:val="22"/>
          <w:szCs w:val="22"/>
        </w:rPr>
        <w:t xml:space="preserve">Full-size transit buses, coach buses, shuttle fleets: </w:t>
      </w:r>
      <w:r>
        <w:rPr>
          <w:rFonts w:ascii="Arial" w:cs="Arial" w:eastAsia="Arial" w:hAnsi="Arial"/>
          <w:sz w:val="22"/>
          <w:szCs w:val="22"/>
        </w:rPr>
        <w:t xml:space="preserve">City Buses &amp; Transit Vehicles</w:t>
      </w:r>
    </w:p>
    <w:p>
      <w:pPr>
        <w:pStyle w:val="ListParagraph"/>
        <w:numPr>
          <w:ilvl w:val="0"/>
          <w:numId w:val="2"/>
        </w:numPr>
        <w:spacing w:before="40" w:after="40"/>
      </w:pPr>
      <w:r>
        <w:rPr>
          <w:rFonts w:ascii="Arial" w:cs="Arial" w:eastAsia="Arial" w:hAnsi="Arial"/>
          <w:b/>
          <w:bCs/>
          <w:sz w:val="22"/>
          <w:szCs w:val="22"/>
        </w:rPr>
        <w:t xml:space="preserve">Oversized and wide-load transport with permit management: </w:t>
      </w:r>
      <w:r>
        <w:rPr>
          <w:rFonts w:ascii="Arial" w:cs="Arial" w:eastAsia="Arial" w:hAnsi="Arial"/>
          <w:sz w:val="22"/>
          <w:szCs w:val="22"/>
        </w:rPr>
        <w:t xml:space="preserve">Mobile Homes &amp; Specialty Loads</w:t>
      </w:r>
    </w:p>
    <w:p>
      <w:pPr>
        <w:pStyle w:val="ListParagraph"/>
        <w:numPr>
          <w:ilvl w:val="0"/>
          <w:numId w:val="2"/>
        </w:numPr>
        <w:spacing w:before="40" w:after="40"/>
      </w:pPr>
      <w:r>
        <w:rPr>
          <w:rFonts w:ascii="Arial" w:cs="Arial" w:eastAsia="Arial" w:hAnsi="Arial"/>
          <w:b/>
          <w:bCs/>
          <w:sz w:val="22"/>
          <w:szCs w:val="22"/>
        </w:rPr>
        <w:t xml:space="preserve">Cleared for government fleet recovery operations: </w:t>
      </w:r>
      <w:r>
        <w:rPr>
          <w:rFonts w:ascii="Arial" w:cs="Arial" w:eastAsia="Arial" w:hAnsi="Arial"/>
          <w:sz w:val="22"/>
          <w:szCs w:val="22"/>
        </w:rPr>
        <w:t xml:space="preserve">Military &amp; Government Vehicles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60"/>
              <w:left w:type="dxa" w:w="200"/>
              <w:bottom w:type="dxa" w:w="160"/>
              <w:right w:type="dxa" w:w="200"/>
            </w:tcMar>
          </w:tcPr>
          <w:p>
            <w:pPr>
              <w:spacing w:before="40" w:after="40"/>
            </w:pPr>
            <w:r>
              <w:rPr>
                <w:rFonts w:ascii="Arial" w:cs="Arial" w:eastAsia="Arial" w:hAnsi="Arial"/>
                <w:b/>
                <w:bCs/>
                <w:color w:val="1A3C6E"/>
                <w:sz w:val="22"/>
                <w:szCs w:val="22"/>
              </w:rPr>
              <w:t xml:space="preserve">Services NOT Offered — Strategic Exclusions (Important for Ad Copy)</w:t>
            </w:r>
          </w:p>
          <w:p>
            <w:pPr>
              <w:spacing w:before="40" w:after="40"/>
            </w:pPr>
            <w:r>
              <w:rPr>
                <w:rFonts w:ascii="Arial" w:cs="Arial" w:eastAsia="Arial" w:hAnsi="Arial"/>
                <w:b/>
                <w:bCs/>
                <w:color w:val="CC0000"/>
                <w:sz w:val="22"/>
                <w:szCs w:val="22"/>
              </w:rPr>
              <w:t xml:space="preserve">Heavy Haulers deliberately DOES NOT offer: Battery jumpstarts | Tire changes | Lockout services | Gas/fuel delivery</w:t>
            </w:r>
          </w:p>
          <w:p>
            <w:pPr>
              <w:spacing w:before="40" w:after="40"/>
            </w:pPr>
            <w:r>
              <w:rPr>
                <w:rFonts w:ascii="Arial" w:cs="Arial" w:eastAsia="Arial" w:hAnsi="Arial"/>
                <w:sz w:val="22"/>
                <w:szCs w:val="22"/>
              </w:rPr>
              <w:t xml:space="preserve">This is a strategic decision to maintain fleet quality and operator focus. Ad campaigns must NOT include keywords targeting these excluded services. Negative keywords for these terms should be added to all campaigns.</w:t>
            </w:r>
          </w:p>
        </w:tc>
      </w:tr>
    </w:tbl>
    <w:p>
      <w:pPr>
        <w:spacing w:before="60" w:after="60"/>
      </w:pPr>
      <w:r>
        <w:t xml:space="preserve"/>
      </w:r>
    </w:p>
    <w:p>
      <w:pPr>
        <w:pStyle w:val="Heading1"/>
        <w:pBdr>
          <w:bottom w:val="single" w:color="1A3C6E" w:sz="8" w:space="4"/>
        </w:pBdr>
        <w:spacing w:before="400" w:after="200"/>
      </w:pPr>
      <w:r>
        <w:rPr>
          <w:rFonts w:ascii="Arial" w:cs="Arial" w:eastAsia="Arial" w:hAnsi="Arial"/>
          <w:b/>
          <w:bCs/>
          <w:color w:val="1A3C6E"/>
          <w:sz w:val="32"/>
          <w:szCs w:val="32"/>
        </w:rPr>
        <w:t xml:space="preserve">4. Geographic Coverage &amp; Dispatch Network</w:t>
      </w:r>
    </w:p>
    <w:p>
      <w:pPr>
        <w:spacing w:before="80" w:after="80"/>
      </w:pPr>
      <w:r>
        <w:rPr>
          <w:rFonts w:ascii="Arial" w:cs="Arial" w:eastAsia="Arial" w:hAnsi="Arial"/>
          <w:sz w:val="22"/>
          <w:szCs w:val="22"/>
        </w:rPr>
        <w:t xml:space="preserve">Heavy Haulers operates across 5 counties, serving 60+ cities and districts from 6 strategically placed dispatch hubs. This multi-hub model enables the industry-leading response times that are central to the brand's value proposition.</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4.1 County Coverage &amp; Contact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County</w:t>
            </w:r>
          </w:p>
        </w:tc>
        <w:tc>
          <w:tcPr>
            <w:tcW w:type="dxa" w:w="1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Phone</w:t>
            </w:r>
          </w:p>
        </w:tc>
        <w:tc>
          <w:tcPr>
            <w:tcW w:type="dxa" w:w="51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Key Areas Served</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San Francisco County</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650-881-2400</w:t>
            </w:r>
          </w:p>
        </w:tc>
        <w:tc>
          <w:tcPr>
            <w:tcW w:type="dxa" w:w="5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0"/>
                <w:szCs w:val="20"/>
              </w:rPr>
              <w:t xml:space="preserve">Mission, SOMA, Financial District, North Beach, Richmond, Tenderloin, Castro, Haight-Ashbury, Marina, Sunset, and more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San Mateo County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650-881-2400</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San Mateo, Redwood City, Daly City, South San Francisco, Menlo Park, Burlingame, Millbrae, Half Moon Bay, Brisbane, and more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Alameda County (East Bay)</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510-800-3800</w:t>
            </w:r>
          </w:p>
        </w:tc>
        <w:tc>
          <w:tcPr>
            <w:tcW w:type="dxa" w:w="5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0"/>
                <w:szCs w:val="20"/>
              </w:rPr>
              <w:t xml:space="preserve">Oakland, Hayward, Berkeley, Fremont, San Leandro, Alameda, Union City, Pleasanton, Livermore, and more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Santa Clara County (South Bay)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408-800-3800</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San Jose, Santa Clara, Sunnyvale, Mountain View, Palo Alto, Cupertino, Milpitas, Campbell, Los Gatos, and more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San Joaquin County (Central Valley)</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916-701-2200</w:t>
            </w:r>
          </w:p>
        </w:tc>
        <w:tc>
          <w:tcPr>
            <w:tcW w:type="dxa" w:w="5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0"/>
                <w:szCs w:val="20"/>
              </w:rPr>
              <w:t xml:space="preserve">Stockton and surrounding Central Valley areas</w:t>
            </w:r>
          </w:p>
        </w:tc>
      </w:tr>
    </w:tbl>
    <w:p>
      <w:pPr>
        <w:spacing w:before="60" w:after="60"/>
      </w:pPr>
      <w:r>
        <w:t xml:space="preserve"/>
      </w:r>
    </w:p>
    <w:p>
      <w:pPr>
        <w:pStyle w:val="Heading2"/>
        <w:spacing w:before="280" w:after="120"/>
      </w:pPr>
      <w:r>
        <w:rPr>
          <w:rFonts w:ascii="Arial" w:cs="Arial" w:eastAsia="Arial" w:hAnsi="Arial"/>
          <w:b/>
          <w:bCs/>
          <w:color w:val="1A3C6E"/>
          <w:sz w:val="26"/>
          <w:szCs w:val="26"/>
        </w:rPr>
        <w:t xml:space="preserve">4.2 Dispatch Hub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Hub</w:t>
            </w:r>
          </w:p>
        </w:tc>
        <w:tc>
          <w:tcPr>
            <w:tcW w:type="dxa" w:w="43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Address</w:t>
            </w:r>
          </w:p>
        </w:tc>
        <w:tc>
          <w:tcPr>
            <w:tcW w:type="dxa" w:w="2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Phone</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Brisbane (Main HQ)</w:t>
            </w:r>
          </w:p>
        </w:tc>
        <w:tc>
          <w:tcPr>
            <w:tcW w:type="dxa" w:w="4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0"/>
                <w:szCs w:val="20"/>
              </w:rPr>
              <w:t xml:space="preserve">351 Industrial Way, Brisbane, CA 94005</w:t>
            </w:r>
          </w:p>
        </w:tc>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650-881-2400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San Mateo</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403 1st Avenue, San Mateo, CA 94401</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650-881-2400</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San Leandro</w:t>
            </w:r>
          </w:p>
        </w:tc>
        <w:tc>
          <w:tcPr>
            <w:tcW w:type="dxa" w:w="4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0"/>
                <w:szCs w:val="20"/>
              </w:rPr>
              <w:t xml:space="preserve">1405 Washington Ave, San Leandro, CA 94578</w:t>
            </w:r>
          </w:p>
        </w:tc>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510-800-3800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Hayward</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2454 Whipple Rd, Hayward, CA 94544</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510-800-3800</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San Jose</w:t>
            </w:r>
          </w:p>
        </w:tc>
        <w:tc>
          <w:tcPr>
            <w:tcW w:type="dxa" w:w="4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0"/>
                <w:szCs w:val="20"/>
              </w:rPr>
              <w:t xml:space="preserve">50 N Sunset Ave, San Jose, CA 95116</w:t>
            </w:r>
          </w:p>
        </w:tc>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408-800-3800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Stockton</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3990 N Wilson Way, Stockton, CA 95205</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916-701-2200</w:t>
            </w:r>
          </w:p>
        </w:tc>
      </w:tr>
    </w:tbl>
    <w:p>
      <w:pPr>
        <w:spacing w:before="60" w:after="60"/>
      </w:pPr>
      <w:r>
        <w:t xml:space="preserve"/>
      </w:r>
    </w:p>
    <w:p>
      <w:pPr>
        <w:pStyle w:val="Heading2"/>
        <w:spacing w:before="280" w:after="120"/>
      </w:pPr>
      <w:r>
        <w:rPr>
          <w:rFonts w:ascii="Arial" w:cs="Arial" w:eastAsia="Arial" w:hAnsi="Arial"/>
          <w:b/>
          <w:bCs/>
          <w:color w:val="1A3C6E"/>
          <w:sz w:val="26"/>
          <w:szCs w:val="26"/>
        </w:rPr>
        <w:t xml:space="preserve">4.3 Key Highway &amp; Freight Corridors</w:t>
      </w:r>
    </w:p>
    <w:p>
      <w:pPr>
        <w:spacing w:before="80" w:after="80"/>
      </w:pPr>
      <w:r>
        <w:rPr>
          <w:rFonts w:ascii="Arial" w:cs="Arial" w:eastAsia="Arial" w:hAnsi="Arial"/>
          <w:sz w:val="22"/>
          <w:szCs w:val="22"/>
        </w:rPr>
        <w:t xml:space="preserve">Heavy Haulers' multi-hub placement gives them strategic coverage of the Bay Area's highest-volume towing corridors:</w:t>
      </w:r>
    </w:p>
    <w:p>
      <w:pPr>
        <w:pStyle w:val="ListParagraph"/>
        <w:numPr>
          <w:ilvl w:val="0"/>
          <w:numId w:val="2"/>
        </w:numPr>
        <w:spacing w:before="40" w:after="40"/>
      </w:pPr>
      <w:r>
        <w:rPr>
          <w:rFonts w:ascii="Arial" w:cs="Arial" w:eastAsia="Arial" w:hAnsi="Arial"/>
          <w:sz w:val="22"/>
          <w:szCs w:val="22"/>
        </w:rPr>
        <w:t xml:space="preserve">I-80 (Bay Bridge / Eastshore Corridor) — SF ↔ Oakland ↔ Stockton (covered by SF, Brisbane, San Leandro, and Stockton hubs)</w:t>
      </w:r>
    </w:p>
    <w:p>
      <w:pPr>
        <w:pStyle w:val="ListParagraph"/>
        <w:numPr>
          <w:ilvl w:val="0"/>
          <w:numId w:val="2"/>
        </w:numPr>
        <w:spacing w:before="40" w:after="40"/>
      </w:pPr>
      <w:r>
        <w:rPr>
          <w:rFonts w:ascii="Arial" w:cs="Arial" w:eastAsia="Arial" w:hAnsi="Arial"/>
          <w:sz w:val="22"/>
          <w:szCs w:val="22"/>
        </w:rPr>
        <w:t xml:space="preserve">US-101 (Peninsula Corridor) — SF ↔ San Mateo ↔ San Jose (Brisbane + San Mateo + San Jose hubs)</w:t>
      </w:r>
    </w:p>
    <w:p>
      <w:pPr>
        <w:pStyle w:val="ListParagraph"/>
        <w:numPr>
          <w:ilvl w:val="0"/>
          <w:numId w:val="2"/>
        </w:numPr>
        <w:spacing w:before="40" w:after="40"/>
      </w:pPr>
      <w:r>
        <w:rPr>
          <w:rFonts w:ascii="Arial" w:cs="Arial" w:eastAsia="Arial" w:hAnsi="Arial"/>
          <w:sz w:val="22"/>
          <w:szCs w:val="22"/>
        </w:rPr>
        <w:t xml:space="preserve">I-880 (East Bay Industrial/Port Corridor) — Oakland ↔ Fremont ↔ Hayward (San Leandro + Hayward hubs)</w:t>
      </w:r>
    </w:p>
    <w:p>
      <w:pPr>
        <w:pStyle w:val="ListParagraph"/>
        <w:numPr>
          <w:ilvl w:val="0"/>
          <w:numId w:val="2"/>
        </w:numPr>
        <w:spacing w:before="40" w:after="40"/>
      </w:pPr>
      <w:r>
        <w:rPr>
          <w:rFonts w:ascii="Arial" w:cs="Arial" w:eastAsia="Arial" w:hAnsi="Arial"/>
          <w:sz w:val="22"/>
          <w:szCs w:val="22"/>
        </w:rPr>
        <w:t xml:space="preserve">I-280 (Westside Peninsula) — SF ↔ Daly City ↔ San Jose</w:t>
      </w:r>
    </w:p>
    <w:p>
      <w:pPr>
        <w:pStyle w:val="ListParagraph"/>
        <w:numPr>
          <w:ilvl w:val="0"/>
          <w:numId w:val="2"/>
        </w:numPr>
        <w:spacing w:before="40" w:after="40"/>
      </w:pPr>
      <w:r>
        <w:rPr>
          <w:rFonts w:ascii="Arial" w:cs="Arial" w:eastAsia="Arial" w:hAnsi="Arial"/>
          <w:sz w:val="22"/>
          <w:szCs w:val="22"/>
        </w:rPr>
        <w:t xml:space="preserve">I-580 (Tri-Valley) — Oakland ↔ Livermore ↔ Tracy</w:t>
      </w:r>
    </w:p>
    <w:p>
      <w:pPr>
        <w:pStyle w:val="ListParagraph"/>
        <w:numPr>
          <w:ilvl w:val="0"/>
          <w:numId w:val="2"/>
        </w:numPr>
        <w:spacing w:before="40" w:after="40"/>
      </w:pPr>
      <w:r>
        <w:rPr>
          <w:rFonts w:ascii="Arial" w:cs="Arial" w:eastAsia="Arial" w:hAnsi="Arial"/>
          <w:sz w:val="22"/>
          <w:szCs w:val="22"/>
        </w:rPr>
        <w:t xml:space="preserve">I-680 (East Bay to South Bay) — Concord ↔ San Jose</w:t>
      </w:r>
    </w:p>
    <w:p>
      <w:pPr>
        <w:pStyle w:val="ListParagraph"/>
        <w:numPr>
          <w:ilvl w:val="0"/>
          <w:numId w:val="2"/>
        </w:numPr>
        <w:spacing w:before="40" w:after="40"/>
      </w:pPr>
      <w:r>
        <w:rPr>
          <w:rFonts w:ascii="Arial" w:cs="Arial" w:eastAsia="Arial" w:hAnsi="Arial"/>
          <w:sz w:val="22"/>
          <w:szCs w:val="22"/>
        </w:rPr>
        <w:t xml:space="preserve">I-5 / SR-99 (Central Valley) — Stockton area freight corridor</w:t>
      </w:r>
    </w:p>
    <w:p>
      <w:pPr>
        <w:spacing w:before="60" w:after="60"/>
      </w:pPr>
      <w:r>
        <w:t xml:space="preserve"/>
      </w:r>
    </w:p>
    <w:p>
      <w:pPr>
        <w:pStyle w:val="Heading1"/>
        <w:pBdr>
          <w:bottom w:val="single" w:color="1A3C6E" w:sz="8" w:space="4"/>
        </w:pBdr>
        <w:spacing w:before="400" w:after="200"/>
      </w:pPr>
      <w:r>
        <w:rPr>
          <w:rFonts w:ascii="Arial" w:cs="Arial" w:eastAsia="Arial" w:hAnsi="Arial"/>
          <w:b/>
          <w:bCs/>
          <w:color w:val="1A3C6E"/>
          <w:sz w:val="32"/>
          <w:szCs w:val="32"/>
        </w:rPr>
        <w:t xml:space="preserve">5. Operations, Training &amp; Standards</w:t>
      </w:r>
    </w:p>
    <w:p>
      <w:pPr>
        <w:pStyle w:val="Heading2"/>
        <w:spacing w:before="280" w:after="120"/>
      </w:pPr>
      <w:r>
        <w:rPr>
          <w:rFonts w:ascii="Arial" w:cs="Arial" w:eastAsia="Arial" w:hAnsi="Arial"/>
          <w:b/>
          <w:bCs/>
          <w:color w:val="1A3C6E"/>
          <w:sz w:val="26"/>
          <w:szCs w:val="26"/>
        </w:rPr>
        <w:t xml:space="preserve">5.1 Response Time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pPr>
              <w:spacing w:before="40" w:after="40"/>
            </w:pPr>
            <w:r>
              <w:rPr>
                <w:rFonts w:ascii="Arial" w:cs="Arial" w:eastAsia="Arial" w:hAnsi="Arial"/>
                <w:b/>
                <w:bCs/>
                <w:color w:val="1A3C6E"/>
                <w:sz w:val="22"/>
                <w:szCs w:val="22"/>
              </w:rPr>
              <w:t xml:space="preserve">Response Time Commitment</w:t>
            </w:r>
          </w:p>
          <w:p>
            <w:pPr>
              <w:spacing w:before="40" w:after="40"/>
            </w:pPr>
            <w:r>
              <w:rPr>
                <w:rFonts w:ascii="Arial" w:cs="Arial" w:eastAsia="Arial" w:hAnsi="Arial"/>
                <w:sz w:val="22"/>
                <w:szCs w:val="22"/>
              </w:rPr>
              <w:t xml:space="preserve">Light-Duty: 15–30 minutes (primary service areas) | Medium/Commercial: 20–45 minutes (priority dispatch) | Overall Average: 15 minutes
This is a critical USP — the average Bay Area competitor quotes 30–60 minutes. HeavyTowPro's 15-minute average is a headline-worthy differentiator for ad copy.</w:t>
            </w:r>
          </w:p>
        </w:tc>
      </w:tr>
    </w:tbl>
    <w:p>
      <w:pPr>
        <w:spacing w:before="60" w:after="60"/>
      </w:pPr>
      <w:r>
        <w:t xml:space="preserve"/>
      </w:r>
    </w:p>
    <w:p>
      <w:pPr>
        <w:pStyle w:val="Heading2"/>
        <w:spacing w:before="280" w:after="120"/>
      </w:pPr>
      <w:r>
        <w:rPr>
          <w:rFonts w:ascii="Arial" w:cs="Arial" w:eastAsia="Arial" w:hAnsi="Arial"/>
          <w:b/>
          <w:bCs/>
          <w:color w:val="1A3C6E"/>
          <w:sz w:val="26"/>
          <w:szCs w:val="26"/>
        </w:rPr>
        <w:t xml:space="preserve">5.2 Training &amp; Certification Programme</w:t>
      </w:r>
    </w:p>
    <w:p>
      <w:pPr>
        <w:pStyle w:val="ListParagraph"/>
        <w:numPr>
          <w:ilvl w:val="0"/>
          <w:numId w:val="2"/>
        </w:numPr>
        <w:spacing w:before="40" w:after="40"/>
      </w:pPr>
      <w:r>
        <w:rPr>
          <w:rFonts w:ascii="Arial" w:cs="Arial" w:eastAsia="Arial" w:hAnsi="Arial"/>
          <w:sz w:val="22"/>
          <w:szCs w:val="22"/>
        </w:rPr>
        <w:t xml:space="preserve">Monthly safety and equipment certification updates — operators maintain current certification continuously</w:t>
      </w:r>
    </w:p>
    <w:p>
      <w:pPr>
        <w:pStyle w:val="ListParagraph"/>
        <w:numPr>
          <w:ilvl w:val="0"/>
          <w:numId w:val="2"/>
        </w:numPr>
        <w:spacing w:before="40" w:after="40"/>
      </w:pPr>
      <w:r>
        <w:rPr>
          <w:rFonts w:ascii="Arial" w:cs="Arial" w:eastAsia="Arial" w:hAnsi="Arial"/>
          <w:sz w:val="22"/>
          <w:szCs w:val="22"/>
        </w:rPr>
        <w:t xml:space="preserve">Advanced rigging and recovery technique workshops — critical for heavy-duty and complex recovery scenarios</w:t>
      </w:r>
    </w:p>
    <w:p>
      <w:pPr>
        <w:pStyle w:val="ListParagraph"/>
        <w:numPr>
          <w:ilvl w:val="0"/>
          <w:numId w:val="2"/>
        </w:numPr>
        <w:spacing w:before="40" w:after="40"/>
      </w:pPr>
      <w:r>
        <w:rPr>
          <w:rFonts w:ascii="Arial" w:cs="Arial" w:eastAsia="Arial" w:hAnsi="Arial"/>
          <w:sz w:val="22"/>
          <w:szCs w:val="22"/>
        </w:rPr>
        <w:t xml:space="preserve">Customer service excellence training — professional, courteous interaction at every touchpoint</w:t>
      </w:r>
    </w:p>
    <w:p>
      <w:pPr>
        <w:pStyle w:val="ListParagraph"/>
        <w:numPr>
          <w:ilvl w:val="0"/>
          <w:numId w:val="2"/>
        </w:numPr>
        <w:spacing w:before="40" w:after="40"/>
      </w:pPr>
      <w:r>
        <w:rPr>
          <w:rFonts w:ascii="Arial" w:cs="Arial" w:eastAsia="Arial" w:hAnsi="Arial"/>
          <w:sz w:val="22"/>
          <w:szCs w:val="22"/>
        </w:rPr>
        <w:t xml:space="preserve">Emergency response protocol drills — preparedness for high-stress, complex recovery situations</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5.3 Communication &amp; Customer Experience Standards</w:t>
      </w:r>
    </w:p>
    <w:p>
      <w:pPr>
        <w:pStyle w:val="ListParagraph"/>
        <w:numPr>
          <w:ilvl w:val="0"/>
          <w:numId w:val="2"/>
        </w:numPr>
        <w:spacing w:before="40" w:after="40"/>
      </w:pPr>
      <w:r>
        <w:rPr>
          <w:rFonts w:ascii="Arial" w:cs="Arial" w:eastAsia="Arial" w:hAnsi="Arial"/>
          <w:sz w:val="22"/>
          <w:szCs w:val="22"/>
        </w:rPr>
        <w:t xml:space="preserve">Real-time updates during service calls — customers never left wondering where the truck is</w:t>
      </w:r>
    </w:p>
    <w:p>
      <w:pPr>
        <w:pStyle w:val="ListParagraph"/>
        <w:numPr>
          <w:ilvl w:val="0"/>
          <w:numId w:val="2"/>
        </w:numPr>
        <w:spacing w:before="40" w:after="40"/>
      </w:pPr>
      <w:r>
        <w:rPr>
          <w:rFonts w:ascii="Arial" w:cs="Arial" w:eastAsia="Arial" w:hAnsi="Arial"/>
          <w:sz w:val="22"/>
          <w:szCs w:val="22"/>
        </w:rPr>
        <w:t xml:space="preserve">Multilingual dispatch capabilities — serving the Bay Area's diverse population</w:t>
      </w:r>
    </w:p>
    <w:p>
      <w:pPr>
        <w:pStyle w:val="ListParagraph"/>
        <w:numPr>
          <w:ilvl w:val="0"/>
          <w:numId w:val="2"/>
        </w:numPr>
        <w:spacing w:before="40" w:after="40"/>
      </w:pPr>
      <w:r>
        <w:rPr>
          <w:rFonts w:ascii="Arial" w:cs="Arial" w:eastAsia="Arial" w:hAnsi="Arial"/>
          <w:sz w:val="22"/>
          <w:szCs w:val="22"/>
        </w:rPr>
        <w:t xml:space="preserve">Transparent pricing discussions before work begins — no surprise charges</w:t>
      </w:r>
    </w:p>
    <w:p>
      <w:pPr>
        <w:pStyle w:val="ListParagraph"/>
        <w:numPr>
          <w:ilvl w:val="0"/>
          <w:numId w:val="2"/>
        </w:numPr>
        <w:spacing w:before="40" w:after="40"/>
      </w:pPr>
      <w:r>
        <w:rPr>
          <w:rFonts w:ascii="Arial" w:cs="Arial" w:eastAsia="Arial" w:hAnsi="Arial"/>
          <w:sz w:val="22"/>
          <w:szCs w:val="22"/>
        </w:rPr>
        <w:t xml:space="preserve">Free quotes within 15 minutes during business hours — quotes valid for 7 days</w:t>
      </w:r>
    </w:p>
    <w:p>
      <w:pPr>
        <w:pStyle w:val="ListParagraph"/>
        <w:numPr>
          <w:ilvl w:val="0"/>
          <w:numId w:val="2"/>
        </w:numPr>
        <w:spacing w:before="40" w:after="40"/>
      </w:pPr>
      <w:r>
        <w:rPr>
          <w:rFonts w:ascii="Arial" w:cs="Arial" w:eastAsia="Arial" w:hAnsi="Arial"/>
          <w:sz w:val="22"/>
          <w:szCs w:val="22"/>
        </w:rPr>
        <w:t xml:space="preserve">Post-service feedback surveys and quality assurance reviews — continuous improvement loop</w:t>
      </w:r>
    </w:p>
    <w:p>
      <w:pPr>
        <w:spacing w:before="60" w:after="60"/>
      </w:pPr>
      <w:r>
        <w:t xml:space="preserve"/>
      </w:r>
    </w:p>
    <w:p>
      <w:pPr>
        <w:pStyle w:val="Heading1"/>
        <w:pBdr>
          <w:bottom w:val="single" w:color="1A3C6E" w:sz="8" w:space="4"/>
        </w:pBdr>
        <w:spacing w:before="400" w:after="200"/>
      </w:pPr>
      <w:r>
        <w:rPr>
          <w:rFonts w:ascii="Arial" w:cs="Arial" w:eastAsia="Arial" w:hAnsi="Arial"/>
          <w:b/>
          <w:bCs/>
          <w:color w:val="1A3C6E"/>
          <w:sz w:val="32"/>
          <w:szCs w:val="32"/>
        </w:rPr>
        <w:t xml:space="preserve">6. Licensing, Compliance &amp; Certifications</w:t>
      </w:r>
    </w:p>
    <w:p>
      <w:pPr>
        <w:spacing w:before="80" w:after="80"/>
      </w:pPr>
      <w:r>
        <w:rPr>
          <w:rFonts w:ascii="Arial" w:cs="Arial" w:eastAsia="Arial" w:hAnsi="Arial"/>
          <w:sz w:val="22"/>
          <w:szCs w:val="22"/>
        </w:rPr>
        <w:t xml:space="preserve">Heavy Haulers operates with full regulatory compliance — a critical trust signal in the towing industry where unlicensed operators are a persistent consumer concern.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Credential / Compliance</w:t>
            </w:r>
          </w:p>
        </w:tc>
        <w:tc>
          <w:tcPr>
            <w:tcW w:type="dxa" w:w="61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Detail</w:t>
            </w:r>
          </w:p>
        </w:tc>
      </w:tr>
      <w:tr>
        <w:tc>
          <w:tcPr>
            <w:tcW w:type="dxa" w:w="3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California Commercial Towing Licences</w:t>
            </w:r>
          </w:p>
        </w:tc>
        <w:tc>
          <w:tcPr>
            <w:tcW w:type="dxa" w:w="6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Full licences and permits for all vehicle weight classes — light through heavy-duty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DOT Compliance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All vehicles and operators Department of Transportation compliant</w:t>
            </w:r>
          </w:p>
        </w:tc>
      </w:tr>
      <w:tr>
        <w:tc>
          <w:tcPr>
            <w:tcW w:type="dxa" w:w="3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OSHA Safety Training</w:t>
            </w:r>
          </w:p>
        </w:tc>
        <w:tc>
          <w:tcPr>
            <w:tcW w:type="dxa" w:w="6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Operators OSHA-trained for worksite and roadside safety standards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Heavy Equipment Certifications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Specialised certifications for complex rigging and recovery equipment operations</w:t>
            </w:r>
          </w:p>
        </w:tc>
      </w:tr>
      <w:tr>
        <w:tc>
          <w:tcPr>
            <w:tcW w:type="dxa" w:w="3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Liability &amp; Cargo Insurance</w:t>
            </w:r>
          </w:p>
        </w:tc>
        <w:tc>
          <w:tcPr>
            <w:tcW w:type="dxa" w:w="6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Comprehensive coverage including specialised insurance for high-value luxury and exotic vehicles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CTTA Membership</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California Tow Truck Association — industry body membership confirms legitimacy and standards adherence</w:t>
            </w:r>
          </w:p>
        </w:tc>
      </w:tr>
      <w:tr>
        <w:tc>
          <w:tcPr>
            <w:tcW w:type="dxa" w:w="3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ITRA Membership</w:t>
            </w:r>
          </w:p>
        </w:tc>
        <w:tc>
          <w:tcPr>
            <w:tcW w:type="dxa" w:w="6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International Towing &amp; Recovery Association — global professional standards membership</w:t>
            </w:r>
          </w:p>
        </w:tc>
      </w:tr>
    </w:tbl>
    <w:p>
      <w:pPr>
        <w:spacing w:before="60" w:after="60"/>
      </w:pPr>
      <w:r>
        <w:t xml:space="preserve"/>
      </w:r>
    </w:p>
    <w:p>
      <w:pPr>
        <w:pStyle w:val="Heading1"/>
        <w:pBdr>
          <w:bottom w:val="single" w:color="1A3C6E" w:sz="8" w:space="4"/>
        </w:pBdr>
        <w:spacing w:before="400" w:after="200"/>
      </w:pPr>
      <w:r>
        <w:rPr>
          <w:rFonts w:ascii="Arial" w:cs="Arial" w:eastAsia="Arial" w:hAnsi="Arial"/>
          <w:b/>
          <w:bCs/>
          <w:color w:val="1A3C6E"/>
          <w:sz w:val="32"/>
          <w:szCs w:val="32"/>
        </w:rPr>
        <w:t xml:space="preserve">7. Pricing Model</w:t>
      </w:r>
    </w:p>
    <w:p>
      <w:pPr>
        <w:spacing w:before="80" w:after="80"/>
      </w:pPr>
      <w:r>
        <w:rPr>
          <w:rFonts w:ascii="Arial" w:cs="Arial" w:eastAsia="Arial" w:hAnsi="Arial"/>
          <w:sz w:val="22"/>
          <w:szCs w:val="22"/>
        </w:rPr>
        <w:t xml:space="preserve">Heavy Haulers operates a transparent, no-hidden-fee pricing model — a deliberate departure from industry norms where surcharges and inflated after-hours rates are common. This is a primary conversion driver for both landing pages and ad extensions.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Service Tier</w:t>
            </w:r>
          </w:p>
        </w:tc>
        <w:tc>
          <w:tcPr>
            <w:tcW w:type="dxa" w:w="308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Bay Area Market Rate</w:t>
            </w:r>
          </w:p>
        </w:tc>
        <w:tc>
          <w:tcPr>
            <w:tcW w:type="dxa" w:w="348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HeavyTowPro Model</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Light-Duty Towing</w:t>
            </w:r>
          </w:p>
        </w:tc>
        <w:tc>
          <w:tcPr>
            <w:tcW w:type="dxa" w:w="308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Starting ~$90–$150+</w:t>
            </w:r>
          </w:p>
        </w:tc>
        <w:tc>
          <w:tcPr>
            <w:tcW w:type="dxa" w:w="348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Transparent upfront quote, no hidden fees, 7-day quote validity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Medium-Duty Towing</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$200–$450+ (call required)</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Upfront quote, call or online within 15 min</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Heavy-Duty Recovery</w:t>
            </w:r>
          </w:p>
        </w:tc>
        <w:tc>
          <w:tcPr>
            <w:tcW w:type="dxa" w:w="308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$500–$5,000+ (complex jobs)</w:t>
            </w:r>
          </w:p>
        </w:tc>
        <w:tc>
          <w:tcPr>
            <w:tcW w:type="dxa" w:w="348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Custom quote, fleet SLA pricing available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Fleet / Commercial Accts</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Variable / negotiated</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Volume pricing, SLA contracts, dedicated account mgmt</w:t>
            </w:r>
          </w:p>
        </w:tc>
      </w:tr>
    </w:tbl>
    <w:p>
      <w:pPr>
        <w:spacing w:before="60" w:after="60"/>
      </w:pPr>
      <w:r>
        <w:t xml:space="preserve"/>
      </w:r>
    </w:p>
    <w:p>
      <w:pPr>
        <w:pStyle w:val="Heading1"/>
        <w:pBdr>
          <w:bottom w:val="single" w:color="1A3C6E" w:sz="8" w:space="4"/>
        </w:pBdr>
        <w:spacing w:before="400" w:after="200"/>
      </w:pPr>
      <w:r>
        <w:rPr>
          <w:rFonts w:ascii="Arial" w:cs="Arial" w:eastAsia="Arial" w:hAnsi="Arial"/>
          <w:b/>
          <w:bCs/>
          <w:color w:val="1A3C6E"/>
          <w:sz w:val="32"/>
          <w:szCs w:val="32"/>
        </w:rPr>
        <w:t xml:space="preserve">8. Target Customer Segments</w:t>
      </w:r>
    </w:p>
    <w:p>
      <w:pPr>
        <w:pStyle w:val="Heading2"/>
        <w:spacing w:before="280" w:after="120"/>
      </w:pPr>
      <w:r>
        <w:rPr>
          <w:rFonts w:ascii="Arial" w:cs="Arial" w:eastAsia="Arial" w:hAnsi="Arial"/>
          <w:b/>
          <w:bCs/>
          <w:color w:val="1A3C6E"/>
          <w:sz w:val="26"/>
          <w:szCs w:val="26"/>
        </w:rPr>
        <w:t xml:space="preserve">8.1 Light &amp; Medium Duty — Primary Customer Segments</w:t>
      </w:r>
    </w:p>
    <w:p>
      <w:pPr>
        <w:pStyle w:val="ListParagraph"/>
        <w:numPr>
          <w:ilvl w:val="0"/>
          <w:numId w:val="2"/>
        </w:numPr>
        <w:spacing w:before="40" w:after="40"/>
      </w:pPr>
      <w:r>
        <w:rPr>
          <w:rFonts w:ascii="Arial" w:cs="Arial" w:eastAsia="Arial" w:hAnsi="Arial"/>
          <w:sz w:val="22"/>
          <w:szCs w:val="22"/>
        </w:rPr>
        <w:t xml:space="preserve">Everyday Bay Area motorists (commuters, residents, tourists with rental cars)</w:t>
      </w:r>
    </w:p>
    <w:p>
      <w:pPr>
        <w:pStyle w:val="ListParagraph"/>
        <w:numPr>
          <w:ilvl w:val="0"/>
          <w:numId w:val="2"/>
        </w:numPr>
        <w:spacing w:before="40" w:after="40"/>
      </w:pPr>
      <w:r>
        <w:rPr>
          <w:rFonts w:ascii="Arial" w:cs="Arial" w:eastAsia="Arial" w:hAnsi="Arial"/>
          <w:sz w:val="22"/>
          <w:szCs w:val="22"/>
        </w:rPr>
        <w:t xml:space="preserve">Luxury and exotic vehicle owners requiring white-glove flatbed transport</w:t>
      </w:r>
    </w:p>
    <w:p>
      <w:pPr>
        <w:pStyle w:val="ListParagraph"/>
        <w:numPr>
          <w:ilvl w:val="0"/>
          <w:numId w:val="2"/>
        </w:numPr>
        <w:spacing w:before="40" w:after="40"/>
      </w:pPr>
      <w:r>
        <w:rPr>
          <w:rFonts w:ascii="Arial" w:cs="Arial" w:eastAsia="Arial" w:hAnsi="Arial"/>
          <w:sz w:val="22"/>
          <w:szCs w:val="22"/>
        </w:rPr>
        <w:t xml:space="preserve">Motorcycle owners needing specialist two-wheel transport</w:t>
      </w:r>
    </w:p>
    <w:p>
      <w:pPr>
        <w:pStyle w:val="ListParagraph"/>
        <w:numPr>
          <w:ilvl w:val="0"/>
          <w:numId w:val="2"/>
        </w:numPr>
        <w:spacing w:before="40" w:after="40"/>
      </w:pPr>
      <w:r>
        <w:rPr>
          <w:rFonts w:ascii="Arial" w:cs="Arial" w:eastAsia="Arial" w:hAnsi="Arial"/>
          <w:sz w:val="22"/>
          <w:szCs w:val="22"/>
        </w:rPr>
        <w:t xml:space="preserve">Rideshare and gig economy drivers (vehicle reliability directly impacts income)</w:t>
      </w:r>
    </w:p>
    <w:p>
      <w:pPr>
        <w:pStyle w:val="ListParagraph"/>
        <w:numPr>
          <w:ilvl w:val="0"/>
          <w:numId w:val="2"/>
        </w:numPr>
        <w:spacing w:before="40" w:after="40"/>
      </w:pPr>
      <w:r>
        <w:rPr>
          <w:rFonts w:ascii="Arial" w:cs="Arial" w:eastAsia="Arial" w:hAnsi="Arial"/>
          <w:sz w:val="22"/>
          <w:szCs w:val="22"/>
        </w:rPr>
        <w:t xml:space="preserve">RV, motorhome, and camper van owners</w:t>
      </w:r>
    </w:p>
    <w:p>
      <w:pPr>
        <w:pStyle w:val="ListParagraph"/>
        <w:numPr>
          <w:ilvl w:val="0"/>
          <w:numId w:val="2"/>
        </w:numPr>
        <w:spacing w:before="40" w:after="40"/>
      </w:pPr>
      <w:r>
        <w:rPr>
          <w:rFonts w:ascii="Arial" w:cs="Arial" w:eastAsia="Arial" w:hAnsi="Arial"/>
          <w:sz w:val="22"/>
          <w:szCs w:val="22"/>
        </w:rPr>
        <w:t xml:space="preserve">Food truck operators — specialty commercial vehicles requiring careful rigging</w:t>
      </w:r>
    </w:p>
    <w:p>
      <w:pPr>
        <w:pStyle w:val="ListParagraph"/>
        <w:numPr>
          <w:ilvl w:val="0"/>
          <w:numId w:val="2"/>
        </w:numPr>
        <w:spacing w:before="40" w:after="40"/>
      </w:pPr>
      <w:r>
        <w:rPr>
          <w:rFonts w:ascii="Arial" w:cs="Arial" w:eastAsia="Arial" w:hAnsi="Arial"/>
          <w:sz w:val="22"/>
          <w:szCs w:val="22"/>
        </w:rPr>
        <w:t xml:space="preserve">Property managers — private property towing contracts</w:t>
      </w:r>
    </w:p>
    <w:p>
      <w:pPr>
        <w:pStyle w:val="ListParagraph"/>
        <w:numPr>
          <w:ilvl w:val="0"/>
          <w:numId w:val="2"/>
        </w:numPr>
        <w:spacing w:before="40" w:after="40"/>
      </w:pPr>
      <w:r>
        <w:rPr>
          <w:rFonts w:ascii="Arial" w:cs="Arial" w:eastAsia="Arial" w:hAnsi="Arial"/>
          <w:sz w:val="22"/>
          <w:szCs w:val="22"/>
        </w:rPr>
        <w:t xml:space="preserve">Insurance company referrals — policyholders requiring tow service</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8.2 Heavy Duty — Primary B2B Customer Segments</w:t>
      </w:r>
    </w:p>
    <w:p>
      <w:pPr>
        <w:pStyle w:val="ListParagraph"/>
        <w:numPr>
          <w:ilvl w:val="0"/>
          <w:numId w:val="2"/>
        </w:numPr>
        <w:spacing w:before="40" w:after="40"/>
      </w:pPr>
      <w:r>
        <w:rPr>
          <w:rFonts w:ascii="Arial" w:cs="Arial" w:eastAsia="Arial" w:hAnsi="Arial"/>
          <w:sz w:val="22"/>
          <w:szCs w:val="22"/>
        </w:rPr>
        <w:t xml:space="preserve">Trucking companies and freight carriers (LTL/FTL, owner-operators, regional fleets)</w:t>
      </w:r>
    </w:p>
    <w:p>
      <w:pPr>
        <w:pStyle w:val="ListParagraph"/>
        <w:numPr>
          <w:ilvl w:val="0"/>
          <w:numId w:val="2"/>
        </w:numPr>
        <w:spacing w:before="40" w:after="40"/>
      </w:pPr>
      <w:r>
        <w:rPr>
          <w:rFonts w:ascii="Arial" w:cs="Arial" w:eastAsia="Arial" w:hAnsi="Arial"/>
          <w:sz w:val="22"/>
          <w:szCs w:val="22"/>
        </w:rPr>
        <w:t xml:space="preserve">Construction companies — broken-down or stranded equipment on job sites and highways</w:t>
      </w:r>
    </w:p>
    <w:p>
      <w:pPr>
        <w:pStyle w:val="ListParagraph"/>
        <w:numPr>
          <w:ilvl w:val="0"/>
          <w:numId w:val="2"/>
        </w:numPr>
        <w:spacing w:before="40" w:after="40"/>
      </w:pPr>
      <w:r>
        <w:rPr>
          <w:rFonts w:ascii="Arial" w:cs="Arial" w:eastAsia="Arial" w:hAnsi="Arial"/>
          <w:sz w:val="22"/>
          <w:szCs w:val="22"/>
        </w:rPr>
        <w:t xml:space="preserve">Bus and transit operators — school buses, charter coaches, municipal transit</w:t>
      </w:r>
    </w:p>
    <w:p>
      <w:pPr>
        <w:pStyle w:val="ListParagraph"/>
        <w:numPr>
          <w:ilvl w:val="0"/>
          <w:numId w:val="2"/>
        </w:numPr>
        <w:spacing w:before="40" w:after="40"/>
      </w:pPr>
      <w:r>
        <w:rPr>
          <w:rFonts w:ascii="Arial" w:cs="Arial" w:eastAsia="Arial" w:hAnsi="Arial"/>
          <w:sz w:val="22"/>
          <w:szCs w:val="22"/>
        </w:rPr>
        <w:t xml:space="preserve">Municipalities and government fleet managers — public sector fleet recovery</w:t>
      </w:r>
    </w:p>
    <w:p>
      <w:pPr>
        <w:pStyle w:val="ListParagraph"/>
        <w:numPr>
          <w:ilvl w:val="0"/>
          <w:numId w:val="2"/>
        </w:numPr>
        <w:spacing w:before="40" w:after="40"/>
      </w:pPr>
      <w:r>
        <w:rPr>
          <w:rFonts w:ascii="Arial" w:cs="Arial" w:eastAsia="Arial" w:hAnsi="Arial"/>
          <w:sz w:val="22"/>
          <w:szCs w:val="22"/>
        </w:rPr>
        <w:t xml:space="preserve">Logistics and distribution hubs — Amazon DSPs, UPS, FedEx contractors in Bay Area</w:t>
      </w:r>
    </w:p>
    <w:p>
      <w:pPr>
        <w:pStyle w:val="ListParagraph"/>
        <w:numPr>
          <w:ilvl w:val="0"/>
          <w:numId w:val="2"/>
        </w:numPr>
        <w:spacing w:before="40" w:after="40"/>
      </w:pPr>
      <w:r>
        <w:rPr>
          <w:rFonts w:ascii="Arial" w:cs="Arial" w:eastAsia="Arial" w:hAnsi="Arial"/>
          <w:sz w:val="22"/>
          <w:szCs w:val="22"/>
        </w:rPr>
        <w:t xml:space="preserve">Silicon Valley tech companies — corporate fleet vehicles (employee shuttles, delivery vehicles)</w:t>
      </w:r>
    </w:p>
    <w:p>
      <w:pPr>
        <w:pStyle w:val="ListParagraph"/>
        <w:numPr>
          <w:ilvl w:val="0"/>
          <w:numId w:val="2"/>
        </w:numPr>
        <w:spacing w:before="40" w:after="40"/>
      </w:pPr>
      <w:r>
        <w:rPr>
          <w:rFonts w:ascii="Arial" w:cs="Arial" w:eastAsia="Arial" w:hAnsi="Arial"/>
          <w:sz w:val="22"/>
          <w:szCs w:val="22"/>
        </w:rPr>
        <w:t xml:space="preserve">Industrial and manufacturing facilities with heavy equipment needs</w:t>
      </w:r>
    </w:p>
    <w:p>
      <w:pPr>
        <w:pStyle w:val="ListParagraph"/>
        <w:numPr>
          <w:ilvl w:val="0"/>
          <w:numId w:val="2"/>
        </w:numPr>
        <w:spacing w:before="40" w:after="40"/>
      </w:pPr>
      <w:r>
        <w:rPr>
          <w:rFonts w:ascii="Arial" w:cs="Arial" w:eastAsia="Arial" w:hAnsi="Arial"/>
          <w:sz w:val="22"/>
          <w:szCs w:val="22"/>
        </w:rPr>
        <w:t xml:space="preserve">Agricultural operators (San Joaquin / Central Valley coverage via Stockton hub)</w:t>
      </w:r>
    </w:p>
    <w:p>
      <w:pPr>
        <w:pStyle w:val="ListParagraph"/>
        <w:numPr>
          <w:ilvl w:val="0"/>
          <w:numId w:val="2"/>
        </w:numPr>
        <w:spacing w:before="40" w:after="40"/>
      </w:pPr>
      <w:r>
        <w:rPr>
          <w:rFonts w:ascii="Arial" w:cs="Arial" w:eastAsia="Arial" w:hAnsi="Arial"/>
          <w:sz w:val="22"/>
          <w:szCs w:val="22"/>
        </w:rPr>
        <w:t xml:space="preserve">Military and government entities — cleared for government vehicle recovery</w:t>
      </w:r>
    </w:p>
    <w:p>
      <w:pPr>
        <w:spacing w:before="60" w:after="60"/>
      </w:pPr>
      <w:r>
        <w:t xml:space="preserve"/>
      </w:r>
    </w:p>
    <w:p>
      <w:pPr>
        <w:pStyle w:val="Heading1"/>
        <w:pBdr>
          <w:bottom w:val="single" w:color="1A3C6E" w:sz="8" w:space="4"/>
        </w:pBdr>
        <w:spacing w:before="400" w:after="200"/>
      </w:pPr>
      <w:r>
        <w:rPr>
          <w:rFonts w:ascii="Arial" w:cs="Arial" w:eastAsia="Arial" w:hAnsi="Arial"/>
          <w:b/>
          <w:bCs/>
          <w:color w:val="1A3C6E"/>
          <w:sz w:val="32"/>
          <w:szCs w:val="32"/>
        </w:rPr>
        <w:t xml:space="preserve">9. B2B &amp; Commercial Fleet Programme</w:t>
      </w:r>
    </w:p>
    <w:p>
      <w:pPr>
        <w:spacing w:before="80" w:after="80"/>
      </w:pPr>
      <w:r>
        <w:rPr>
          <w:rFonts w:ascii="Arial" w:cs="Arial" w:eastAsia="Arial" w:hAnsi="Arial"/>
          <w:sz w:val="22"/>
          <w:szCs w:val="22"/>
        </w:rPr>
        <w:t xml:space="preserve">Heavy Haulers has a structured B2B offering — a significant revenue and differentiation opportunity that competitors rarely advertise effectively online. This programme should have its own presence in the heavy-duty campaign.</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Fleet Service Contracts — priority dispatch agreements for commercial fleet operators</w:t>
      </w:r>
    </w:p>
    <w:p>
      <w:pPr>
        <w:pStyle w:val="ListParagraph"/>
        <w:numPr>
          <w:ilvl w:val="0"/>
          <w:numId w:val="2"/>
        </w:numPr>
        <w:spacing w:before="40" w:after="40"/>
      </w:pPr>
      <w:r>
        <w:rPr>
          <w:rFonts w:ascii="Arial" w:cs="Arial" w:eastAsia="Arial" w:hAnsi="Arial"/>
          <w:sz w:val="22"/>
          <w:szCs w:val="22"/>
        </w:rPr>
        <w:t xml:space="preserve">Service Level Agreements (SLAs) — guaranteed response times written into contract terms</w:t>
      </w:r>
    </w:p>
    <w:p>
      <w:pPr>
        <w:pStyle w:val="ListParagraph"/>
        <w:numPr>
          <w:ilvl w:val="0"/>
          <w:numId w:val="2"/>
        </w:numPr>
        <w:spacing w:before="40" w:after="40"/>
      </w:pPr>
      <w:r>
        <w:rPr>
          <w:rFonts w:ascii="Arial" w:cs="Arial" w:eastAsia="Arial" w:hAnsi="Arial"/>
          <w:sz w:val="22"/>
          <w:szCs w:val="22"/>
        </w:rPr>
        <w:t xml:space="preserve">Volume Pricing — negotiated rates for high-frequency commercial towing accounts</w:t>
      </w:r>
    </w:p>
    <w:p>
      <w:pPr>
        <w:pStyle w:val="ListParagraph"/>
        <w:numPr>
          <w:ilvl w:val="0"/>
          <w:numId w:val="2"/>
        </w:numPr>
        <w:spacing w:before="40" w:after="40"/>
      </w:pPr>
      <w:r>
        <w:rPr>
          <w:rFonts w:ascii="Arial" w:cs="Arial" w:eastAsia="Arial" w:hAnsi="Arial"/>
          <w:sz w:val="22"/>
          <w:szCs w:val="22"/>
        </w:rPr>
        <w:t xml:space="preserve">Dedicated Account Management — a named point of contact for fleet and commercial clients</w:t>
      </w:r>
    </w:p>
    <w:p>
      <w:pPr>
        <w:pStyle w:val="ListParagraph"/>
        <w:numPr>
          <w:ilvl w:val="0"/>
          <w:numId w:val="2"/>
        </w:numPr>
        <w:spacing w:before="40" w:after="40"/>
      </w:pPr>
      <w:r>
        <w:rPr>
          <w:rFonts w:ascii="Arial" w:cs="Arial" w:eastAsia="Arial" w:hAnsi="Arial"/>
          <w:sz w:val="22"/>
          <w:szCs w:val="22"/>
        </w:rPr>
        <w:t xml:space="preserve">Interstate Hauling with Permit Management — cross-state transport with full regulatory handling</w:t>
      </w:r>
    </w:p>
    <w:p>
      <w:pPr>
        <w:pStyle w:val="ListParagraph"/>
        <w:numPr>
          <w:ilvl w:val="0"/>
          <w:numId w:val="2"/>
        </w:numPr>
        <w:spacing w:before="40" w:after="40"/>
      </w:pPr>
      <w:r>
        <w:rPr>
          <w:rFonts w:ascii="Arial" w:cs="Arial" w:eastAsia="Arial" w:hAnsi="Arial"/>
          <w:sz w:val="22"/>
          <w:szCs w:val="22"/>
        </w:rPr>
        <w:t xml:space="preserve">Industries Served: Logistics, tech (Silicon Valley fleet vehicles), delivery businesses, municipalities, construction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pPr>
              <w:spacing w:before="40" w:after="40"/>
            </w:pPr>
            <w:r>
              <w:rPr>
                <w:rFonts w:ascii="Arial" w:cs="Arial" w:eastAsia="Arial" w:hAnsi="Arial"/>
                <w:b/>
                <w:bCs/>
                <w:color w:val="1A3C6E"/>
                <w:sz w:val="22"/>
                <w:szCs w:val="22"/>
              </w:rPr>
              <w:t xml:space="preserve">B2B Ad Campaign Opportunity</w:t>
            </w:r>
          </w:p>
          <w:p>
            <w:pPr>
              <w:spacing w:before="40" w:after="40"/>
            </w:pPr>
            <w:r>
              <w:rPr>
                <w:rFonts w:ascii="Arial" w:cs="Arial" w:eastAsia="Arial" w:hAnsi="Arial"/>
                <w:sz w:val="22"/>
                <w:szCs w:val="22"/>
              </w:rPr>
              <w:t xml:space="preserve">Fleet and commercial account keywords (e.g., 'commercial towing contract Bay Area', 'fleet towing service San Jose') typically have very low competition and high value per conversion. The Stockton hub also opens Central Valley freight and agricultural equipment targeting.</w:t>
            </w:r>
          </w:p>
        </w:tc>
      </w:tr>
    </w:tbl>
    <w:p>
      <w:pPr>
        <w:spacing w:before="60" w:after="60"/>
      </w:pPr>
      <w:r>
        <w:t xml:space="preserve"/>
      </w:r>
    </w:p>
    <w:p>
      <w:pPr>
        <w:pStyle w:val="Heading1"/>
        <w:pBdr>
          <w:bottom w:val="single" w:color="1A3C6E" w:sz="8" w:space="4"/>
        </w:pBdr>
        <w:spacing w:before="400" w:after="200"/>
      </w:pPr>
      <w:r>
        <w:rPr>
          <w:rFonts w:ascii="Arial" w:cs="Arial" w:eastAsia="Arial" w:hAnsi="Arial"/>
          <w:b/>
          <w:bCs/>
          <w:color w:val="1A3C6E"/>
          <w:sz w:val="32"/>
          <w:szCs w:val="32"/>
        </w:rPr>
        <w:t xml:space="preserve">10. Competitive Landscape</w:t>
      </w:r>
    </w:p>
    <w:p>
      <w:pPr>
        <w:spacing w:before="80" w:after="80"/>
      </w:pPr>
      <w:r>
        <w:rPr>
          <w:rFonts w:ascii="Arial" w:cs="Arial" w:eastAsia="Arial" w:hAnsi="Arial"/>
          <w:sz w:val="22"/>
          <w:szCs w:val="22"/>
        </w:rPr>
        <w:t xml:space="preserve">The San Francisco Bay Area towing market is competitive but fragmented. Most operators specialise in a single service tier or serve a narrow geographic zone. Heavy Haulers' full-spectrum, multi-hub model is a genuine differentiator.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600"/>
        <w:gridCol w:w="1960"/>
      </w:tblGrid>
      <w:tr>
        <w:tc>
          <w:tcPr>
            <w:tcW w:type="dxa" w:w="2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Competitor</w:t>
            </w:r>
          </w:p>
        </w:tc>
        <w:tc>
          <w:tcPr>
            <w:tcW w:type="dxa" w:w="1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Coverage</w:t>
            </w:r>
          </w:p>
        </w:tc>
        <w:tc>
          <w:tcPr>
            <w:tcW w:type="dxa" w:w="1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Service Focus</w:t>
            </w:r>
          </w:p>
        </w:tc>
        <w:tc>
          <w:tcPr>
            <w:tcW w:type="dxa" w:w="16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Est.</w:t>
            </w:r>
          </w:p>
        </w:tc>
        <w:tc>
          <w:tcPr>
            <w:tcW w:type="dxa" w:w="19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Threat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SF City Towing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SF + Bay Area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 + Heavy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Established</w:t>
            </w:r>
          </w:p>
        </w:tc>
        <w:tc>
          <w:tcPr>
            <w:tcW w:type="dxa" w:w="196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tcPr>
          <w:p>
            <w:r>
              <w:rPr>
                <w:rFonts w:ascii="Arial" w:cs="Arial" w:eastAsia="Arial" w:hAnsi="Arial"/>
                <w:b/>
                <w:bCs/>
                <w:color w:val="CC0000"/>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Auto Towing SF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SF, Bay Area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Duty Levels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yrs</w:t>
            </w:r>
          </w:p>
        </w:tc>
        <w:tc>
          <w:tcPr>
            <w:tcW w:type="dxa" w:w="196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tcPr>
          <w:p>
            <w:r>
              <w:rPr>
                <w:rFonts w:ascii="Arial" w:cs="Arial" w:eastAsia="Arial" w:hAnsi="Arial"/>
                <w:b/>
                <w:bCs/>
                <w:color w:val="CC0000"/>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Specialty Towing Bay Area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SF, Oakland, Peninsula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Duty, GPS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Since 1980</w:t>
            </w:r>
          </w:p>
        </w:tc>
        <w:tc>
          <w:tcPr>
            <w:tcW w:type="dxa" w:w="196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tcPr>
          <w:p>
            <w:r>
              <w:rPr>
                <w:rFonts w:ascii="Arial" w:cs="Arial" w:eastAsia="Arial" w:hAnsi="Arial"/>
                <w:b/>
                <w:bCs/>
                <w:color w:val="CC0000"/>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Ben's Towing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East Bay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Heavy + Fleet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Since 2002</w:t>
            </w:r>
          </w:p>
        </w:tc>
        <w:tc>
          <w:tcPr>
            <w:tcW w:type="dxa" w:w="1960"/>
            <w:tcBorders>
              <w:top w:val="single" w:color="CCCCCC" w:sz="1"/>
              <w:left w:val="single" w:color="CCCCCC" w:sz="1"/>
              <w:bottom w:val="single" w:color="CCCCCC" w:sz="1"/>
              <w:right w:val="single" w:color="CCCCCC" w:sz="1"/>
            </w:tcBorders>
            <w:shd w:fill="FFFFEE" w:val="clear"/>
            <w:tcMar>
              <w:top w:type="dxa" w:w="80"/>
              <w:left w:type="dxa" w:w="120"/>
              <w:bottom w:type="dxa" w:w="80"/>
              <w:right w:type="dxa" w:w="120"/>
            </w:tcMar>
          </w:tcPr>
          <w:p>
            <w:r>
              <w:rPr>
                <w:rFonts w:ascii="Arial" w:cs="Arial" w:eastAsia="Arial" w:hAnsi="Arial"/>
                <w:b/>
                <w:bCs/>
                <w:color w:val="CC88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Ellison's Towing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Bay Area Wide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 + Medium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90+ yrs</w:t>
            </w:r>
          </w:p>
        </w:tc>
        <w:tc>
          <w:tcPr>
            <w:tcW w:type="dxa" w:w="1960"/>
            <w:tcBorders>
              <w:top w:val="single" w:color="CCCCCC" w:sz="1"/>
              <w:left w:val="single" w:color="CCCCCC" w:sz="1"/>
              <w:bottom w:val="single" w:color="CCCCCC" w:sz="1"/>
              <w:right w:val="single" w:color="CCCCCC" w:sz="1"/>
            </w:tcBorders>
            <w:shd w:fill="FFFFEE" w:val="clear"/>
            <w:tcMar>
              <w:top w:type="dxa" w:w="80"/>
              <w:left w:type="dxa" w:w="120"/>
              <w:bottom w:type="dxa" w:w="80"/>
              <w:right w:type="dxa" w:w="120"/>
            </w:tcMar>
          </w:tcPr>
          <w:p>
            <w:r>
              <w:rPr>
                <w:rFonts w:ascii="Arial" w:cs="Arial" w:eastAsia="Arial" w:hAnsi="Arial"/>
                <w:b/>
                <w:bCs/>
                <w:color w:val="CC88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B&amp;A Towing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 Francisco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Impound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Since 1968</w:t>
            </w:r>
          </w:p>
        </w:tc>
        <w:tc>
          <w:tcPr>
            <w:tcW w:type="dxa" w:w="1960"/>
            <w:tcBorders>
              <w:top w:val="single" w:color="CCCCCC" w:sz="1"/>
              <w:left w:val="single" w:color="CCCCCC" w:sz="1"/>
              <w:bottom w:val="single" w:color="CCCCCC" w:sz="1"/>
              <w:right w:val="single" w:color="CCCCCC" w:sz="1"/>
            </w:tcBorders>
            <w:shd w:fill="FFFFEE" w:val="clear"/>
            <w:tcMar>
              <w:top w:type="dxa" w:w="80"/>
              <w:left w:type="dxa" w:w="120"/>
              <w:bottom w:type="dxa" w:w="80"/>
              <w:right w:type="dxa" w:w="120"/>
            </w:tcMar>
          </w:tcPr>
          <w:p>
            <w:r>
              <w:rPr>
                <w:rFonts w:ascii="Arial" w:cs="Arial" w:eastAsia="Arial" w:hAnsi="Arial"/>
                <w:b/>
                <w:bCs/>
                <w:color w:val="CC88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United Towing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East Bay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Heavy + Medium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Established</w:t>
            </w:r>
          </w:p>
        </w:tc>
        <w:tc>
          <w:tcPr>
            <w:tcW w:type="dxa" w:w="1960"/>
            <w:tcBorders>
              <w:top w:val="single" w:color="CCCCCC" w:sz="1"/>
              <w:left w:val="single" w:color="CCCCCC" w:sz="1"/>
              <w:bottom w:val="single" w:color="CCCCCC" w:sz="1"/>
              <w:right w:val="single" w:color="CCCCCC" w:sz="1"/>
            </w:tcBorders>
            <w:shd w:fill="FFFFEE" w:val="clear"/>
            <w:tcMar>
              <w:top w:type="dxa" w:w="80"/>
              <w:left w:type="dxa" w:w="120"/>
              <w:bottom w:type="dxa" w:w="80"/>
              <w:right w:type="dxa" w:w="120"/>
            </w:tcMar>
          </w:tcPr>
          <w:p>
            <w:r>
              <w:rPr>
                <w:rFonts w:ascii="Arial" w:cs="Arial" w:eastAsia="Arial" w:hAnsi="Arial"/>
                <w:b/>
                <w:bCs/>
                <w:color w:val="CC88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Action Road Solutions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Bay Area Wide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Duty Levels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Since 1984</w:t>
            </w:r>
          </w:p>
        </w:tc>
        <w:tc>
          <w:tcPr>
            <w:tcW w:type="dxa" w:w="1960"/>
            <w:tcBorders>
              <w:top w:val="single" w:color="CCCCCC" w:sz="1"/>
              <w:left w:val="single" w:color="CCCCCC" w:sz="1"/>
              <w:bottom w:val="single" w:color="CCCCCC" w:sz="1"/>
              <w:right w:val="single" w:color="CCCCCC" w:sz="1"/>
            </w:tcBorders>
            <w:shd w:fill="FFFFEE" w:val="clear"/>
            <w:tcMar>
              <w:top w:type="dxa" w:w="80"/>
              <w:left w:type="dxa" w:w="120"/>
              <w:bottom w:type="dxa" w:w="80"/>
              <w:right w:type="dxa" w:w="120"/>
            </w:tcMar>
          </w:tcPr>
          <w:p>
            <w:r>
              <w:rPr>
                <w:rFonts w:ascii="Arial" w:cs="Arial" w:eastAsia="Arial" w:hAnsi="Arial"/>
                <w:b/>
                <w:bCs/>
                <w:color w:val="CC8800"/>
                <w:sz w:val="20"/>
                <w:szCs w:val="20"/>
              </w:rPr>
              <w:t xml:space="preserve">LOW-MED</w:t>
            </w:r>
          </w:p>
        </w:tc>
      </w:tr>
    </w:tbl>
    <w:p>
      <w:pPr>
        <w:spacing w:before="60" w:after="60"/>
      </w:pPr>
      <w:r>
        <w:t xml:space="preserve"/>
      </w:r>
    </w:p>
    <w:p>
      <w:pPr>
        <w:pStyle w:val="Heading2"/>
        <w:spacing w:before="280" w:after="120"/>
      </w:pPr>
      <w:r>
        <w:rPr>
          <w:rFonts w:ascii="Arial" w:cs="Arial" w:eastAsia="Arial" w:hAnsi="Arial"/>
          <w:b/>
          <w:bCs/>
          <w:color w:val="1A3C6E"/>
          <w:sz w:val="26"/>
          <w:szCs w:val="26"/>
        </w:rPr>
        <w:t xml:space="preserve">10.1 Competitive Gaps &amp; Opportunities</w:t>
      </w:r>
    </w:p>
    <w:p>
      <w:pPr>
        <w:pStyle w:val="ListParagraph"/>
        <w:numPr>
          <w:ilvl w:val="0"/>
          <w:numId w:val="2"/>
        </w:numPr>
        <w:spacing w:before="40" w:after="40"/>
      </w:pPr>
      <w:r>
        <w:rPr>
          <w:rFonts w:ascii="Arial" w:cs="Arial" w:eastAsia="Arial" w:hAnsi="Arial"/>
          <w:sz w:val="22"/>
          <w:szCs w:val="22"/>
        </w:rPr>
        <w:t xml:space="preserve">Response time gap: HeavyTowPro's 15-minute average is 2–4x faster than the typical Bay Area competitor quote of 30–60 minutes — this should be a headline claim in all ads.</w:t>
      </w:r>
    </w:p>
    <w:p>
      <w:pPr>
        <w:pStyle w:val="ListParagraph"/>
        <w:numPr>
          <w:ilvl w:val="0"/>
          <w:numId w:val="2"/>
        </w:numPr>
        <w:spacing w:before="40" w:after="40"/>
      </w:pPr>
      <w:r>
        <w:rPr>
          <w:rFonts w:ascii="Arial" w:cs="Arial" w:eastAsia="Arial" w:hAnsi="Arial"/>
          <w:sz w:val="22"/>
          <w:szCs w:val="22"/>
        </w:rPr>
        <w:t xml:space="preserve">Digital marketing gap: Several long-established competitors (Ellison's, B&amp;A, Specialty) have strong offline brand recognition but weak digital presence — Google Ads can outmanoeuvre them in search.</w:t>
      </w:r>
    </w:p>
    <w:p>
      <w:pPr>
        <w:pStyle w:val="ListParagraph"/>
        <w:numPr>
          <w:ilvl w:val="0"/>
          <w:numId w:val="2"/>
        </w:numPr>
        <w:spacing w:before="40" w:after="40"/>
      </w:pPr>
      <w:r>
        <w:rPr>
          <w:rFonts w:ascii="Arial" w:cs="Arial" w:eastAsia="Arial" w:hAnsi="Arial"/>
          <w:sz w:val="22"/>
          <w:szCs w:val="22"/>
        </w:rPr>
        <w:t xml:space="preserve">Heavy-duty digital gap: Very few competitors actively run Google Ads for heavy-duty specific terms — expect lower CPCs and less auction pressure in this segment.</w:t>
      </w:r>
    </w:p>
    <w:p>
      <w:pPr>
        <w:pStyle w:val="ListParagraph"/>
        <w:numPr>
          <w:ilvl w:val="0"/>
          <w:numId w:val="2"/>
        </w:numPr>
        <w:spacing w:before="40" w:after="40"/>
      </w:pPr>
      <w:r>
        <w:rPr>
          <w:rFonts w:ascii="Arial" w:cs="Arial" w:eastAsia="Arial" w:hAnsi="Arial"/>
          <w:sz w:val="22"/>
          <w:szCs w:val="22"/>
        </w:rPr>
        <w:t xml:space="preserve">B2B fleet gap: No competitor visibly markets fleet SLA contracts or dedicated account management online — a clear whitespace opportunity.</w:t>
      </w:r>
    </w:p>
    <w:p>
      <w:pPr>
        <w:pStyle w:val="ListParagraph"/>
        <w:numPr>
          <w:ilvl w:val="0"/>
          <w:numId w:val="2"/>
        </w:numPr>
        <w:spacing w:before="40" w:after="40"/>
      </w:pPr>
      <w:r>
        <w:rPr>
          <w:rFonts w:ascii="Arial" w:cs="Arial" w:eastAsia="Arial" w:hAnsi="Arial"/>
          <w:sz w:val="22"/>
          <w:szCs w:val="22"/>
        </w:rPr>
        <w:t xml:space="preserve">Multi-county targeting gap: Most competitors focus on 1–2 counties; HeavyTowPro's 5-county + Central Valley reach is a unique scale advantage.</w:t>
      </w:r>
    </w:p>
    <w:p>
      <w:pPr>
        <w:pStyle w:val="ListParagraph"/>
        <w:numPr>
          <w:ilvl w:val="0"/>
          <w:numId w:val="2"/>
        </w:numPr>
        <w:spacing w:before="40" w:after="40"/>
      </w:pPr>
      <w:r>
        <w:rPr>
          <w:rFonts w:ascii="Arial" w:cs="Arial" w:eastAsia="Arial" w:hAnsi="Arial"/>
          <w:sz w:val="22"/>
          <w:szCs w:val="22"/>
        </w:rPr>
        <w:t xml:space="preserve">Services exclusion gap: NOT offering roadside add-ons positions Heavy Haulers as a premium, specialist operator vs. generalist competitors — this should be framed as a quality signal, not a limitation.</w:t>
      </w:r>
    </w:p>
    <w:p>
      <w:pPr>
        <w:spacing w:before="60" w:after="60"/>
      </w:pPr>
      <w:r>
        <w:t xml:space="preserve"/>
      </w:r>
    </w:p>
    <w:p>
      <w:pPr>
        <w:pStyle w:val="Heading1"/>
        <w:pBdr>
          <w:bottom w:val="single" w:color="1A3C6E" w:sz="8" w:space="4"/>
        </w:pBdr>
        <w:spacing w:before="400" w:after="200"/>
      </w:pPr>
      <w:r>
        <w:rPr>
          <w:rFonts w:ascii="Arial" w:cs="Arial" w:eastAsia="Arial" w:hAnsi="Arial"/>
          <w:b/>
          <w:bCs/>
          <w:color w:val="1A3C6E"/>
          <w:sz w:val="32"/>
          <w:szCs w:val="32"/>
        </w:rPr>
        <w:t xml:space="preserve">11. Customer Commitments &amp; Brand Promise</w:t>
      </w:r>
    </w:p>
    <w:p>
      <w:pPr>
        <w:spacing w:before="80" w:after="80"/>
      </w:pPr>
      <w:r>
        <w:rPr>
          <w:rFonts w:ascii="Arial" w:cs="Arial" w:eastAsia="Arial" w:hAnsi="Arial"/>
          <w:sz w:val="22"/>
          <w:szCs w:val="22"/>
        </w:rPr>
        <w:t xml:space="preserve">Heavy Haulers has formalised four customer commitments that translate directly into ad copy messaging and landing page trust signals: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8772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88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r>
              <w:rPr>
                <w:rFonts w:ascii="Arial" w:cs="Arial" w:eastAsia="Arial" w:hAnsi="Arial"/>
                <w:sz w:val="22"/>
                <w:szCs w:val="22"/>
              </w:rPr>
              <w:t xml:space="preserve">Honest Communication — No surprises, no hidden fees. Price agreed before work begins.</w:t>
            </w:r>
          </w:p>
        </w:tc>
      </w:tr>
      <w:tr>
        <w:tc>
          <w:tcPr>
            <w:tcW w:type="dxa" w:w="480"/>
            <w:tcBorders>
              <w:top w:val="single" w:color="CCCCCC" w:sz="1"/>
              <w:left w:val="single" w:color="CCCCCC" w:sz="1"/>
              <w:bottom w:val="single" w:color="CCCCCC" w:sz="1"/>
              <w:right w:val="single" w:color="CCCCCC" w:sz="1"/>
            </w:tcBorders>
            <w:shd w:fill="E8772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2"/>
                <w:szCs w:val="22"/>
              </w:rPr>
              <w:t xml:space="preserve">Rapid Response — Fast dispatch prioritised. Average 15-minute response. 24/7 emergency availability.</w:t>
            </w:r>
          </w:p>
        </w:tc>
      </w:tr>
      <w:tr>
        <w:tc>
          <w:tcPr>
            <w:tcW w:type="dxa" w:w="480"/>
            <w:tcBorders>
              <w:top w:val="single" w:color="CCCCCC" w:sz="1"/>
              <w:left w:val="single" w:color="CCCCCC" w:sz="1"/>
              <w:bottom w:val="single" w:color="CCCCCC" w:sz="1"/>
              <w:right w:val="single" w:color="CCCCCC" w:sz="1"/>
            </w:tcBorders>
            <w:shd w:fill="E8772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88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r>
              <w:rPr>
                <w:rFonts w:ascii="Arial" w:cs="Arial" w:eastAsia="Arial" w:hAnsi="Arial"/>
                <w:sz w:val="22"/>
                <w:szCs w:val="22"/>
              </w:rPr>
              <w:t xml:space="preserve">Professional Care — Every vehicle treated as if it were the operator's own. White-glove standards for luxury and exotic vehicles.</w:t>
            </w:r>
          </w:p>
        </w:tc>
      </w:tr>
      <w:tr>
        <w:tc>
          <w:tcPr>
            <w:tcW w:type="dxa" w:w="480"/>
            <w:tcBorders>
              <w:top w:val="single" w:color="CCCCCC" w:sz="1"/>
              <w:left w:val="single" w:color="CCCCCC" w:sz="1"/>
              <w:bottom w:val="single" w:color="CCCCCC" w:sz="1"/>
              <w:right w:val="single" w:color="CCCCCC" w:sz="1"/>
            </w:tcBorders>
            <w:shd w:fill="E8772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2"/>
                <w:szCs w:val="22"/>
              </w:rPr>
              <w:t xml:space="preserve">Continuous Improvement — Post-service feedback surveys, quality assurance reviews, and team recognition programmes ensure service quality improves over time.</w:t>
            </w:r>
          </w:p>
        </w:tc>
      </w:tr>
    </w:tbl>
    <w:p>
      <w:pPr>
        <w:spacing w:before="60" w:after="60"/>
      </w:pPr>
      <w:r>
        <w:t xml:space="preserve"/>
      </w:r>
    </w:p>
    <w:p>
      <w:pPr>
        <w:pStyle w:val="Heading1"/>
        <w:pBdr>
          <w:bottom w:val="single" w:color="1A3C6E" w:sz="8" w:space="4"/>
        </w:pBdr>
        <w:spacing w:before="400" w:after="200"/>
      </w:pPr>
      <w:r>
        <w:rPr>
          <w:rFonts w:ascii="Arial" w:cs="Arial" w:eastAsia="Arial" w:hAnsi="Arial"/>
          <w:b/>
          <w:bCs/>
          <w:color w:val="1A3C6E"/>
          <w:sz w:val="32"/>
          <w:szCs w:val="32"/>
        </w:rPr>
        <w:t xml:space="preserve">12. Strategic Recommendations for Google Ads Campaigns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pPr>
              <w:spacing w:before="40" w:after="40"/>
            </w:pPr>
            <w:r>
              <w:rPr>
                <w:rFonts w:ascii="Arial" w:cs="Arial" w:eastAsia="Arial" w:hAnsi="Arial"/>
                <w:b/>
                <w:bCs/>
                <w:color w:val="1A3C6E"/>
                <w:sz w:val="22"/>
                <w:szCs w:val="22"/>
              </w:rPr>
              <w:t xml:space="preserve">Two-Campaign Architecture</w:t>
            </w:r>
          </w:p>
          <w:p>
            <w:pPr>
              <w:spacing w:before="40" w:after="40"/>
            </w:pPr>
            <w:r>
              <w:rPr>
                <w:rFonts w:ascii="Arial" w:cs="Arial" w:eastAsia="Arial" w:hAnsi="Arial"/>
                <w:sz w:val="22"/>
                <w:szCs w:val="22"/>
              </w:rPr>
              <w:t xml:space="preserve">Campaign 1: Light &amp; Medium Duty — High volume, broad consumer audience, emergency/urgency focus, primary conversion = phone call. Campaign 2: Heavy Duty &amp; Commercial — Lower volume, higher value, B2B and fleet focus, dual conversion = phone call + fleet quote form.</w:t>
            </w:r>
          </w:p>
        </w:tc>
      </w:tr>
    </w:tbl>
    <w:p>
      <w:pPr>
        <w:spacing w:before="60" w:after="60"/>
      </w:pPr>
      <w:r>
        <w:t xml:space="preserve"/>
      </w:r>
    </w:p>
    <w:p>
      <w:pPr>
        <w:pStyle w:val="Heading2"/>
        <w:spacing w:before="280" w:after="120"/>
      </w:pPr>
      <w:r>
        <w:rPr>
          <w:rFonts w:ascii="Arial" w:cs="Arial" w:eastAsia="Arial" w:hAnsi="Arial"/>
          <w:b/>
          <w:bCs/>
          <w:color w:val="1A3C6E"/>
          <w:sz w:val="26"/>
          <w:szCs w:val="26"/>
        </w:rPr>
        <w:t xml:space="preserve">12.1 Light &amp; Medium Duty Campaign Strategy</w:t>
      </w:r>
    </w:p>
    <w:p>
      <w:pPr>
        <w:pStyle w:val="ListParagraph"/>
        <w:numPr>
          <w:ilvl w:val="0"/>
          <w:numId w:val="2"/>
        </w:numPr>
        <w:spacing w:before="40" w:after="40"/>
      </w:pPr>
      <w:r>
        <w:rPr>
          <w:rFonts w:ascii="Arial" w:cs="Arial" w:eastAsia="Arial" w:hAnsi="Arial"/>
          <w:sz w:val="22"/>
          <w:szCs w:val="22"/>
        </w:rPr>
        <w:t xml:space="preserve">Lead with speed: '15-Min Response' and '24/7' are the primary message hooks — this is the #1 anxiety of a stranded motorist</w:t>
      </w:r>
    </w:p>
    <w:p>
      <w:pPr>
        <w:pStyle w:val="ListParagraph"/>
        <w:numPr>
          <w:ilvl w:val="0"/>
          <w:numId w:val="2"/>
        </w:numPr>
        <w:spacing w:before="40" w:after="40"/>
      </w:pPr>
      <w:r>
        <w:rPr>
          <w:rFonts w:ascii="Arial" w:cs="Arial" w:eastAsia="Arial" w:hAnsi="Arial"/>
          <w:sz w:val="22"/>
          <w:szCs w:val="22"/>
        </w:rPr>
        <w:t xml:space="preserve">Use call extensions as the primary conversion — phone calls convert 5–10x better than forms for emergency towing</w:t>
      </w:r>
    </w:p>
    <w:p>
      <w:pPr>
        <w:pStyle w:val="ListParagraph"/>
        <w:numPr>
          <w:ilvl w:val="0"/>
          <w:numId w:val="2"/>
        </w:numPr>
        <w:spacing w:before="40" w:after="40"/>
      </w:pPr>
      <w:r>
        <w:rPr>
          <w:rFonts w:ascii="Arial" w:cs="Arial" w:eastAsia="Arial" w:hAnsi="Arial"/>
          <w:sz w:val="22"/>
          <w:szCs w:val="22"/>
        </w:rPr>
        <w:t xml:space="preserve">Geotarget: All 5 counties with highest bid adjustments in San Francisco and San Mateo (Brisbane HQ proximity)</w:t>
      </w:r>
    </w:p>
    <w:p>
      <w:pPr>
        <w:pStyle w:val="ListParagraph"/>
        <w:numPr>
          <w:ilvl w:val="0"/>
          <w:numId w:val="2"/>
        </w:numPr>
        <w:spacing w:before="40" w:after="40"/>
      </w:pPr>
      <w:r>
        <w:rPr>
          <w:rFonts w:ascii="Arial" w:cs="Arial" w:eastAsia="Arial" w:hAnsi="Arial"/>
          <w:sz w:val="22"/>
          <w:szCs w:val="22"/>
        </w:rPr>
        <w:t xml:space="preserve">Emphasise flatbed (no damage) and luxury/exotic towing capability for premium segments</w:t>
      </w:r>
    </w:p>
    <w:p>
      <w:pPr>
        <w:pStyle w:val="ListParagraph"/>
        <w:numPr>
          <w:ilvl w:val="0"/>
          <w:numId w:val="2"/>
        </w:numPr>
        <w:spacing w:before="40" w:after="40"/>
      </w:pPr>
      <w:r>
        <w:rPr>
          <w:rFonts w:ascii="Arial" w:cs="Arial" w:eastAsia="Arial" w:hAnsi="Arial"/>
          <w:sz w:val="22"/>
          <w:szCs w:val="22"/>
        </w:rPr>
        <w:t xml:space="preserve">Exclude: battery, lockout, jumpstart, fuel delivery — add as negative keywords to avoid irrelevant clicks</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12.2 Heavy Duty &amp; Commercial Campaign Strategy</w:t>
      </w:r>
    </w:p>
    <w:p>
      <w:pPr>
        <w:pStyle w:val="ListParagraph"/>
        <w:numPr>
          <w:ilvl w:val="0"/>
          <w:numId w:val="2"/>
        </w:numPr>
        <w:spacing w:before="40" w:after="40"/>
      </w:pPr>
      <w:r>
        <w:rPr>
          <w:rFonts w:ascii="Arial" w:cs="Arial" w:eastAsia="Arial" w:hAnsi="Arial"/>
          <w:sz w:val="22"/>
          <w:szCs w:val="22"/>
        </w:rPr>
        <w:t xml:space="preserve">Lead with capability: '75+ Tons', 'Semi-Truck Recovery', 'Equipment Transport' as headline hooks</w:t>
      </w:r>
    </w:p>
    <w:p>
      <w:pPr>
        <w:pStyle w:val="ListParagraph"/>
        <w:numPr>
          <w:ilvl w:val="0"/>
          <w:numId w:val="2"/>
        </w:numPr>
        <w:spacing w:before="40" w:after="40"/>
      </w:pPr>
      <w:r>
        <w:rPr>
          <w:rFonts w:ascii="Arial" w:cs="Arial" w:eastAsia="Arial" w:hAnsi="Arial"/>
          <w:sz w:val="22"/>
          <w:szCs w:val="22"/>
        </w:rPr>
        <w:t xml:space="preserve">Dual CTA: CALL NOW (emergency) + GET A FLEET QUOTE (B2B lead gen)</w:t>
      </w:r>
    </w:p>
    <w:p>
      <w:pPr>
        <w:pStyle w:val="ListParagraph"/>
        <w:numPr>
          <w:ilvl w:val="0"/>
          <w:numId w:val="2"/>
        </w:numPr>
        <w:spacing w:before="40" w:after="40"/>
      </w:pPr>
      <w:r>
        <w:rPr>
          <w:rFonts w:ascii="Arial" w:cs="Arial" w:eastAsia="Arial" w:hAnsi="Arial"/>
          <w:sz w:val="22"/>
          <w:szCs w:val="22"/>
        </w:rPr>
        <w:t xml:space="preserve">Target I-880 (port/industrial corridor), I-80 (freight corridor), and I-5/SR-99 (Central Valley) by keyword intent</w:t>
      </w:r>
    </w:p>
    <w:p>
      <w:pPr>
        <w:pStyle w:val="ListParagraph"/>
        <w:numPr>
          <w:ilvl w:val="0"/>
          <w:numId w:val="2"/>
        </w:numPr>
        <w:spacing w:before="40" w:after="40"/>
      </w:pPr>
      <w:r>
        <w:rPr>
          <w:rFonts w:ascii="Arial" w:cs="Arial" w:eastAsia="Arial" w:hAnsi="Arial"/>
          <w:sz w:val="22"/>
          <w:szCs w:val="22"/>
        </w:rPr>
        <w:t xml:space="preserve">Create a dedicated fleet/commercial ad group targeting SLA, contract, and volume pricing terms</w:t>
      </w:r>
    </w:p>
    <w:p>
      <w:pPr>
        <w:pStyle w:val="ListParagraph"/>
        <w:numPr>
          <w:ilvl w:val="0"/>
          <w:numId w:val="2"/>
        </w:numPr>
        <w:spacing w:before="40" w:after="40"/>
      </w:pPr>
      <w:r>
        <w:rPr>
          <w:rFonts w:ascii="Arial" w:cs="Arial" w:eastAsia="Arial" w:hAnsi="Arial"/>
          <w:sz w:val="22"/>
          <w:szCs w:val="22"/>
        </w:rPr>
        <w:t xml:space="preserve">Geotarget: Broader Bay Area + bid boosts near port of Oakland, industrial zones, construction corridors</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12.3 Negative Keyword Priorities (Both Campaigns)</w:t>
      </w:r>
    </w:p>
    <w:p>
      <w:pPr>
        <w:pStyle w:val="ListParagraph"/>
        <w:numPr>
          <w:ilvl w:val="0"/>
          <w:numId w:val="2"/>
        </w:numPr>
        <w:spacing w:before="40" w:after="40"/>
      </w:pPr>
      <w:r>
        <w:rPr>
          <w:rFonts w:ascii="Arial" w:cs="Arial" w:eastAsia="Arial" w:hAnsi="Arial"/>
          <w:sz w:val="22"/>
          <w:szCs w:val="22"/>
        </w:rPr>
        <w:t xml:space="preserve">Service exclusions: battery jump, jumpstart, lockout, fuel delivery, gas delivery, tire change</w:t>
      </w:r>
    </w:p>
    <w:p>
      <w:pPr>
        <w:pStyle w:val="ListParagraph"/>
        <w:numPr>
          <w:ilvl w:val="0"/>
          <w:numId w:val="2"/>
        </w:numPr>
        <w:spacing w:before="40" w:after="40"/>
      </w:pPr>
      <w:r>
        <w:rPr>
          <w:rFonts w:ascii="Arial" w:cs="Arial" w:eastAsia="Arial" w:hAnsi="Arial"/>
          <w:sz w:val="22"/>
          <w:szCs w:val="22"/>
        </w:rPr>
        <w:t xml:space="preserve">Non-buyer intent: free, DIY, how to, job, career, hiring, employment</w:t>
      </w:r>
    </w:p>
    <w:p>
      <w:pPr>
        <w:pStyle w:val="ListParagraph"/>
        <w:numPr>
          <w:ilvl w:val="0"/>
          <w:numId w:val="2"/>
        </w:numPr>
        <w:spacing w:before="40" w:after="40"/>
      </w:pPr>
      <w:r>
        <w:rPr>
          <w:rFonts w:ascii="Arial" w:cs="Arial" w:eastAsia="Arial" w:hAnsi="Arial"/>
          <w:sz w:val="22"/>
          <w:szCs w:val="22"/>
        </w:rPr>
        <w:t xml:space="preserve">Competitor brand names (unless running a competitor conquest campaign)</w:t>
      </w:r>
    </w:p>
    <w:p>
      <w:pPr>
        <w:pStyle w:val="ListParagraph"/>
        <w:numPr>
          <w:ilvl w:val="0"/>
          <w:numId w:val="2"/>
        </w:numPr>
        <w:spacing w:before="40" w:after="40"/>
      </w:pPr>
      <w:r>
        <w:rPr>
          <w:rFonts w:ascii="Arial" w:cs="Arial" w:eastAsia="Arial" w:hAnsi="Arial"/>
          <w:sz w:val="22"/>
          <w:szCs w:val="22"/>
        </w:rPr>
        <w:t xml:space="preserve">Out-of-area cities and counties not served</w:t>
      </w:r>
    </w:p>
    <w:p>
      <w:pPr>
        <w:spacing w:before="60" w:after="60"/>
      </w:pPr>
      <w:r>
        <w:t xml:space="preserve"/>
      </w:r>
    </w:p>
    <w:p>
      <w:pPr>
        <w:pStyle w:val="Heading1"/>
        <w:pBdr>
          <w:bottom w:val="single" w:color="1A3C6E" w:sz="8" w:space="4"/>
        </w:pBdr>
        <w:spacing w:before="400" w:after="200"/>
      </w:pPr>
      <w:r>
        <w:rPr>
          <w:rFonts w:ascii="Arial" w:cs="Arial" w:eastAsia="Arial" w:hAnsi="Arial"/>
          <w:b/>
          <w:bCs/>
          <w:color w:val="1A3C6E"/>
          <w:sz w:val="32"/>
          <w:szCs w:val="32"/>
        </w:rPr>
        <w:t xml:space="preserve">13. Appendix: Research Notes &amp; Data Sources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pPr>
              <w:spacing w:before="40" w:after="40"/>
            </w:pPr>
            <w:r>
              <w:rPr>
                <w:rFonts w:ascii="Arial" w:cs="Arial" w:eastAsia="Arial" w:hAnsi="Arial"/>
                <w:b/>
                <w:bCs/>
                <w:color w:val="1A3C6E"/>
                <w:sz w:val="22"/>
                <w:szCs w:val="22"/>
              </w:rPr>
              <w:t xml:space="preserve">Data Sources</w:t>
            </w:r>
          </w:p>
          <w:p>
            <w:pPr>
              <w:spacing w:before="40" w:after="40"/>
            </w:pPr>
            <w:r>
              <w:rPr>
                <w:rFonts w:ascii="Arial" w:cs="Arial" w:eastAsia="Arial" w:hAnsi="Arial"/>
                <w:sz w:val="22"/>
                <w:szCs w:val="22"/>
              </w:rPr>
              <w:t xml:space="preserve">Primary data: Company website (heavytowpro.com) accessed via Claude browser extension — data is accurate as of February 2026. Secondary data: Competitor site analysis, Bay Area towing market research, Google search index data, and industry pricing benchmarks. All figures and claims in this document reflect publicly available information.</w:t>
            </w:r>
          </w:p>
        </w:tc>
      </w:tr>
    </w:tbl>
    <w:p>
      <w:pPr>
        <w:spacing w:before="60" w:after="60"/>
      </w:pPr>
      <w:r>
        <w:t xml:space="preserve"/>
      </w:r>
    </w:p>
    <w:p>
      <w:pPr>
        <w:spacing w:before="80" w:after="80"/>
      </w:pPr>
      <w:r>
        <w:rPr>
          <w:rFonts w:ascii="Arial" w:cs="Arial" w:eastAsia="Arial" w:hAnsi="Arial"/>
          <w:b/>
          <w:bCs/>
          <w:sz w:val="22"/>
          <w:szCs w:val="22"/>
        </w:rPr>
        <w:t xml:space="preserve">Competitor sources referenced:</w:t>
      </w:r>
    </w:p>
    <w:p>
      <w:pPr>
        <w:pStyle w:val="ListParagraph"/>
        <w:numPr>
          <w:ilvl w:val="0"/>
          <w:numId w:val="2"/>
        </w:numPr>
        <w:spacing w:before="40" w:after="40"/>
      </w:pPr>
      <w:r>
        <w:rPr>
          <w:rFonts w:ascii="Arial" w:cs="Arial" w:eastAsia="Arial" w:hAnsi="Arial"/>
          <w:sz w:val="22"/>
          <w:szCs w:val="22"/>
        </w:rPr>
        <w:t xml:space="preserve">sfcitytowing.com — SF City Towing</w:t>
      </w:r>
    </w:p>
    <w:p>
      <w:pPr>
        <w:pStyle w:val="ListParagraph"/>
        <w:numPr>
          <w:ilvl w:val="0"/>
          <w:numId w:val="2"/>
        </w:numPr>
        <w:spacing w:before="40" w:after="40"/>
      </w:pPr>
      <w:r>
        <w:rPr>
          <w:rFonts w:ascii="Arial" w:cs="Arial" w:eastAsia="Arial" w:hAnsi="Arial"/>
          <w:sz w:val="22"/>
          <w:szCs w:val="22"/>
        </w:rPr>
        <w:t xml:space="preserve">autotowingsf.com — Auto Towing SF (Budget Heavy Duty)</w:t>
      </w:r>
    </w:p>
    <w:p>
      <w:pPr>
        <w:pStyle w:val="ListParagraph"/>
        <w:numPr>
          <w:ilvl w:val="0"/>
          <w:numId w:val="2"/>
        </w:numPr>
        <w:spacing w:before="40" w:after="40"/>
      </w:pPr>
      <w:r>
        <w:rPr>
          <w:rFonts w:ascii="Arial" w:cs="Arial" w:eastAsia="Arial" w:hAnsi="Arial"/>
          <w:sz w:val="22"/>
          <w:szCs w:val="22"/>
        </w:rPr>
        <w:t xml:space="preserve">specialtytowingbayarea.com — Specialty Towing Bay Area</w:t>
      </w:r>
    </w:p>
    <w:p>
      <w:pPr>
        <w:pStyle w:val="ListParagraph"/>
        <w:numPr>
          <w:ilvl w:val="0"/>
          <w:numId w:val="2"/>
        </w:numPr>
        <w:spacing w:before="40" w:after="40"/>
      </w:pPr>
      <w:r>
        <w:rPr>
          <w:rFonts w:ascii="Arial" w:cs="Arial" w:eastAsia="Arial" w:hAnsi="Arial"/>
          <w:sz w:val="22"/>
          <w:szCs w:val="22"/>
        </w:rPr>
        <w:t xml:space="preserve">benstowingca.com — Ben's Towing</w:t>
      </w:r>
    </w:p>
    <w:p>
      <w:pPr>
        <w:pStyle w:val="ListParagraph"/>
        <w:numPr>
          <w:ilvl w:val="0"/>
          <w:numId w:val="2"/>
        </w:numPr>
        <w:spacing w:before="40" w:after="40"/>
      </w:pPr>
      <w:r>
        <w:rPr>
          <w:rFonts w:ascii="Arial" w:cs="Arial" w:eastAsia="Arial" w:hAnsi="Arial"/>
          <w:sz w:val="22"/>
          <w:szCs w:val="22"/>
        </w:rPr>
        <w:t xml:space="preserve">unitedtowservice.com — United Towing</w:t>
      </w:r>
    </w:p>
    <w:p>
      <w:pPr>
        <w:pStyle w:val="ListParagraph"/>
        <w:numPr>
          <w:ilvl w:val="0"/>
          <w:numId w:val="2"/>
        </w:numPr>
        <w:spacing w:before="40" w:after="40"/>
      </w:pPr>
      <w:r>
        <w:rPr>
          <w:rFonts w:ascii="Arial" w:cs="Arial" w:eastAsia="Arial" w:hAnsi="Arial"/>
          <w:sz w:val="22"/>
          <w:szCs w:val="22"/>
        </w:rPr>
        <w:t xml:space="preserve">heavydutytowing.us — Heavy Duty Towing US</w:t>
      </w:r>
    </w:p>
    <w:p>
      <w:pPr>
        <w:pStyle w:val="ListParagraph"/>
        <w:numPr>
          <w:ilvl w:val="0"/>
          <w:numId w:val="2"/>
        </w:numPr>
        <w:spacing w:before="40" w:after="40"/>
      </w:pPr>
      <w:r>
        <w:rPr>
          <w:rFonts w:ascii="Arial" w:cs="Arial" w:eastAsia="Arial" w:hAnsi="Arial"/>
          <w:sz w:val="22"/>
          <w:szCs w:val="22"/>
        </w:rPr>
        <w:t xml:space="preserve">yelp.com — Bay Area towing review aggregation</w:t>
      </w:r>
    </w:p>
    <w:p>
      <w:pPr>
        <w:spacing w:before="60" w:after="60"/>
      </w:pPr>
      <w:r>
        <w:t xml:space="preserve"/>
      </w:r>
    </w:p>
    <w:p>
      <w:pPr>
        <w:spacing w:before="60" w:after="60"/>
      </w:pPr>
      <w:r>
        <w:t xml:space="preserve"/>
      </w:r>
    </w:p>
    <w:p>
      <w:pPr>
        <w:spacing w:before="400"/>
        <w:jc w:val="center"/>
      </w:pPr>
      <w:r>
        <w:rPr>
          <w:rFonts w:ascii="Arial" w:cs="Arial" w:eastAsia="Arial" w:hAnsi="Arial"/>
          <w:i/>
          <w:iCs/>
          <w:color w:val="888888"/>
          <w:sz w:val="22"/>
          <w:szCs w:val="22"/>
        </w:rPr>
        <w:t xml:space="preserve">— End of Phase 1: Company Research &amp; Market Analysis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888888"/>
        <w:sz w:val="18"/>
        <w:szCs w:val="18"/>
      </w:rPr>
      <w:t xml:space="preserve">Confidential | Google Ads Campaign Research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4"/>
      </w:pBdr>
      <w:jc w:val="right"/>
    </w:pPr>
    <w:r>
      <w:rPr>
        <w:rFonts w:ascii="Arial" w:cs="Arial" w:eastAsia="Arial" w:hAnsi="Arial"/>
        <w:color w:val="888888"/>
        <w:sz w:val="18"/>
        <w:szCs w:val="18"/>
      </w:rPr>
      <w:t xml:space="preserve">Heavy Haulers (HeavyTowPro) | Company Research &amp; Analysis |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6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3C6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E877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2026-02-21T07:30:48.648Z</dcterms:created>
  <dcterms:modified xsi:type="dcterms:W3CDTF">2026-02-21T07:30:48.649Z</dcterms:modified>
</cp:coreProperties>
</file>

<file path=docProps/custom.xml><?xml version="1.0" encoding="utf-8"?>
<Properties xmlns="http://schemas.openxmlformats.org/officeDocument/2006/custom-properties" xmlns:vt="http://schemas.openxmlformats.org/officeDocument/2006/docPropsVTypes"/>
</file>