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640" w:type="dxa"/>
        <w:tblLook w:val="04A0" w:firstRow="1" w:lastRow="0" w:firstColumn="1" w:lastColumn="0" w:noHBand="0" w:noVBand="1"/>
      </w:tblPr>
      <w:tblGrid>
        <w:gridCol w:w="6603"/>
        <w:gridCol w:w="7037"/>
      </w:tblGrid>
      <w:tr w:rsidR="002F65B0" w:rsidRPr="002F65B0" w14:paraId="52D55291" w14:textId="77777777" w:rsidTr="002F65B0">
        <w:trPr>
          <w:trHeight w:val="800"/>
        </w:trPr>
        <w:tc>
          <w:tcPr>
            <w:tcW w:w="0" w:type="auto"/>
            <w:hideMark/>
          </w:tcPr>
          <w:p w14:paraId="09EB8DA1" w14:textId="77777777" w:rsidR="002F65B0" w:rsidRPr="002F65B0" w:rsidRDefault="002F65B0" w:rsidP="002F65B0">
            <w:pPr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eastAsia="en-IN"/>
              </w:rPr>
            </w:pPr>
            <w:r w:rsidRPr="002F65B0"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eastAsia="en-IN"/>
              </w:rPr>
              <w:t>Promises</w:t>
            </w:r>
          </w:p>
        </w:tc>
        <w:tc>
          <w:tcPr>
            <w:tcW w:w="0" w:type="auto"/>
            <w:hideMark/>
          </w:tcPr>
          <w:p w14:paraId="2CA50C4B" w14:textId="77777777" w:rsidR="002F65B0" w:rsidRPr="002F65B0" w:rsidRDefault="002F65B0" w:rsidP="002F65B0">
            <w:pPr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eastAsia="en-IN"/>
              </w:rPr>
            </w:pPr>
            <w:proofErr w:type="spellStart"/>
            <w:r w:rsidRPr="002F65B0"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eastAsia="en-IN"/>
              </w:rPr>
              <w:t>Callbacks</w:t>
            </w:r>
            <w:proofErr w:type="spellEnd"/>
          </w:p>
        </w:tc>
      </w:tr>
      <w:tr w:rsidR="002F65B0" w:rsidRPr="002F65B0" w14:paraId="0203B309" w14:textId="77777777" w:rsidTr="002F65B0">
        <w:trPr>
          <w:trHeight w:val="3335"/>
        </w:trPr>
        <w:tc>
          <w:tcPr>
            <w:tcW w:w="0" w:type="auto"/>
            <w:hideMark/>
          </w:tcPr>
          <w:p w14:paraId="5CCD5CCA" w14:textId="77777777" w:rsidR="002F65B0" w:rsidRPr="002F65B0" w:rsidRDefault="002F65B0" w:rsidP="002F65B0">
            <w:pPr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</w:pPr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Promises allow us to do things in the natural order. First, we run </w:t>
            </w:r>
            <w:proofErr w:type="spellStart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loadScript</w:t>
            </w:r>
            <w:proofErr w:type="spellEnd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(script)</w:t>
            </w:r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 xml:space="preserve">, </w:t>
            </w:r>
            <w:proofErr w:type="gramStart"/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and </w:t>
            </w:r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.then</w:t>
            </w:r>
            <w:proofErr w:type="gramEnd"/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 we write what to do with the result.</w:t>
            </w:r>
          </w:p>
        </w:tc>
        <w:tc>
          <w:tcPr>
            <w:tcW w:w="0" w:type="auto"/>
            <w:hideMark/>
          </w:tcPr>
          <w:p w14:paraId="4D6DA299" w14:textId="77777777" w:rsidR="002F65B0" w:rsidRPr="002F65B0" w:rsidRDefault="002F65B0" w:rsidP="002F65B0">
            <w:pPr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</w:pPr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We must have a </w:t>
            </w:r>
            <w:proofErr w:type="spellStart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callback</w:t>
            </w:r>
            <w:proofErr w:type="spellEnd"/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 function at our disposal when calling </w:t>
            </w:r>
            <w:proofErr w:type="spellStart"/>
            <w:proofErr w:type="gramStart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loadScript</w:t>
            </w:r>
            <w:proofErr w:type="spellEnd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(</w:t>
            </w:r>
            <w:proofErr w:type="gramEnd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 xml:space="preserve">script, </w:t>
            </w:r>
            <w:proofErr w:type="spellStart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callback</w:t>
            </w:r>
            <w:proofErr w:type="spellEnd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)</w:t>
            </w:r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. In other words, we must know what to do with the result </w:t>
            </w:r>
            <w:r w:rsidRPr="002F65B0">
              <w:rPr>
                <w:rFonts w:ascii="Segoe UI" w:eastAsia="Times New Roman" w:hAnsi="Segoe UI" w:cs="Segoe UI"/>
                <w:i/>
                <w:iCs/>
                <w:sz w:val="40"/>
                <w:szCs w:val="40"/>
                <w:lang w:eastAsia="en-IN"/>
              </w:rPr>
              <w:t>before</w:t>
            </w:r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 </w:t>
            </w:r>
            <w:proofErr w:type="spellStart"/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loadScript</w:t>
            </w:r>
            <w:proofErr w:type="spellEnd"/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 is called.</w:t>
            </w:r>
          </w:p>
        </w:tc>
      </w:tr>
      <w:tr w:rsidR="002F65B0" w:rsidRPr="002F65B0" w14:paraId="596D795D" w14:textId="77777777" w:rsidTr="002F65B0">
        <w:trPr>
          <w:trHeight w:val="3300"/>
        </w:trPr>
        <w:tc>
          <w:tcPr>
            <w:tcW w:w="0" w:type="auto"/>
            <w:hideMark/>
          </w:tcPr>
          <w:p w14:paraId="62F7FF83" w14:textId="77777777" w:rsidR="002F65B0" w:rsidRPr="002F65B0" w:rsidRDefault="002F65B0" w:rsidP="002F65B0">
            <w:pPr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</w:pPr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 xml:space="preserve">We can </w:t>
            </w:r>
            <w:proofErr w:type="gramStart"/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call </w:t>
            </w:r>
            <w:r w:rsidRPr="002F65B0">
              <w:rPr>
                <w:rFonts w:ascii="Consolas" w:eastAsia="Times New Roman" w:hAnsi="Consolas" w:cs="Courier New"/>
                <w:sz w:val="40"/>
                <w:szCs w:val="40"/>
                <w:lang w:eastAsia="en-IN"/>
              </w:rPr>
              <w:t>.then</w:t>
            </w:r>
            <w:proofErr w:type="gramEnd"/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 on a Promise as many times as we want. Each time, we’re adding a new “fan”, a new subscribing function, to the “subscription list”. More about this in the next chapter: </w:t>
            </w:r>
            <w:hyperlink r:id="rId4" w:history="1">
              <w:r w:rsidRPr="002F65B0">
                <w:rPr>
                  <w:rFonts w:ascii="Segoe UI" w:eastAsia="Times New Roman" w:hAnsi="Segoe UI" w:cs="Segoe UI"/>
                  <w:sz w:val="40"/>
                  <w:szCs w:val="40"/>
                  <w:u w:val="single"/>
                  <w:lang w:eastAsia="en-IN"/>
                </w:rPr>
                <w:t>Promises chaining</w:t>
              </w:r>
            </w:hyperlink>
            <w:r w:rsidRPr="002F65B0">
              <w:rPr>
                <w:rFonts w:ascii="Segoe UI" w:eastAsia="Times New Roman" w:hAnsi="Segoe UI" w:cs="Segoe UI"/>
                <w:sz w:val="40"/>
                <w:szCs w:val="40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5F123AFA" w14:textId="77777777" w:rsidR="002F65B0" w:rsidRPr="002F65B0" w:rsidRDefault="002F65B0" w:rsidP="002F65B0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</w:tr>
    </w:tbl>
    <w:p w14:paraId="31DD0F2F" w14:textId="77777777" w:rsidR="002F65B0" w:rsidRPr="002F65B0" w:rsidRDefault="002F65B0">
      <w:pPr>
        <w:rPr>
          <w:sz w:val="40"/>
          <w:szCs w:val="40"/>
        </w:rPr>
      </w:pPr>
    </w:p>
    <w:sectPr w:rsidR="002F65B0" w:rsidRPr="002F65B0" w:rsidSect="002F65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B0"/>
    <w:rsid w:val="002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AF57"/>
  <w15:chartTrackingRefBased/>
  <w15:docId w15:val="{0B29CB7D-AF98-42F2-B762-DB33D856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65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65B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B0"/>
    <w:rPr>
      <w:color w:val="0000FF"/>
      <w:u w:val="single"/>
    </w:rPr>
  </w:style>
  <w:style w:type="table" w:styleId="TableGrid">
    <w:name w:val="Table Grid"/>
    <w:basedOn w:val="TableNormal"/>
    <w:uiPriority w:val="39"/>
    <w:rsid w:val="002F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script.info/promise-ch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Chiplunkar</dc:creator>
  <cp:keywords/>
  <dc:description/>
  <cp:lastModifiedBy>Sanjay Chiplunkar</cp:lastModifiedBy>
  <cp:revision>1</cp:revision>
  <dcterms:created xsi:type="dcterms:W3CDTF">2022-10-13T04:05:00Z</dcterms:created>
  <dcterms:modified xsi:type="dcterms:W3CDTF">2022-10-13T04:06:00Z</dcterms:modified>
</cp:coreProperties>
</file>