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DAA"/>
          <w:sz w:val="64"/>
        </w:rPr>
        <w:t>CONT A INMENT</w:t>
      </w:r>
    </w:p>
    <w:p>
      <w:pPr>
        <w:jc w:val="center"/>
      </w:pPr>
      <w:r>
        <w:rPr>
          <w:b/>
          <w:sz w:val="34"/>
        </w:rPr>
        <w:t>TryHackMe Incident Response Walkthrough</w:t>
      </w:r>
    </w:p>
    <w:p>
      <w:pPr>
        <w:jc w:val="center"/>
      </w:pPr>
      <w:r>
        <w:rPr>
          <w:i/>
        </w:rPr>
        <w:t>West Tech | Endpoint Investigation | PCAP Reconstruction | Prompt Injection Analysis</w:t>
      </w:r>
    </w:p>
    <w:p>
      <w:r>
        <w:t>Public portfolio edition - challenge flag redacted.</w:t>
      </w:r>
    </w:p>
    <w:p>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01-room-overview.png"/>
                    <pic:cNvPicPr/>
                  </pic:nvPicPr>
                  <pic:blipFill>
                    <a:blip r:embed="rId9"/>
                    <a:stretch>
                      <a:fillRect/>
                    </a:stretch>
                  </pic:blipFill>
                  <pic:spPr>
                    <a:xfrm>
                      <a:off x="0" y="0"/>
                      <a:ext cx="6035040" cy="3352800"/>
                    </a:xfrm>
                    <a:prstGeom prst="rect"/>
                  </pic:spPr>
                </pic:pic>
              </a:graphicData>
            </a:graphic>
          </wp:inline>
        </w:drawing>
      </w:r>
    </w:p>
    <w:p>
      <w:pPr>
        <w:jc w:val="center"/>
      </w:pPr>
      <w:r>
        <w:t>Figure 1. Challenge context and investigator role.</w:t>
      </w:r>
    </w:p>
    <w:p>
      <w:pPr>
        <w:pStyle w:val="Heading1"/>
      </w:pPr>
      <w:r>
        <w:t>Executive Summary</w:t>
      </w:r>
    </w:p>
    <w:p>
      <w:r>
        <w:t>ContAInment is a defensive investigation challenge framed as a ransomware/exfiltration incident on a West Tech research workstation. The analyst is given SSH access to the affected endpoint and an internal AI incident-response assistant. The objective is to reconstruct the attack path, identify the stolen material, and obtain the challenge reward.</w:t>
      </w:r>
    </w:p>
    <w:p>
      <w:r>
        <w:t>The evidence supplied in this write-up supports an investigation chain centered on PCAP files, file reassembly, an encrypted project archive, and a specialized Liberty Prime analysis function. The most important lesson is that incident response must preserve evidence provenance and verify suspicious AI-assisted output rather than accepting model-generated conclusions at face value.</w:t>
      </w:r>
    </w:p>
    <w:p>
      <w:pPr>
        <w:pStyle w:val="Heading1"/>
      </w:pPr>
      <w:r>
        <w:t>1. Scope, Lab Access, and Safety</w:t>
      </w:r>
    </w:p>
    <w:p>
      <w:r>
        <w:t>All activity documented here is limited to the intentionally vulnerable TryHackMe environment. Credentials, target addresses, and challenge-specific secrets are treated as lab data and are not presented as production guidance.</w:t>
      </w:r>
    </w:p>
    <w:p>
      <w:r>
        <w:rPr>
          <w:rFonts w:ascii="Courier New" w:hAnsi="Courier New"/>
          <w:sz w:val="17"/>
        </w:rPr>
        <w:t>ssh o.deer@TARGET</w:t>
      </w:r>
    </w:p>
    <w:p>
      <w:r>
        <w:t>After authentication, the shell identifies the workstation as an Ubuntu host. Establishing the working directory and inventorying the home directory provides a clean starting point for evidence collection.</w:t>
      </w:r>
    </w:p>
    <w:p>
      <w:pPr>
        <w:pStyle w:val="Heading1"/>
      </w:pPr>
      <w:r>
        <w:t>2. Initial Host Triage</w:t>
      </w:r>
    </w:p>
    <w:p>
      <w:r>
        <w:drawing>
          <wp:inline xmlns:a="http://schemas.openxmlformats.org/drawingml/2006/main" xmlns:pic="http://schemas.openxmlformats.org/drawingml/2006/picture">
            <wp:extent cx="6035040" cy="3352800"/>
            <wp:docPr id="2" name="Picture 2"/>
            <wp:cNvGraphicFramePr>
              <a:graphicFrameLocks noChangeAspect="1"/>
            </wp:cNvGraphicFramePr>
            <a:graphic>
              <a:graphicData uri="http://schemas.openxmlformats.org/drawingml/2006/picture">
                <pic:pic>
                  <pic:nvPicPr>
                    <pic:cNvPr id="0" name="03-workstation-recon.png"/>
                    <pic:cNvPicPr/>
                  </pic:nvPicPr>
                  <pic:blipFill>
                    <a:blip r:embed="rId10"/>
                    <a:stretch>
                      <a:fillRect/>
                    </a:stretch>
                  </pic:blipFill>
                  <pic:spPr>
                    <a:xfrm>
                      <a:off x="0" y="0"/>
                      <a:ext cx="6035040" cy="3352800"/>
                    </a:xfrm>
                    <a:prstGeom prst="rect"/>
                  </pic:spPr>
                </pic:pic>
              </a:graphicData>
            </a:graphic>
          </wp:inline>
        </w:drawing>
      </w:r>
    </w:p>
    <w:p>
      <w:pPr>
        <w:jc w:val="center"/>
      </w:pPr>
      <w:r>
        <w:t>Figure 2. Initial filesystem triage on the affected workstation.</w:t>
      </w:r>
    </w:p>
    <w:p>
      <w:r>
        <w:rPr>
          <w:rFonts w:ascii="Courier New" w:hAnsi="Courier New"/>
          <w:sz w:val="17"/>
        </w:rPr>
        <w:t>pwd</w:t>
        <w:br/>
        <w:t>ls -lah</w:t>
      </w:r>
    </w:p>
    <w:p>
      <w:r>
        <w:t>The home directory contains a large encrypted archive, a qwen-output directory, and the employee's normal working directories. These artifacts immediately become candidates for deeper investigation.</w:t>
      </w:r>
    </w:p>
    <w:p>
      <w:pPr>
        <w:pStyle w:val="Heading1"/>
      </w:pPr>
      <w:r>
        <w:t>3. Locating Network Evidence</w:t>
      </w:r>
    </w:p>
    <w:p>
      <w:r>
        <w:drawing>
          <wp:inline xmlns:a="http://schemas.openxmlformats.org/drawingml/2006/main" xmlns:pic="http://schemas.openxmlformats.org/drawingml/2006/picture">
            <wp:extent cx="6035040" cy="3352800"/>
            <wp:docPr id="3" name="Picture 3"/>
            <wp:cNvGraphicFramePr>
              <a:graphicFrameLocks noChangeAspect="1"/>
            </wp:cNvGraphicFramePr>
            <a:graphic>
              <a:graphicData uri="http://schemas.openxmlformats.org/drawingml/2006/picture">
                <pic:pic>
                  <pic:nvPicPr>
                    <pic:cNvPr id="0" name="04-pcap-discovery.png"/>
                    <pic:cNvPicPr/>
                  </pic:nvPicPr>
                  <pic:blipFill>
                    <a:blip r:embed="rId11"/>
                    <a:stretch>
                      <a:fillRect/>
                    </a:stretch>
                  </pic:blipFill>
                  <pic:spPr>
                    <a:xfrm>
                      <a:off x="0" y="0"/>
                      <a:ext cx="6035040" cy="3352800"/>
                    </a:xfrm>
                    <a:prstGeom prst="rect"/>
                  </pic:spPr>
                </pic:pic>
              </a:graphicData>
            </a:graphic>
          </wp:inline>
        </w:drawing>
      </w:r>
    </w:p>
    <w:p>
      <w:pPr>
        <w:jc w:val="center"/>
      </w:pPr>
      <w:r>
        <w:t>Figure 3. Large collection of PCAP evidence discovered under the employee's Documents tree.</w:t>
      </w:r>
    </w:p>
    <w:p>
      <w:r>
        <w:rPr>
          <w:rFonts w:ascii="Courier New" w:hAnsi="Courier New"/>
          <w:sz w:val="17"/>
        </w:rPr>
        <w:t>find /home/o.deer/ -type f -name '*.pcap'</w:t>
      </w:r>
    </w:p>
    <w:p>
      <w:r>
        <w:t>The command identifies a large collection of small session captures grouped by date. Rather than opening every capture blindly, the investigation uses file size, timestamps, naming patterns, and the surrounding directory structure to prioritize candidate sessions.</w:t>
      </w:r>
    </w:p>
    <w:p>
      <w:pPr>
        <w:pStyle w:val="Heading1"/>
      </w:pPr>
      <w:r>
        <w:t>4. Evidence Prioritization</w:t>
      </w:r>
    </w:p>
    <w:p>
      <w:r>
        <w:t>The PCAP directory contains many similarly named session captures. The investigative objective is to find a capture containing the exfiltration stream or an artifact that can be reconstructed into a higher-level data file. Comparing file sizes is an efficient first-pass heuristic because a session that carries a larger payload is more likely to contain application data than a minimal control exchange.</w:t>
      </w:r>
    </w:p>
    <w:p>
      <w:r>
        <w:rPr>
          <w:rFonts w:ascii="Courier New" w:hAnsi="Courier New"/>
          <w:sz w:val="17"/>
        </w:rPr>
        <w:t>ls -lah /home/o.deer/Documents/pcap_dumps/YYYY-MM-DD/</w:t>
      </w:r>
    </w:p>
    <w:p>
      <w:r>
        <w:t>This phase should be treated as evidence triage rather than proof. Size alone cannot establish content or maliciousness; it merely narrows the candidate set for protocol-level inspection.</w:t>
      </w:r>
    </w:p>
    <w:p>
      <w:pPr>
        <w:pStyle w:val="Heading1"/>
      </w:pPr>
      <w:r>
        <w:t>5. Reassembling the Candidate PCAP</w:t>
      </w:r>
    </w:p>
    <w:p>
      <w:r>
        <w:drawing>
          <wp:inline xmlns:a="http://schemas.openxmlformats.org/drawingml/2006/main" xmlns:pic="http://schemas.openxmlformats.org/drawingml/2006/picture">
            <wp:extent cx="6035040" cy="3352800"/>
            <wp:docPr id="4" name="Picture 4"/>
            <wp:cNvGraphicFramePr>
              <a:graphicFrameLocks noChangeAspect="1"/>
            </wp:cNvGraphicFramePr>
            <a:graphic>
              <a:graphicData uri="http://schemas.openxmlformats.org/drawingml/2006/picture">
                <pic:pic>
                  <pic:nvPicPr>
                    <pic:cNvPr id="0" name="05-ir-assistant-reassembly.png"/>
                    <pic:cNvPicPr/>
                  </pic:nvPicPr>
                  <pic:blipFill>
                    <a:blip r:embed="rId12"/>
                    <a:stretch>
                      <a:fillRect/>
                    </a:stretch>
                  </pic:blipFill>
                  <pic:spPr>
                    <a:xfrm>
                      <a:off x="0" y="0"/>
                      <a:ext cx="6035040" cy="3352800"/>
                    </a:xfrm>
                    <a:prstGeom prst="rect"/>
                  </pic:spPr>
                </pic:pic>
              </a:graphicData>
            </a:graphic>
          </wp:inline>
        </w:drawing>
      </w:r>
    </w:p>
    <w:p>
      <w:pPr>
        <w:jc w:val="center"/>
      </w:pPr>
      <w:r>
        <w:t>Figure 4. Internal IR assistant reassembles a selected PCAP into a text artifact.</w:t>
      </w:r>
    </w:p>
    <w:p>
      <w:r>
        <w:t>The challenge provides an internal AI assistant with a PCAP reassembly function. A candidate capture can be submitted by path, allowing the tool to reconstruct its application-layer contents into a text file. This demonstrates a useful IR pattern: isolate a specific evidence source, transform it into a human-readable artifact, and keep the transformation reproducible by recording the exact input path.</w:t>
      </w:r>
    </w:p>
    <w:p>
      <w:r>
        <w:rPr>
          <w:rFonts w:ascii="Courier New" w:hAnsi="Courier New"/>
          <w:sz w:val="17"/>
        </w:rPr>
        <w:t>Reassemble /home/o.deer/Documents/pcap_dumps/YYYY-MM-DD/session_XXXX_dump.pcap</w:t>
      </w:r>
    </w:p>
    <w:p>
      <w:r>
        <w:t>The resulting artifact is written to the assistant's output directory.</w:t>
      </w:r>
    </w:p>
    <w:p>
      <w:pPr>
        <w:pStyle w:val="Heading1"/>
      </w:pPr>
      <w:r>
        <w:t>6. Inspecting the Reassembled Artifact</w:t>
      </w:r>
    </w:p>
    <w:p>
      <w:r>
        <w:drawing>
          <wp:inline xmlns:a="http://schemas.openxmlformats.org/drawingml/2006/main" xmlns:pic="http://schemas.openxmlformats.org/drawingml/2006/picture">
            <wp:extent cx="6035040" cy="3352800"/>
            <wp:docPr id="5" name="Picture 5"/>
            <wp:cNvGraphicFramePr>
              <a:graphicFrameLocks noChangeAspect="1"/>
            </wp:cNvGraphicFramePr>
            <a:graphic>
              <a:graphicData uri="http://schemas.openxmlformats.org/drawingml/2006/picture">
                <pic:pic>
                  <pic:nvPicPr>
                    <pic:cNvPr id="0" name="06-reassembled-artifact.png"/>
                    <pic:cNvPicPr/>
                  </pic:nvPicPr>
                  <pic:blipFill>
                    <a:blip r:embed="rId13"/>
                    <a:stretch>
                      <a:fillRect/>
                    </a:stretch>
                  </pic:blipFill>
                  <pic:spPr>
                    <a:xfrm>
                      <a:off x="0" y="0"/>
                      <a:ext cx="6035040" cy="3352800"/>
                    </a:xfrm>
                    <a:prstGeom prst="rect"/>
                  </pic:spPr>
                </pic:pic>
              </a:graphicData>
            </a:graphic>
          </wp:inline>
        </w:drawing>
      </w:r>
    </w:p>
    <w:p>
      <w:pPr>
        <w:jc w:val="center"/>
      </w:pPr>
      <w:r>
        <w:t>Figure 5. Reassembled data exposes operational context and a prompt-injection trail.</w:t>
      </w:r>
    </w:p>
    <w:p>
      <w:r>
        <w:rPr>
          <w:rFonts w:ascii="Courier New" w:hAnsi="Courier New"/>
          <w:sz w:val="17"/>
        </w:rPr>
        <w:t>cd /home/o.deer/qwen-output/</w:t>
        <w:br/>
        <w:t>ls</w:t>
        <w:br/>
        <w:t>cat reassembled_data_dump.txt</w:t>
      </w:r>
    </w:p>
    <w:p>
      <w:r>
        <w:t>The reconstructed text contains employee/project context and a prompt-injection session log. The key analytical point is that the hostile prompt content attempted to persuade the AI assistant to disclose sensitive information. This should be recorded as attacker-controlled data, not trusted instructions.</w:t>
      </w:r>
    </w:p>
    <w:p>
      <w:pPr>
        <w:pStyle w:val="Heading1"/>
      </w:pPr>
      <w:r>
        <w:t>7. Recovering the Encrypted Project Archive</w:t>
      </w:r>
    </w:p>
    <w:p>
      <w:r>
        <w:drawing>
          <wp:inline xmlns:a="http://schemas.openxmlformats.org/drawingml/2006/main" xmlns:pic="http://schemas.openxmlformats.org/drawingml/2006/picture">
            <wp:extent cx="6035040" cy="3352800"/>
            <wp:docPr id="6" name="Picture 6"/>
            <wp:cNvGraphicFramePr>
              <a:graphicFrameLocks noChangeAspect="1"/>
            </wp:cNvGraphicFramePr>
            <a:graphic>
              <a:graphicData uri="http://schemas.openxmlformats.org/drawingml/2006/picture">
                <pic:pic>
                  <pic:nvPicPr>
                    <pic:cNvPr id="0" name="07-encrypted-projects.png"/>
                    <pic:cNvPicPr/>
                  </pic:nvPicPr>
                  <pic:blipFill>
                    <a:blip r:embed="rId14"/>
                    <a:stretch>
                      <a:fillRect/>
                    </a:stretch>
                  </pic:blipFill>
                  <pic:spPr>
                    <a:xfrm>
                      <a:off x="0" y="0"/>
                      <a:ext cx="6035040" cy="3352800"/>
                    </a:xfrm>
                    <a:prstGeom prst="rect"/>
                  </pic:spPr>
                </pic:pic>
              </a:graphicData>
            </a:graphic>
          </wp:inline>
        </w:drawing>
      </w:r>
    </w:p>
    <w:p>
      <w:pPr>
        <w:jc w:val="center"/>
      </w:pPr>
      <w:r>
        <w:t>Figure 6. Archive extraction reveals the recovered West Tech project artifacts.</w:t>
      </w:r>
    </w:p>
    <w:p>
      <w:r>
        <w:rPr>
          <w:rFonts w:ascii="Courier New" w:hAnsi="Courier New"/>
          <w:sz w:val="17"/>
        </w:rPr>
        <w:t>unzip -d /dev/shm/ /home/o.deer/westtech_projects_encrypted.zip</w:t>
      </w:r>
    </w:p>
    <w:p>
      <w:r>
        <w:t>The extracted directory contains project documents, incident records, launcher/test logs, an email export, specifications, and a challenge flag file. The password visible in the supplied evidence is preserved as a lab-specific artifact and should not be reused outside this challenge.</w:t>
      </w:r>
    </w:p>
    <w:p>
      <w:pPr>
        <w:pStyle w:val="Heading1"/>
      </w:pPr>
      <w:r>
        <w:t>8. Content Analysis</w:t>
      </w:r>
    </w:p>
    <w:p>
      <w:r>
        <w:drawing>
          <wp:inline xmlns:a="http://schemas.openxmlformats.org/drawingml/2006/main" xmlns:pic="http://schemas.openxmlformats.org/drawingml/2006/picture">
            <wp:extent cx="6035040" cy="3352800"/>
            <wp:docPr id="7" name="Picture 7"/>
            <wp:cNvGraphicFramePr>
              <a:graphicFrameLocks noChangeAspect="1"/>
            </wp:cNvGraphicFramePr>
            <a:graphic>
              <a:graphicData uri="http://schemas.openxmlformats.org/drawingml/2006/picture">
                <pic:pic>
                  <pic:nvPicPr>
                    <pic:cNvPr id="0" name="08-project-contents.png"/>
                    <pic:cNvPicPr/>
                  </pic:nvPicPr>
                  <pic:blipFill>
                    <a:blip r:embed="rId15"/>
                    <a:stretch>
                      <a:fillRect/>
                    </a:stretch>
                  </pic:blipFill>
                  <pic:spPr>
                    <a:xfrm>
                      <a:off x="0" y="0"/>
                      <a:ext cx="6035040" cy="3352800"/>
                    </a:xfrm>
                    <a:prstGeom prst="rect"/>
                  </pic:spPr>
                </pic:pic>
              </a:graphicData>
            </a:graphic>
          </wp:inline>
        </w:drawing>
      </w:r>
    </w:p>
    <w:p>
      <w:pPr>
        <w:jc w:val="center"/>
      </w:pPr>
      <w:r>
        <w:t>Figure 7. Recovered project directory and candidate evidence files.</w:t>
      </w:r>
    </w:p>
    <w:p>
      <w:r>
        <w:t>At this stage the investigation shifts from acquisition to interpretation. Filenames indicate multiple avenues of analysis: internal incident JSON, email export, test logs, specifications, and an explicit flag container. A disciplined workflow is to inspect the least destructive, highest-signal artifacts first and keep a record of commands and outputs.</w:t>
      </w:r>
    </w:p>
    <w:p>
      <w:pPr>
        <w:pStyle w:val="Heading1"/>
      </w:pPr>
      <w:r>
        <w:t>9. Using the Dedicated Liberty Prime Function</w:t>
      </w:r>
    </w:p>
    <w:p>
      <w:r>
        <w:drawing>
          <wp:inline xmlns:a="http://schemas.openxmlformats.org/drawingml/2006/main" xmlns:pic="http://schemas.openxmlformats.org/drawingml/2006/picture">
            <wp:extent cx="6035040" cy="3352800"/>
            <wp:docPr id="8" name="Picture 8"/>
            <wp:cNvGraphicFramePr>
              <a:graphicFrameLocks noChangeAspect="1"/>
            </wp:cNvGraphicFramePr>
            <a:graphic>
              <a:graphicData uri="http://schemas.openxmlformats.org/drawingml/2006/picture">
                <pic:pic>
                  <pic:nvPicPr>
                    <pic:cNvPr id="0" name="09-liberty-prime-ui.png"/>
                    <pic:cNvPicPr/>
                  </pic:nvPicPr>
                  <pic:blipFill>
                    <a:blip r:embed="rId16"/>
                    <a:stretch>
                      <a:fillRect/>
                    </a:stretch>
                  </pic:blipFill>
                  <pic:spPr>
                    <a:xfrm>
                      <a:off x="0" y="0"/>
                      <a:ext cx="6035040" cy="3352800"/>
                    </a:xfrm>
                    <a:prstGeom prst="rect"/>
                  </pic:spPr>
                </pic:pic>
              </a:graphicData>
            </a:graphic>
          </wp:inline>
        </w:drawing>
      </w:r>
    </w:p>
    <w:p>
      <w:pPr>
        <w:jc w:val="center"/>
      </w:pPr>
      <w:r>
        <w:t>Figure 8. Internal assistant interface exposing the Liberty Prime analysis capability.</w:t>
      </w:r>
    </w:p>
    <w:p>
      <w:r>
        <w:t>The assistant exposes a purpose-built liberty_prime function. The evidence shows the analyst asking the function to inspect the recovered flag file. This reflects a challenge-specific shortcut: instead of manually reverse-engineering every encoded line, the analyst can invoke the supplied forensic helper against the known file path.</w:t>
      </w:r>
    </w:p>
    <w:p>
      <w:r>
        <w:rPr>
          <w:rFonts w:ascii="Courier New" w:hAnsi="Courier New"/>
          <w:sz w:val="17"/>
        </w:rPr>
        <w:t>Use liberty_prime to check /dev/shm/home/o.deer/westtech_projects/thm_flags.txt</w:t>
      </w:r>
    </w:p>
    <w:p>
      <w:r>
        <w:t>The assistant reports a flag-like result. For a real incident-response workflow, this output would still require independent validation against the underlying file and evidence chain. In a CTF, the tool output is the intended final confirmation step.</w:t>
      </w:r>
    </w:p>
    <w:p>
      <w:pPr>
        <w:pStyle w:val="Heading1"/>
      </w:pPr>
      <w:r>
        <w:t>10. Result and Public Flag Policy</w:t>
      </w:r>
    </w:p>
    <w:p>
      <w:r>
        <w:drawing>
          <wp:inline xmlns:a="http://schemas.openxmlformats.org/drawingml/2006/main" xmlns:pic="http://schemas.openxmlformats.org/drawingml/2006/picture">
            <wp:extent cx="6035040" cy="3352800"/>
            <wp:docPr id="9" name="Picture 9"/>
            <wp:cNvGraphicFramePr>
              <a:graphicFrameLocks noChangeAspect="1"/>
            </wp:cNvGraphicFramePr>
            <a:graphic>
              <a:graphicData uri="http://schemas.openxmlformats.org/drawingml/2006/picture">
                <pic:pic>
                  <pic:nvPicPr>
                    <pic:cNvPr id="0" name="10-flag-redacted-evidence.png"/>
                    <pic:cNvPicPr/>
                  </pic:nvPicPr>
                  <pic:blipFill>
                    <a:blip r:embed="rId17"/>
                    <a:stretch>
                      <a:fillRect/>
                    </a:stretch>
                  </pic:blipFill>
                  <pic:spPr>
                    <a:xfrm>
                      <a:off x="0" y="0"/>
                      <a:ext cx="6035040" cy="3352800"/>
                    </a:xfrm>
                    <a:prstGeom prst="rect"/>
                  </pic:spPr>
                </pic:pic>
              </a:graphicData>
            </a:graphic>
          </wp:inline>
        </w:drawing>
      </w:r>
    </w:p>
    <w:p>
      <w:pPr>
        <w:jc w:val="center"/>
      </w:pPr>
      <w:r>
        <w:t>Figure 9. Final evidence is shown with the challenge answer intentionally removed for public release.</w:t>
      </w:r>
    </w:p>
    <w:p>
      <w:r>
        <w:t>The actual TryHackMe flag is intentionally redacted from this public portfolio package to reduce answer leakage and plagiarism.</w:t>
      </w:r>
    </w:p>
    <w:p>
      <w:r>
        <w:rPr>
          <w:rFonts w:ascii="Courier New" w:hAnsi="Courier New"/>
          <w:sz w:val="17"/>
        </w:rPr>
        <w:t>THM{REDACTED_FOR_PUBLICATION}</w:t>
      </w:r>
    </w:p>
    <w:p>
      <w:pPr>
        <w:pStyle w:val="Heading1"/>
      </w:pPr>
      <w:r>
        <w:t>11. Attack / Investigation Timeline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Evidence</w:t>
            </w:r>
          </w:p>
        </w:tc>
        <w:tc>
          <w:tcPr>
            <w:tcW w:type="dxa" w:w="2520"/>
          </w:tcPr>
          <w:p>
            <w:r>
              <w:t>Action</w:t>
            </w:r>
          </w:p>
        </w:tc>
        <w:tc>
          <w:tcPr>
            <w:tcW w:type="dxa" w:w="2520"/>
          </w:tcPr>
          <w:p>
            <w:r>
              <w:t>Outcome</w:t>
            </w:r>
          </w:p>
        </w:tc>
      </w:tr>
      <w:tr>
        <w:tc>
          <w:tcPr>
            <w:tcW w:type="dxa" w:w="2520"/>
          </w:tcPr>
          <w:p>
            <w:r>
              <w:t>Access</w:t>
            </w:r>
          </w:p>
        </w:tc>
        <w:tc>
          <w:tcPr>
            <w:tcW w:type="dxa" w:w="2520"/>
          </w:tcPr>
          <w:p>
            <w:r>
              <w:t>SSH service</w:t>
            </w:r>
          </w:p>
        </w:tc>
        <w:tc>
          <w:tcPr>
            <w:tcW w:type="dxa" w:w="2520"/>
          </w:tcPr>
          <w:p>
            <w:r>
              <w:t>Authenticate as o.deer</w:t>
            </w:r>
          </w:p>
        </w:tc>
        <w:tc>
          <w:tcPr>
            <w:tcW w:type="dxa" w:w="2520"/>
          </w:tcPr>
          <w:p>
            <w:r>
              <w:t>Workstation access</w:t>
            </w:r>
          </w:p>
        </w:tc>
      </w:tr>
      <w:tr>
        <w:tc>
          <w:tcPr>
            <w:tcW w:type="dxa" w:w="2520"/>
          </w:tcPr>
          <w:p>
            <w:r>
              <w:t>Triage</w:t>
            </w:r>
          </w:p>
        </w:tc>
        <w:tc>
          <w:tcPr>
            <w:tcW w:type="dxa" w:w="2520"/>
          </w:tcPr>
          <w:p>
            <w:r>
              <w:t>Home directory</w:t>
            </w:r>
          </w:p>
        </w:tc>
        <w:tc>
          <w:tcPr>
            <w:tcW w:type="dxa" w:w="2520"/>
          </w:tcPr>
          <w:p>
            <w:r>
              <w:t>Inventory files and directories</w:t>
            </w:r>
          </w:p>
        </w:tc>
        <w:tc>
          <w:tcPr>
            <w:tcW w:type="dxa" w:w="2520"/>
          </w:tcPr>
          <w:p>
            <w:r>
              <w:t>Encrypted archive + evidence directories found</w:t>
            </w:r>
          </w:p>
        </w:tc>
      </w:tr>
      <w:tr>
        <w:tc>
          <w:tcPr>
            <w:tcW w:type="dxa" w:w="2520"/>
          </w:tcPr>
          <w:p>
            <w:r>
              <w:t>Network evidence</w:t>
            </w:r>
          </w:p>
        </w:tc>
        <w:tc>
          <w:tcPr>
            <w:tcW w:type="dxa" w:w="2520"/>
          </w:tcPr>
          <w:p>
            <w:r>
              <w:t>Many PCAPs</w:t>
            </w:r>
          </w:p>
        </w:tc>
        <w:tc>
          <w:tcPr>
            <w:tcW w:type="dxa" w:w="2520"/>
          </w:tcPr>
          <w:p>
            <w:r>
              <w:t>Locate and prioritize captures</w:t>
            </w:r>
          </w:p>
        </w:tc>
        <w:tc>
          <w:tcPr>
            <w:tcW w:type="dxa" w:w="2520"/>
          </w:tcPr>
          <w:p>
            <w:r>
              <w:t>Candidate exfiltration session identified</w:t>
            </w:r>
          </w:p>
        </w:tc>
      </w:tr>
      <w:tr>
        <w:tc>
          <w:tcPr>
            <w:tcW w:type="dxa" w:w="2520"/>
          </w:tcPr>
          <w:p>
            <w:r>
              <w:t>Transformation</w:t>
            </w:r>
          </w:p>
        </w:tc>
        <w:tc>
          <w:tcPr>
            <w:tcW w:type="dxa" w:w="2520"/>
          </w:tcPr>
          <w:p>
            <w:r>
              <w:t>PCAP</w:t>
            </w:r>
          </w:p>
        </w:tc>
        <w:tc>
          <w:tcPr>
            <w:tcW w:type="dxa" w:w="2520"/>
          </w:tcPr>
          <w:p>
            <w:r>
              <w:t>Reassemble selected capture</w:t>
            </w:r>
          </w:p>
        </w:tc>
        <w:tc>
          <w:tcPr>
            <w:tcW w:type="dxa" w:w="2520"/>
          </w:tcPr>
          <w:p>
            <w:r>
              <w:t>Readable text artifact recovered</w:t>
            </w:r>
          </w:p>
        </w:tc>
      </w:tr>
      <w:tr>
        <w:tc>
          <w:tcPr>
            <w:tcW w:type="dxa" w:w="2520"/>
          </w:tcPr>
          <w:p>
            <w:r>
              <w:t>Analysis</w:t>
            </w:r>
          </w:p>
        </w:tc>
        <w:tc>
          <w:tcPr>
            <w:tcW w:type="dxa" w:w="2520"/>
          </w:tcPr>
          <w:p>
            <w:r>
              <w:t>Prompt log</w:t>
            </w:r>
          </w:p>
        </w:tc>
        <w:tc>
          <w:tcPr>
            <w:tcW w:type="dxa" w:w="2520"/>
          </w:tcPr>
          <w:p>
            <w:r>
              <w:t>Separate data from instructions</w:t>
            </w:r>
          </w:p>
        </w:tc>
        <w:tc>
          <w:tcPr>
            <w:tcW w:type="dxa" w:w="2520"/>
          </w:tcPr>
          <w:p>
            <w:r>
              <w:t>Prompt-injection activity identified</w:t>
            </w:r>
          </w:p>
        </w:tc>
      </w:tr>
      <w:tr>
        <w:tc>
          <w:tcPr>
            <w:tcW w:type="dxa" w:w="2520"/>
          </w:tcPr>
          <w:p>
            <w:r>
              <w:t>Acquisition</w:t>
            </w:r>
          </w:p>
        </w:tc>
        <w:tc>
          <w:tcPr>
            <w:tcW w:type="dxa" w:w="2520"/>
          </w:tcPr>
          <w:p>
            <w:r>
              <w:t>Encrypted ZIP</w:t>
            </w:r>
          </w:p>
        </w:tc>
        <w:tc>
          <w:tcPr>
            <w:tcW w:type="dxa" w:w="2520"/>
          </w:tcPr>
          <w:p>
            <w:r>
              <w:t>Extract recovered archive</w:t>
            </w:r>
          </w:p>
        </w:tc>
        <w:tc>
          <w:tcPr>
            <w:tcW w:type="dxa" w:w="2520"/>
          </w:tcPr>
          <w:p>
            <w:r>
              <w:t>Project corpus recovered</w:t>
            </w:r>
          </w:p>
        </w:tc>
      </w:tr>
      <w:tr>
        <w:tc>
          <w:tcPr>
            <w:tcW w:type="dxa" w:w="2520"/>
          </w:tcPr>
          <w:p>
            <w:r>
              <w:t>Validation</w:t>
            </w:r>
          </w:p>
        </w:tc>
        <w:tc>
          <w:tcPr>
            <w:tcW w:type="dxa" w:w="2520"/>
          </w:tcPr>
          <w:p>
            <w:r>
              <w:t>Flag file</w:t>
            </w:r>
          </w:p>
        </w:tc>
        <w:tc>
          <w:tcPr>
            <w:tcW w:type="dxa" w:w="2520"/>
          </w:tcPr>
          <w:p>
            <w:r>
              <w:t>Invoke challenge-provided analysis function</w:t>
            </w:r>
          </w:p>
        </w:tc>
        <w:tc>
          <w:tcPr>
            <w:tcW w:type="dxa" w:w="2520"/>
          </w:tcPr>
          <w:p>
            <w:r>
              <w:t>Challenge result confirmed</w:t>
            </w:r>
          </w:p>
        </w:tc>
      </w:tr>
    </w:tbl>
    <w:p>
      <w:pPr>
        <w:pStyle w:val="Heading1"/>
      </w:pPr>
      <w:r>
        <w:t>12. Key Security Observations</w:t>
      </w:r>
    </w:p>
    <w:p>
      <w:r>
        <w:rPr>
          <w:b/>
        </w:rPr>
        <w:t xml:space="preserve">Network exfiltration evidence: </w:t>
      </w:r>
      <w:r>
        <w:t>PCAP archives can preserve the sequence of attacker actions even when endpoint artifacts are incomplete.</w:t>
      </w:r>
    </w:p>
    <w:p>
      <w:r>
        <w:rPr>
          <w:b/>
        </w:rPr>
        <w:t xml:space="preserve">Artifact reconstruction: </w:t>
      </w:r>
      <w:r>
        <w:t>Reassembly converts low-level network captures into higher-level files that can be analyzed more efficiently.</w:t>
      </w:r>
    </w:p>
    <w:p>
      <w:r>
        <w:rPr>
          <w:b/>
        </w:rPr>
        <w:t xml:space="preserve">Prompt injection: </w:t>
      </w:r>
      <w:r>
        <w:t>Instructions embedded inside recovered data are untrusted content. An AI assistant must not treat them as higher-priority instructions.</w:t>
      </w:r>
    </w:p>
    <w:p>
      <w:r>
        <w:rPr>
          <w:b/>
        </w:rPr>
        <w:t xml:space="preserve">Secrets in incident artifacts: </w:t>
      </w:r>
      <w:r>
        <w:t>Recovered archives may contain passwords, project records, and other sensitive material. Access should be tightly scoped and audited.</w:t>
      </w:r>
    </w:p>
    <w:p>
      <w:r>
        <w:rPr>
          <w:b/>
        </w:rPr>
        <w:t xml:space="preserve">AI-assisted IR: </w:t>
      </w:r>
      <w:r>
        <w:t>Tool-assisted triage can accelerate investigations, but critical conclusions should be independently validated against source evidence.</w:t>
      </w:r>
    </w:p>
    <w:p>
      <w:pPr>
        <w:pStyle w:val="Heading1"/>
      </w:pPr>
      <w:r>
        <w:t>13. Detection and Mitigation Recommendations</w:t>
      </w:r>
    </w:p>
    <w:p>
      <w:r>
        <w:t>For defenders, the challenge maps cleanly to several real-world controls: centralize endpoint and network telemetry; retain PCAP selectively around high-value systems; monitor unusual archive creation and exfiltration; treat AI tool input as untrusted data; isolate forensic tooling from production identities; and alert on suspicious use of debug or analysis interfaces.</w:t>
      </w:r>
    </w:p>
    <w:p>
      <w:r>
        <w:t>For AI-enabled incident-response assistants, enforce explicit tool authorization boundaries, separate retrieved data from system instructions, sanitize tool arguments, log every file access, and require analyst confirmation before executing sensitive actions.</w:t>
      </w:r>
    </w:p>
    <w:p>
      <w:pPr>
        <w:pStyle w:val="Heading1"/>
      </w:pPr>
      <w:r>
        <w:t>14. Lessons Learned</w:t>
      </w:r>
    </w:p>
    <w:p>
      <w:r>
        <w:t>The strongest lesson is methodological: follow the evidence, not the narrative. Start with host triage, find the network evidence, reconstruct the relevant stream, inspect the resulting artifact, recover the associated archive, and only then use specialized analysis tooling. The sequence keeps the investigation explainable and makes each decision auditable.</w:t>
      </w:r>
    </w:p>
    <w:p>
      <w:pPr>
        <w:pStyle w:val="Heading1"/>
      </w:pPr>
      <w:r>
        <w:t>15. Conclusion</w:t>
      </w:r>
    </w:p>
    <w:p>
      <w:r>
        <w:t>ContAInment is a compact incident-response exercise combining endpoint triage, network forensics, evidence reconstruction, archive analysis, and secure use of AI-assisted tooling. The technically important skills are not any single command, but the ability to connect multiple evidence sources into a defensible timeline and to recognize that attacker-controlled text can manipulate automated analysis.</w:t>
      </w:r>
    </w:p>
    <w:p>
      <w:pPr>
        <w:jc w:val="center"/>
      </w:pPr>
      <w:r>
        <w:rPr>
          <w:b/>
        </w:rPr>
        <w:t>Author: Anurag Revankar | Cybersecurity / DFIR Portfolio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6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1E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