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GUESTBOOK</w:t>
      </w:r>
    </w:p>
    <w:p>
      <w:pPr>
        <w:jc w:val="center"/>
      </w:pPr>
      <w:r>
        <w:rPr>
          <w:i/>
          <w:sz w:val="26"/>
        </w:rPr>
        <w:t>TryHackMe CTF — Professional Portfolio Documentation</w:t>
      </w:r>
    </w:p>
    <w:p>
      <w:pPr>
        <w:jc w:val="center"/>
      </w:pPr>
      <w:r>
        <w:rPr>
          <w:b/>
        </w:rPr>
        <w:t>AI Security • Web Security • Prompt Injection • Authorization Analysis</w:t>
      </w:r>
    </w:p>
    <w:p>
      <w:pPr>
        <w:pStyle w:val="Heading1"/>
      </w:pPr>
      <w:r>
        <w:t>1. Executive Summary</w:t>
      </w:r>
    </w:p>
    <w:p>
      <w:r>
        <w:t>The Guestbook is a TryHackMe web-security challenge built around an AI concierge named VERA. Guestbook messages are interpreted as instructions, allowing attacker-controlled input to reach internal functionality. The investigation followed a chain from prompt injection to hidden directive discovery, attacker-influenced next-entry authorization, manager-only diagnostic execution, protected-file discovery, and encoded output extraction. The final challenge flag is intentionally omitted from this public portfolio document.</w:t>
      </w:r>
    </w:p>
    <w:p>
      <w:pPr>
        <w:pStyle w:val="Heading1"/>
      </w:pPr>
      <w:r>
        <w:t>2. Challenge Context</w:t>
      </w:r>
    </w:p>
    <w:p>
      <w:r>
        <w:t>The application presents a guestbook for the fictional Byte Lotus Hotel and a VERA Night Review component. The important security property is that content submitted by a normal guest is processed by a privileged AI workflow.</w:t>
      </w:r>
    </w:p>
    <w:p>
      <w:pPr>
        <w:pStyle w:val="Heading1"/>
      </w:pPr>
      <w:r>
        <w:t>3. Initial Enumeration</w:t>
      </w:r>
    </w:p>
    <w:p>
      <w:pPr>
        <w:pStyle w:val="ListBullet"/>
      </w:pPr>
      <w:r>
        <w:t>Main application: http://MACHINE_IP/</w:t>
      </w:r>
    </w:p>
    <w:p>
      <w:pPr>
        <w:pStyle w:val="ListBullet"/>
      </w:pPr>
      <w:r>
        <w:t>Guestbook API: GET /guestbook</w:t>
      </w:r>
    </w:p>
    <w:p>
      <w:pPr>
        <w:pStyle w:val="ListBullet"/>
      </w:pPr>
      <w:r>
        <w:t>VERA activity: GET /vera/activity</w:t>
      </w:r>
    </w:p>
    <w:p>
      <w:pPr>
        <w:pStyle w:val="ListBullet"/>
      </w:pPr>
      <w:r>
        <w:t>Submission endpoint: POST /entry</w:t>
      </w:r>
    </w:p>
    <w:p>
      <w:pPr>
        <w:pStyle w:val="Heading1"/>
      </w:pPr>
      <w:r>
        <w:t>4. Establishing the Processing Model</w:t>
      </w:r>
    </w:p>
    <w:p>
      <w:r>
        <w:t>A harmless guestbook submission established that entries were reviewed asynchronously. The activity endpoint then exposed evidence of the processing cycle and internal tool behavior.</w:t>
      </w:r>
    </w:p>
    <w:p>
      <w:pPr>
        <w:pStyle w:val="Heading1"/>
      </w:pPr>
      <w:r>
        <w:t>5. Source and Endpoint Inspection</w:t>
      </w:r>
    </w:p>
    <w:p>
      <w:r>
        <w:t>The page source was inspected with curl and grep to identify routes and client-side behavior. The observed application surface centered on /guestbook, /vera/activity, and /entry.</w:t>
      </w:r>
    </w:p>
    <w:p>
      <w:pPr>
        <w:pStyle w:val="Heading1"/>
      </w:pPr>
      <w:r>
        <w:t>6. Prompt Injection</w:t>
      </w:r>
    </w:p>
    <w:p>
      <w:r>
        <w:t>Natural-language review instructions altered VERA's behavior. A message could influence which guest record was selected and cause VERA to retrieve information that was not part of the public guestbook listing. This demonstrated that the message field functioned as an instruction channel rather than passive content.</w:t>
      </w:r>
    </w:p>
    <w:p>
      <w:pPr>
        <w:pStyle w:val="Heading1"/>
      </w:pPr>
      <w:r>
        <w:t>7. Hidden Directives</w:t>
      </w:r>
    </w:p>
    <w:p>
      <w:r>
        <w:t>Directive discovery revealed:</w:t>
      </w:r>
    </w:p>
    <w:p>
      <w:pPr>
        <w:pStyle w:val="ListBullet"/>
      </w:pPr>
      <w:r>
        <w:t>note:</w:t>
      </w:r>
    </w:p>
    <w:p>
      <w:pPr>
        <w:pStyle w:val="ListBullet"/>
      </w:pPr>
      <w:r>
        <w:t>lookup:</w:t>
      </w:r>
    </w:p>
    <w:p>
      <w:pPr>
        <w:pStyle w:val="ListBullet"/>
      </w:pPr>
      <w:r>
        <w:t>flag:</w:t>
      </w:r>
    </w:p>
    <w:p>
      <w:pPr>
        <w:pStyle w:val="ListBullet"/>
      </w:pPr>
      <w:r>
        <w:t>override:</w:t>
      </w:r>
    </w:p>
    <w:p>
      <w:r>
        <w:t>The override directive was described as a manager-authorized diagnostic, making it the key privilege boundary to investigate.</w:t>
      </w:r>
    </w:p>
    <w:p>
      <w:pPr>
        <w:pStyle w:val="Heading1"/>
      </w:pPr>
      <w:r>
        <w:t>8. Authorization Boundary Failure</w:t>
      </w:r>
    </w:p>
    <w:p>
      <w:r>
        <w:t>The critical design flaw was a next-entry authorization mechanism. An attacker-controlled entry could create approval state for the next entry, which then consumed that state. The approval was therefore not bound to a trusted manager identity.</w:t>
      </w:r>
    </w:p>
    <w:p>
      <w:pPr>
        <w:pStyle w:val="Heading1"/>
      </w:pPr>
      <w:r>
        <w:t>9. Privileged Override</w:t>
      </w:r>
    </w:p>
    <w:p>
      <w:r>
        <w:t>After the authorization state was established, the next review accepted the manager-only override and executed a filesystem diagnostic. The resulting directory listing disclosed the protected manager flag file.</w:t>
      </w:r>
    </w:p>
    <w:p>
      <w:pPr>
        <w:pStyle w:val="Heading1"/>
      </w:pPr>
      <w:r>
        <w:t>10. Controlled Extraction</w:t>
      </w:r>
    </w:p>
    <w:p>
      <w:r>
        <w:t>Direct file output was subject to filtering. Encoding the protected file before retrieval produced Base64 output that could be decoded locally. The result required two decoding steps. The actual flag value is intentionally redacted.</w:t>
      </w:r>
    </w:p>
    <w:p>
      <w:pPr>
        <w:pStyle w:val="Heading1"/>
      </w:pPr>
      <w:r>
        <w:t>11. Security Findings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Finding</w:t>
            </w:r>
          </w:p>
        </w:tc>
        <w:tc>
          <w:tcPr>
            <w:tcW w:type="dxa" w:w="3360"/>
          </w:tcPr>
          <w:p>
            <w:r>
              <w:t>Impact</w:t>
            </w:r>
          </w:p>
        </w:tc>
      </w:tr>
      <w:tr>
        <w:tc>
          <w:tcPr>
            <w:tcW w:type="dxa" w:w="3360"/>
          </w:tcPr>
          <w:p>
            <w:r>
              <w:t>GKB-01</w:t>
            </w:r>
          </w:p>
        </w:tc>
        <w:tc>
          <w:tcPr>
            <w:tcW w:type="dxa" w:w="3360"/>
          </w:tcPr>
          <w:p>
            <w:r>
              <w:t>Prompt injection through guestbook content</w:t>
            </w:r>
          </w:p>
        </w:tc>
        <w:tc>
          <w:tcPr>
            <w:tcW w:type="dxa" w:w="3360"/>
          </w:tcPr>
          <w:p>
            <w:r>
              <w:t>Attacker can influence VERA behavior</w:t>
            </w:r>
          </w:p>
        </w:tc>
      </w:tr>
      <w:tr>
        <w:tc>
          <w:tcPr>
            <w:tcW w:type="dxa" w:w="3360"/>
          </w:tcPr>
          <w:p>
            <w:r>
              <w:t>GKB-02</w:t>
            </w:r>
          </w:p>
        </w:tc>
        <w:tc>
          <w:tcPr>
            <w:tcW w:type="dxa" w:w="3360"/>
          </w:tcPr>
          <w:p>
            <w:r>
              <w:t>Hidden privileged directives</w:t>
            </w:r>
          </w:p>
        </w:tc>
        <w:tc>
          <w:tcPr>
            <w:tcW w:type="dxa" w:w="3360"/>
          </w:tcPr>
          <w:p>
            <w:r>
              <w:t>Internal capabilities become discoverable</w:t>
            </w:r>
          </w:p>
        </w:tc>
      </w:tr>
      <w:tr>
        <w:tc>
          <w:tcPr>
            <w:tcW w:type="dxa" w:w="3360"/>
          </w:tcPr>
          <w:p>
            <w:r>
              <w:t>GKB-03</w:t>
            </w:r>
          </w:p>
        </w:tc>
        <w:tc>
          <w:tcPr>
            <w:tcW w:type="dxa" w:w="3360"/>
          </w:tcPr>
          <w:p>
            <w:r>
              <w:t>Attacker-controlled next-entry approval</w:t>
            </w:r>
          </w:p>
        </w:tc>
        <w:tc>
          <w:tcPr>
            <w:tcW w:type="dxa" w:w="3360"/>
          </w:tcPr>
          <w:p>
            <w:r>
              <w:t>Authorization boundary can be bypassed</w:t>
            </w:r>
          </w:p>
        </w:tc>
      </w:tr>
      <w:tr>
        <w:tc>
          <w:tcPr>
            <w:tcW w:type="dxa" w:w="3360"/>
          </w:tcPr>
          <w:p>
            <w:r>
              <w:t>GKB-04</w:t>
            </w:r>
          </w:p>
        </w:tc>
        <w:tc>
          <w:tcPr>
            <w:tcW w:type="dxa" w:w="3360"/>
          </w:tcPr>
          <w:p>
            <w:r>
              <w:t>Privileged diagnostic execution</w:t>
            </w:r>
          </w:p>
        </w:tc>
        <w:tc>
          <w:tcPr>
            <w:tcW w:type="dxa" w:w="3360"/>
          </w:tcPr>
          <w:p>
            <w:r>
              <w:t>Commands run with VERA privileges</w:t>
            </w:r>
          </w:p>
        </w:tc>
      </w:tr>
      <w:tr>
        <w:tc>
          <w:tcPr>
            <w:tcW w:type="dxa" w:w="3360"/>
          </w:tcPr>
          <w:p>
            <w:r>
              <w:t>GKB-05</w:t>
            </w:r>
          </w:p>
        </w:tc>
        <w:tc>
          <w:tcPr>
            <w:tcW w:type="dxa" w:w="3360"/>
          </w:tcPr>
          <w:p>
            <w:r>
              <w:t>Sensitive record access</w:t>
            </w:r>
          </w:p>
        </w:tc>
        <w:tc>
          <w:tcPr>
            <w:tcW w:type="dxa" w:w="3360"/>
          </w:tcPr>
          <w:p>
            <w:r>
              <w:t>Private guest data becomes reachable</w:t>
            </w:r>
          </w:p>
        </w:tc>
      </w:tr>
      <w:tr>
        <w:tc>
          <w:tcPr>
            <w:tcW w:type="dxa" w:w="3360"/>
          </w:tcPr>
          <w:p>
            <w:r>
              <w:t>GKB-06</w:t>
            </w:r>
          </w:p>
        </w:tc>
        <w:tc>
          <w:tcPr>
            <w:tcW w:type="dxa" w:w="3360"/>
          </w:tcPr>
          <w:p>
            <w:r>
              <w:t>Encoding-based output handling</w:t>
            </w:r>
          </w:p>
        </w:tc>
        <w:tc>
          <w:tcPr>
            <w:tcW w:type="dxa" w:w="3360"/>
          </w:tcPr>
          <w:p>
            <w:r>
              <w:t>Protected content can cross filtering layer</w:t>
            </w:r>
          </w:p>
        </w:tc>
      </w:tr>
    </w:tbl>
    <w:p>
      <w:pPr>
        <w:pStyle w:val="Heading1"/>
      </w:pPr>
      <w:r>
        <w:t>12. Defensive Recommendations</w:t>
      </w:r>
    </w:p>
    <w:p>
      <w:pPr>
        <w:pStyle w:val="ListBullet"/>
      </w:pPr>
      <w:r>
        <w:t>Never derive authorization from natural-language content.</w:t>
      </w:r>
    </w:p>
    <w:p>
      <w:pPr>
        <w:pStyle w:val="ListBullet"/>
      </w:pPr>
      <w:r>
        <w:t>Bind privileged actions to authenticated identities and explicit scopes.</w:t>
      </w:r>
    </w:p>
    <w:p>
      <w:pPr>
        <w:pStyle w:val="ListBullet"/>
      </w:pPr>
      <w:r>
        <w:t>Keep model reasoning separate from deterministic authorization.</w:t>
      </w:r>
    </w:p>
    <w:p>
      <w:pPr>
        <w:pStyle w:val="ListBullet"/>
      </w:pPr>
      <w:r>
        <w:t>Replace arbitrary diagnostic commands with strict allowlisted functions.</w:t>
      </w:r>
    </w:p>
    <w:p>
      <w:pPr>
        <w:pStyle w:val="ListBullet"/>
      </w:pPr>
      <w:r>
        <w:t>Apply least privilege to AI tools and guest-record access.</w:t>
      </w:r>
    </w:p>
    <w:p>
      <w:pPr>
        <w:pStyle w:val="ListBullet"/>
      </w:pPr>
      <w:r>
        <w:t>Log privileged actions with identity, scope, tool, and result.</w:t>
      </w:r>
    </w:p>
    <w:p>
      <w:pPr>
        <w:pStyle w:val="Heading1"/>
      </w:pPr>
      <w:r>
        <w:t>13. Attack Chain</w:t>
      </w:r>
    </w:p>
    <w:p>
      <w:r>
        <w:t>Guestbook Input → Prompt Injection → Directive Discovery → Broken Next-Entry Authorization → Manager-Only Override → Protected File Discovery → Encoded Output → Double Decode</w:t>
      </w:r>
    </w:p>
    <w:p>
      <w:pPr>
        <w:pStyle w:val="Heading1"/>
      </w:pPr>
      <w:r>
        <w:t>14. Conclusion</w:t>
      </w:r>
    </w:p>
    <w:p>
      <w:r>
        <w:t>The challenge demonstrates how an AI-integrated web application can turn a conventional guestbook into a privileged execution interface when untrusted text is allowed to influence tools and authorization. The most important lesson is architectural: authorization must remain an explicit application-layer decision.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