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4B7D"/>
          <w:sz w:val="64"/>
        </w:rPr>
        <w:t>THE LONDON BRIDGE</w:t>
      </w:r>
    </w:p>
    <w:p>
      <w:pPr>
        <w:jc w:val="center"/>
      </w:pPr>
      <w:r>
        <w:rPr>
          <w:color w:val="555F69"/>
          <w:sz w:val="32"/>
        </w:rPr>
        <w:t>TryHackMe Security Assessment Walkthrough</w:t>
      </w:r>
    </w:p>
    <w:p>
      <w:pPr>
        <w:jc w:val="center"/>
      </w:pPr>
      <w:r>
        <w:rPr>
          <w:color w:val="3C6E96"/>
          <w:sz w:val="20"/>
        </w:rPr>
        <w:t>Web Enumeration  •  SSRF  •  Linux Privilege Escalation  •  Credential Recovery</w:t>
      </w:r>
    </w:p>
    <w:p>
      <w:pPr>
        <w:jc w:val="center"/>
      </w:pPr>
      <w:r>
        <w:rPr>
          <w:b/>
        </w:rPr>
        <w:t>PUBLIC PORTFOLIO EDITION — SECRETS REDACTED</w:t>
      </w:r>
    </w:p>
    <w:tbl>
      <w:tblPr>
        <w:tblStyle w:val="TableGrid"/>
        <w:tblW w:type="auto" w:w="0"/>
        <w:jc w:val="center"/>
        <w:tblLook w:firstColumn="1" w:firstRow="1" w:lastColumn="0" w:lastRow="0" w:noHBand="0" w:noVBand="1" w:val="04A0"/>
      </w:tblPr>
      <w:tblGrid>
        <w:gridCol w:w="5112"/>
        <w:gridCol w:w="5112"/>
      </w:tblGrid>
      <w:tr>
        <w:tc>
          <w:tcPr>
            <w:tcW w:type="dxa" w:w="5112"/>
          </w:tcPr>
          <w:p>
            <w:r>
              <w:t>Platform</w:t>
            </w:r>
          </w:p>
        </w:tc>
        <w:tc>
          <w:tcPr>
            <w:tcW w:type="dxa" w:w="5112"/>
          </w:tcPr>
          <w:p>
            <w:r>
              <w:t>TryHackMe</w:t>
            </w:r>
          </w:p>
        </w:tc>
      </w:tr>
      <w:tr>
        <w:tc>
          <w:tcPr>
            <w:tcW w:type="dxa" w:w="5112"/>
          </w:tcPr>
          <w:p>
            <w:r>
              <w:t>Room</w:t>
            </w:r>
          </w:p>
        </w:tc>
        <w:tc>
          <w:tcPr>
            <w:tcW w:type="dxa" w:w="5112"/>
          </w:tcPr>
          <w:p>
            <w:r>
              <w:t>The London Bridge</w:t>
            </w:r>
          </w:p>
        </w:tc>
      </w:tr>
      <w:tr>
        <w:tc>
          <w:tcPr>
            <w:tcW w:type="dxa" w:w="5112"/>
          </w:tcPr>
          <w:p>
            <w:r>
              <w:t>Primary surface</w:t>
            </w:r>
          </w:p>
        </w:tc>
        <w:tc>
          <w:tcPr>
            <w:tcW w:type="dxa" w:w="5112"/>
          </w:tcPr>
          <w:p>
            <w:r>
              <w:t>Gunicorn-backed HTTP service on TCP/8080</w:t>
            </w:r>
          </w:p>
        </w:tc>
      </w:tr>
      <w:tr>
        <w:tc>
          <w:tcPr>
            <w:tcW w:type="dxa" w:w="5112"/>
          </w:tcPr>
          <w:p>
            <w:r>
              <w:t>Access path</w:t>
            </w:r>
          </w:p>
        </w:tc>
        <w:tc>
          <w:tcPr>
            <w:tcW w:type="dxa" w:w="5112"/>
          </w:tcPr>
          <w:p>
            <w:r>
              <w:t>Web → SSRF → internal resources → beth SSH → root</w:t>
            </w:r>
          </w:p>
        </w:tc>
      </w:tr>
      <w:tr>
        <w:tc>
          <w:tcPr>
            <w:tcW w:type="dxa" w:w="5112"/>
          </w:tcPr>
          <w:p>
            <w:r>
              <w:t>Credential artifact</w:t>
            </w:r>
          </w:p>
        </w:tc>
        <w:tc>
          <w:tcPr>
            <w:tcW w:type="dxa" w:w="5112"/>
          </w:tcPr>
          <w:p>
            <w:r>
              <w:t>Firefox profile in charles home directory</w:t>
            </w:r>
          </w:p>
        </w:tc>
      </w:tr>
      <w:tr>
        <w:tc>
          <w:tcPr>
            <w:tcW w:type="dxa" w:w="5112"/>
          </w:tcPr>
          <w:p>
            <w:r>
              <w:t>Publication policy</w:t>
            </w:r>
          </w:p>
        </w:tc>
        <w:tc>
          <w:tcPr>
            <w:tcW w:type="dxa" w:w="5112"/>
          </w:tcPr>
          <w:p>
            <w:r>
              <w:t>Flags, passwords and private-key contents omitted</w:t>
            </w:r>
          </w:p>
        </w:tc>
      </w:tr>
    </w:tbl>
    <w:p>
      <w:pPr>
        <w:pStyle w:val="Heading1"/>
      </w:pPr>
      <w:r>
        <w:t>1. Executive Summary</w:t>
      </w:r>
    </w:p>
    <w:p>
      <w:r>
        <w:t>The London Bridge is a TryHackMe training environment that rewards disciplined enumeration. The documented path begins with service discovery, moves to a Gunicorn web application on port 8080, identifies server-side resource fetching, validates SSRF with a controlled callback, bypasses a localhost restriction using an alternate loopback representation, and reaches SSH access as beth.</w:t>
      </w:r>
    </w:p>
    <w:p>
      <w:r>
        <w:t>Host enumeration then exposes a kernel privilege-escalation research path. The lab chain reaches root and finishes with offline analysis of a Firefox profile associated with charles.</w:t>
      </w:r>
    </w:p>
    <w:p>
      <w:r>
        <w:t>All flags, passwords, private-key contents, and other directly reusable secrets are redacted in this portfolio edition.</w:t>
      </w:r>
    </w:p>
    <w:p>
      <w:pPr>
        <w:pStyle w:val="Heading1"/>
      </w:pPr>
      <w:r>
        <w:t>2. Lab Scope &amp; Ethics</w:t>
      </w:r>
    </w:p>
    <w:p>
      <w:r>
        <w:t>All techniques described here are intended for the TryHackMe target or another explicitly authorized environment. SSRF testing, key handling, kernel exploitation, and browser credential extraction should not be attempted against systems without permission.</w:t>
      </w:r>
    </w:p>
    <w:p>
      <w:pPr>
        <w:pStyle w:val="Heading1"/>
      </w:pPr>
      <w:r>
        <w:t>3. Attack Surface</w:t>
      </w:r>
    </w:p>
    <w:p>
      <w:r>
        <w:t>Initial reconnaissance identifies two externally visible TCP services.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PORT</w:t>
            </w:r>
          </w:p>
        </w:tc>
        <w:tc>
          <w:tcPr>
            <w:tcW w:type="dxa" w:w="3408"/>
          </w:tcPr>
          <w:p>
            <w:r>
              <w:t>OBSERVATION</w:t>
            </w:r>
          </w:p>
        </w:tc>
        <w:tc>
          <w:tcPr>
            <w:tcW w:type="dxa" w:w="3408"/>
          </w:tcPr>
          <w:p>
            <w:r>
              <w:t>SIGNIFICANCE</w:t>
            </w:r>
          </w:p>
        </w:tc>
      </w:tr>
      <w:tr>
        <w:tc>
          <w:tcPr>
            <w:tcW w:type="dxa" w:w="3408"/>
          </w:tcPr>
          <w:p>
            <w:r>
              <w:t>22/tcp</w:t>
            </w:r>
          </w:p>
        </w:tc>
        <w:tc>
          <w:tcPr>
            <w:tcW w:type="dxa" w:w="3408"/>
          </w:tcPr>
          <w:p>
            <w:r>
              <w:t>OpenSSH 7.6p1 Ubuntu</w:t>
            </w:r>
          </w:p>
        </w:tc>
        <w:tc>
          <w:tcPr>
            <w:tcW w:type="dxa" w:w="3408"/>
          </w:tcPr>
          <w:p>
            <w:r>
              <w:t>Candidate remote administration interface</w:t>
            </w:r>
          </w:p>
        </w:tc>
      </w:tr>
      <w:tr>
        <w:tc>
          <w:tcPr>
            <w:tcW w:type="dxa" w:w="3408"/>
          </w:tcPr>
          <w:p>
            <w:r>
              <w:t>8080/tcp</w:t>
            </w:r>
          </w:p>
        </w:tc>
        <w:tc>
          <w:tcPr>
            <w:tcW w:type="dxa" w:w="3408"/>
          </w:tcPr>
          <w:p>
            <w:r>
              <w:t>Gunicorn HTTP service</w:t>
            </w:r>
          </w:p>
        </w:tc>
        <w:tc>
          <w:tcPr>
            <w:tcW w:type="dxa" w:w="3408"/>
          </w:tcPr>
          <w:p>
            <w:r>
              <w:t>Primary web attack surface</w:t>
            </w:r>
          </w:p>
        </w:tc>
      </w:tr>
    </w:tbl>
    <w:p>
      <w:pPr>
        <w:pStyle w:val="Heading1"/>
      </w:pPr>
      <w:r>
        <w:t>4. Reconnaissance — Nmap</w:t>
      </w:r>
    </w:p>
    <w:p>
      <w:r>
        <w:t>The initial scan uses default scripts, service/version detection, and a full TCP port range.</w:t>
      </w:r>
    </w:p>
    <w:p>
      <w:pPr>
        <w:ind w:left="288"/>
      </w:pPr>
      <w:r>
        <w:rPr>
          <w:rFonts w:ascii="Consolas" w:hAnsi="Consolas"/>
          <w:color w:val="37414B"/>
          <w:sz w:val="17"/>
        </w:rPr>
        <w:t>nmap -sC -sV -p- &lt;TARGET&gt;</w:t>
        <w:br/>
        <w:br/>
        <w:t>22/tcp   open  ssh       OpenSSH 7.6p1 Ubuntu</w:t>
        <w:br/>
        <w:t>8080/tcp open  http-proxy Gunicorn</w:t>
      </w:r>
    </w:p>
    <w:p>
      <w:pPr>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01-nmap-enumeration.png"/>
                    <pic:cNvPicPr/>
                  </pic:nvPicPr>
                  <pic:blipFill>
                    <a:blip r:embed="rId11"/>
                    <a:stretch>
                      <a:fillRect/>
                    </a:stretch>
                  </pic:blipFill>
                  <pic:spPr>
                    <a:xfrm>
                      <a:off x="0" y="0"/>
                      <a:ext cx="5760720" cy="3240405"/>
                    </a:xfrm>
                    <a:prstGeom prst="rect"/>
                  </pic:spPr>
                </pic:pic>
              </a:graphicData>
            </a:graphic>
          </wp:inline>
        </w:drawing>
      </w:r>
    </w:p>
    <w:p>
      <w:pPr>
        <w:jc w:val="center"/>
      </w:pPr>
      <w:r>
        <w:rPr>
          <w:i/>
          <w:color w:val="646E78"/>
          <w:sz w:val="16"/>
        </w:rPr>
        <w:t>01 Nmap Enumeration</w:t>
      </w:r>
    </w:p>
    <w:p>
      <w:pPr>
        <w:pStyle w:val="Heading1"/>
      </w:pPr>
      <w:r>
        <w:t>5. Web Enumeration — Port 8080</w:t>
      </w:r>
    </w:p>
    <w:p>
      <w:r>
        <w:t>Browsing port 8080 reveals a small application with Gallery and Contact functionality. The Gallery is the higher-interest surface because it handles images and a server-side viewing workflow.</w:t>
      </w:r>
    </w:p>
    <w:p>
      <w:pPr>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02-web-home-8080.png"/>
                    <pic:cNvPicPr/>
                  </pic:nvPicPr>
                  <pic:blipFill>
                    <a:blip r:embed="rId12"/>
                    <a:stretch>
                      <a:fillRect/>
                    </a:stretch>
                  </pic:blipFill>
                  <pic:spPr>
                    <a:xfrm>
                      <a:off x="0" y="0"/>
                      <a:ext cx="5760720" cy="3240405"/>
                    </a:xfrm>
                    <a:prstGeom prst="rect"/>
                  </pic:spPr>
                </pic:pic>
              </a:graphicData>
            </a:graphic>
          </wp:inline>
        </w:drawing>
      </w:r>
    </w:p>
    <w:p>
      <w:pPr>
        <w:jc w:val="center"/>
      </w:pPr>
      <w:r>
        <w:rPr>
          <w:i/>
          <w:color w:val="646E78"/>
          <w:sz w:val="16"/>
        </w:rPr>
        <w:t>02 Web Home 8080</w:t>
      </w:r>
    </w:p>
    <w:p>
      <w:pPr>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03-gallery-page.png"/>
                    <pic:cNvPicPr/>
                  </pic:nvPicPr>
                  <pic:blipFill>
                    <a:blip r:embed="rId13"/>
                    <a:stretch>
                      <a:fillRect/>
                    </a:stretch>
                  </pic:blipFill>
                  <pic:spPr>
                    <a:xfrm>
                      <a:off x="0" y="0"/>
                      <a:ext cx="5760720" cy="3240405"/>
                    </a:xfrm>
                    <a:prstGeom prst="rect"/>
                  </pic:spPr>
                </pic:pic>
              </a:graphicData>
            </a:graphic>
          </wp:inline>
        </w:drawing>
      </w:r>
    </w:p>
    <w:p>
      <w:pPr>
        <w:jc w:val="center"/>
      </w:pPr>
      <w:r>
        <w:rPr>
          <w:i/>
          <w:color w:val="646E78"/>
          <w:sz w:val="16"/>
        </w:rPr>
        <w:t>03 Gallery Page</w:t>
      </w:r>
    </w:p>
    <w:p>
      <w:pPr>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04-contact-page.png"/>
                    <pic:cNvPicPr/>
                  </pic:nvPicPr>
                  <pic:blipFill>
                    <a:blip r:embed="rId14"/>
                    <a:stretch>
                      <a:fillRect/>
                    </a:stretch>
                  </pic:blipFill>
                  <pic:spPr>
                    <a:xfrm>
                      <a:off x="0" y="0"/>
                      <a:ext cx="5760720" cy="3240405"/>
                    </a:xfrm>
                    <a:prstGeom prst="rect"/>
                  </pic:spPr>
                </pic:pic>
              </a:graphicData>
            </a:graphic>
          </wp:inline>
        </w:drawing>
      </w:r>
    </w:p>
    <w:p>
      <w:pPr>
        <w:jc w:val="center"/>
      </w:pPr>
      <w:r>
        <w:rPr>
          <w:i/>
          <w:color w:val="646E78"/>
          <w:sz w:val="16"/>
        </w:rPr>
        <w:t>04 Contact Page</w:t>
      </w:r>
    </w:p>
    <w:p>
      <w:pPr>
        <w:pStyle w:val="Heading1"/>
      </w:pPr>
      <w:r>
        <w:t>6. Upload Handling &amp; Request Interception</w:t>
      </w:r>
    </w:p>
    <w:p>
      <w:r>
        <w:t>The upload workflow is intercepted in Burp Suite so the request structure and response can be studied directly. Several upload-bypass ideas can be tested, but content discovery and request-parameter analysis provide a more productive route.</w:t>
      </w:r>
    </w:p>
    <w:p>
      <w:pPr>
        <w:jc w:val="center"/>
      </w:pPr>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05-upload-burp-intercept.png"/>
                    <pic:cNvPicPr/>
                  </pic:nvPicPr>
                  <pic:blipFill>
                    <a:blip r:embed="rId15"/>
                    <a:stretch>
                      <a:fillRect/>
                    </a:stretch>
                  </pic:blipFill>
                  <pic:spPr>
                    <a:xfrm>
                      <a:off x="0" y="0"/>
                      <a:ext cx="5760720" cy="3240405"/>
                    </a:xfrm>
                    <a:prstGeom prst="rect"/>
                  </pic:spPr>
                </pic:pic>
              </a:graphicData>
            </a:graphic>
          </wp:inline>
        </w:drawing>
      </w:r>
    </w:p>
    <w:p>
      <w:pPr>
        <w:jc w:val="center"/>
      </w:pPr>
      <w:r>
        <w:rPr>
          <w:i/>
          <w:color w:val="646E78"/>
          <w:sz w:val="16"/>
        </w:rPr>
        <w:t>05 Upload Burp Intercept</w:t>
      </w:r>
    </w:p>
    <w:p>
      <w:pPr>
        <w:pStyle w:val="Heading1"/>
      </w:pPr>
      <w:r>
        <w:t>7. Content Discovery</w:t>
      </w:r>
    </w:p>
    <w:p>
      <w:r>
        <w:t>Feroxbuster is used to identify application paths and upload-related resources.</w:t>
      </w:r>
    </w:p>
    <w:p>
      <w:pPr>
        <w:ind w:left="288"/>
      </w:pPr>
      <w:r>
        <w:rPr>
          <w:rFonts w:ascii="Consolas" w:hAnsi="Consolas"/>
          <w:color w:val="37414B"/>
          <w:sz w:val="17"/>
        </w:rPr>
        <w:t>feroxbuster -u http://&lt;TARGET&gt;:8080 -w &lt;WORDLIST&gt;</w:t>
      </w:r>
    </w:p>
    <w:p>
      <w:pPr>
        <w:jc w:val="center"/>
      </w:pPr>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06-feroxbuster-discovery.png"/>
                    <pic:cNvPicPr/>
                  </pic:nvPicPr>
                  <pic:blipFill>
                    <a:blip r:embed="rId16"/>
                    <a:stretch>
                      <a:fillRect/>
                    </a:stretch>
                  </pic:blipFill>
                  <pic:spPr>
                    <a:xfrm>
                      <a:off x="0" y="0"/>
                      <a:ext cx="5760720" cy="3240405"/>
                    </a:xfrm>
                    <a:prstGeom prst="rect"/>
                  </pic:spPr>
                </pic:pic>
              </a:graphicData>
            </a:graphic>
          </wp:inline>
        </w:drawing>
      </w:r>
    </w:p>
    <w:p>
      <w:pPr>
        <w:jc w:val="center"/>
      </w:pPr>
      <w:r>
        <w:rPr>
          <w:i/>
          <w:color w:val="646E78"/>
          <w:sz w:val="16"/>
        </w:rPr>
        <w:t>06 Feroxbuster Discovery</w:t>
      </w:r>
    </w:p>
    <w:p>
      <w:pPr>
        <w:pStyle w:val="Heading1"/>
      </w:pPr>
      <w:r>
        <w:t>8. Burp Repeater — Parameter Analysis</w:t>
      </w:r>
    </w:p>
    <w:p>
      <w:r>
        <w:t>The image-viewing request is moved into Repeater, allowing the resource parameter to be modified while observing server responses.</w:t>
      </w:r>
    </w:p>
    <w:p>
      <w:pPr>
        <w:ind w:left="288"/>
      </w:pPr>
      <w:r>
        <w:rPr>
          <w:rFonts w:ascii="Consolas" w:hAnsi="Consolas"/>
          <w:color w:val="37414B"/>
          <w:sz w:val="17"/>
        </w:rPr>
        <w:t>GET /view?image_url=/uploads/tower_bridge.php.png HTTP/1.1</w:t>
        <w:br/>
        <w:t>Host: &lt;TARGET&gt;:8080</w:t>
      </w:r>
    </w:p>
    <w:p>
      <w:pPr>
        <w:jc w:val="center"/>
      </w:pPr>
      <w:r>
        <w:drawing>
          <wp:inline xmlns:a="http://schemas.openxmlformats.org/drawingml/2006/main" xmlns:pic="http://schemas.openxmlformats.org/drawingml/2006/picture">
            <wp:extent cx="5760720" cy="3240405"/>
            <wp:docPr id="7" name="Picture 7"/>
            <wp:cNvGraphicFramePr>
              <a:graphicFrameLocks noChangeAspect="1"/>
            </wp:cNvGraphicFramePr>
            <a:graphic>
              <a:graphicData uri="http://schemas.openxmlformats.org/drawingml/2006/picture">
                <pic:pic>
                  <pic:nvPicPr>
                    <pic:cNvPr id="0" name="07-burp-repeater-image-url.png"/>
                    <pic:cNvPicPr/>
                  </pic:nvPicPr>
                  <pic:blipFill>
                    <a:blip r:embed="rId17"/>
                    <a:stretch>
                      <a:fillRect/>
                    </a:stretch>
                  </pic:blipFill>
                  <pic:spPr>
                    <a:xfrm>
                      <a:off x="0" y="0"/>
                      <a:ext cx="5760720" cy="3240405"/>
                    </a:xfrm>
                    <a:prstGeom prst="rect"/>
                  </pic:spPr>
                </pic:pic>
              </a:graphicData>
            </a:graphic>
          </wp:inline>
        </w:drawing>
      </w:r>
    </w:p>
    <w:p>
      <w:pPr>
        <w:jc w:val="center"/>
      </w:pPr>
      <w:r>
        <w:rPr>
          <w:i/>
          <w:color w:val="646E78"/>
          <w:sz w:val="16"/>
        </w:rPr>
        <w:t>07 Burp Repeater Image Url</w:t>
      </w:r>
    </w:p>
    <w:p>
      <w:pPr>
        <w:pStyle w:val="Heading1"/>
      </w:pPr>
      <w:r>
        <w:t>9. Parameter Discovery — www</w:t>
      </w:r>
    </w:p>
    <w:p>
      <w:r>
        <w:t>A developer-facing hint suggests there may be a different parameter involved. FFUF is used to fuzz parameter names, leading to the discovery of a www parameter that changes the server-side request behavior.</w:t>
      </w:r>
    </w:p>
    <w:p>
      <w:pPr>
        <w:ind w:left="288"/>
      </w:pPr>
      <w:r>
        <w:rPr>
          <w:rFonts w:ascii="Consolas" w:hAnsi="Consolas"/>
          <w:color w:val="37414B"/>
          <w:sz w:val="17"/>
        </w:rPr>
        <w:t>ffuf -u "http://&lt;TARGET&gt;:8080/view?FUZZ=http://127.0.0.1/" -w &lt;PARAM_WORDLIST&gt;</w:t>
      </w:r>
    </w:p>
    <w:p>
      <w:pPr>
        <w:jc w:val="center"/>
      </w:pPr>
      <w:r>
        <w:drawing>
          <wp:inline xmlns:a="http://schemas.openxmlformats.org/drawingml/2006/main" xmlns:pic="http://schemas.openxmlformats.org/drawingml/2006/picture">
            <wp:extent cx="5760720" cy="3240405"/>
            <wp:docPr id="8" name="Picture 8"/>
            <wp:cNvGraphicFramePr>
              <a:graphicFrameLocks noChangeAspect="1"/>
            </wp:cNvGraphicFramePr>
            <a:graphic>
              <a:graphicData uri="http://schemas.openxmlformats.org/drawingml/2006/picture">
                <pic:pic>
                  <pic:nvPicPr>
                    <pic:cNvPr id="0" name="08-parameter-fuzz-www.png"/>
                    <pic:cNvPicPr/>
                  </pic:nvPicPr>
                  <pic:blipFill>
                    <a:blip r:embed="rId18"/>
                    <a:stretch>
                      <a:fillRect/>
                    </a:stretch>
                  </pic:blipFill>
                  <pic:spPr>
                    <a:xfrm>
                      <a:off x="0" y="0"/>
                      <a:ext cx="5760720" cy="3240405"/>
                    </a:xfrm>
                    <a:prstGeom prst="rect"/>
                  </pic:spPr>
                </pic:pic>
              </a:graphicData>
            </a:graphic>
          </wp:inline>
        </w:drawing>
      </w:r>
    </w:p>
    <w:p>
      <w:pPr>
        <w:jc w:val="center"/>
      </w:pPr>
      <w:r>
        <w:rPr>
          <w:i/>
          <w:color w:val="646E78"/>
          <w:sz w:val="16"/>
        </w:rPr>
        <w:t>08 Parameter Fuzz Www</w:t>
      </w:r>
    </w:p>
    <w:p>
      <w:pPr>
        <w:pStyle w:val="Heading1"/>
      </w:pPr>
      <w:r>
        <w:t>10. SSRF Validation</w:t>
      </w:r>
    </w:p>
    <w:p>
      <w:r>
        <w:t>A controlled HTTP server is started locally. A request from the target application reaches that server, providing strong evidence that the application is making an outbound request on behalf of the user.</w:t>
      </w:r>
    </w:p>
    <w:p>
      <w:pPr>
        <w:ind w:left="288"/>
      </w:pPr>
      <w:r>
        <w:rPr>
          <w:rFonts w:ascii="Consolas" w:hAnsi="Consolas"/>
          <w:color w:val="37414B"/>
          <w:sz w:val="17"/>
        </w:rPr>
        <w:t>python3 -m http.server 8000 --bind 0.0.0.0</w:t>
      </w:r>
    </w:p>
    <w:p>
      <w:pPr>
        <w:jc w:val="center"/>
      </w:pPr>
      <w:r>
        <w:drawing>
          <wp:inline xmlns:a="http://schemas.openxmlformats.org/drawingml/2006/main" xmlns:pic="http://schemas.openxmlformats.org/drawingml/2006/picture">
            <wp:extent cx="5760720" cy="3240405"/>
            <wp:docPr id="9" name="Picture 9"/>
            <wp:cNvGraphicFramePr>
              <a:graphicFrameLocks noChangeAspect="1"/>
            </wp:cNvGraphicFramePr>
            <a:graphic>
              <a:graphicData uri="http://schemas.openxmlformats.org/drawingml/2006/picture">
                <pic:pic>
                  <pic:nvPicPr>
                    <pic:cNvPr id="0" name="09-ssrf-callback.png"/>
                    <pic:cNvPicPr/>
                  </pic:nvPicPr>
                  <pic:blipFill>
                    <a:blip r:embed="rId19"/>
                    <a:stretch>
                      <a:fillRect/>
                    </a:stretch>
                  </pic:blipFill>
                  <pic:spPr>
                    <a:xfrm>
                      <a:off x="0" y="0"/>
                      <a:ext cx="5760720" cy="3240405"/>
                    </a:xfrm>
                    <a:prstGeom prst="rect"/>
                  </pic:spPr>
                </pic:pic>
              </a:graphicData>
            </a:graphic>
          </wp:inline>
        </w:drawing>
      </w:r>
    </w:p>
    <w:p>
      <w:pPr>
        <w:jc w:val="center"/>
      </w:pPr>
      <w:r>
        <w:rPr>
          <w:i/>
          <w:color w:val="646E78"/>
          <w:sz w:val="16"/>
        </w:rPr>
        <w:t>09 Ssrf Callback</w:t>
      </w:r>
    </w:p>
    <w:p>
      <w:r>
        <w:t>This behavior establishes a Server-Side Request Forgery primitive. The security significance is that the target host can potentially reach resources unavailable from the tester’s position.</w:t>
      </w:r>
    </w:p>
    <w:p>
      <w:pPr>
        <w:pStyle w:val="Heading1"/>
      </w:pPr>
      <w:r>
        <w:t>11. Loopback Filter Bypass</w:t>
      </w:r>
    </w:p>
    <w:p>
      <w:r>
        <w:t>Direct localhost access is rejected, suggesting a brittle destination filter. Testing an alternate loopback representation, such as http://127.1.:80/, reaches a local web service.</w:t>
      </w:r>
    </w:p>
    <w:p>
      <w:pPr>
        <w:jc w:val="center"/>
      </w:pPr>
      <w:r>
        <w:drawing>
          <wp:inline xmlns:a="http://schemas.openxmlformats.org/drawingml/2006/main" xmlns:pic="http://schemas.openxmlformats.org/drawingml/2006/picture">
            <wp:extent cx="5760720" cy="3240405"/>
            <wp:docPr id="10" name="Picture 10"/>
            <wp:cNvGraphicFramePr>
              <a:graphicFrameLocks noChangeAspect="1"/>
            </wp:cNvGraphicFramePr>
            <a:graphic>
              <a:graphicData uri="http://schemas.openxmlformats.org/drawingml/2006/picture">
                <pic:pic>
                  <pic:nvPicPr>
                    <pic:cNvPr id="0" name="10-localhost-filter-bypass.png"/>
                    <pic:cNvPicPr/>
                  </pic:nvPicPr>
                  <pic:blipFill>
                    <a:blip r:embed="rId20"/>
                    <a:stretch>
                      <a:fillRect/>
                    </a:stretch>
                  </pic:blipFill>
                  <pic:spPr>
                    <a:xfrm>
                      <a:off x="0" y="0"/>
                      <a:ext cx="5760720" cy="3240405"/>
                    </a:xfrm>
                    <a:prstGeom prst="rect"/>
                  </pic:spPr>
                </pic:pic>
              </a:graphicData>
            </a:graphic>
          </wp:inline>
        </w:drawing>
      </w:r>
    </w:p>
    <w:p>
      <w:pPr>
        <w:jc w:val="center"/>
      </w:pPr>
      <w:r>
        <w:rPr>
          <w:i/>
          <w:color w:val="646E78"/>
          <w:sz w:val="16"/>
        </w:rPr>
        <w:t>10 Localhost Filter Bypass</w:t>
      </w:r>
    </w:p>
    <w:p>
      <w:r>
        <w:t>The defensive lesson is that string-based blacklist checks are not sufficient for SSRF protection; validation should occur after parsing and destination resolution.</w:t>
      </w:r>
    </w:p>
    <w:p>
      <w:pPr>
        <w:pStyle w:val="Heading1"/>
      </w:pPr>
      <w:r>
        <w:t>12. Internal Resource Discovery</w:t>
      </w:r>
    </w:p>
    <w:p>
      <w:r>
        <w:t>Once the internal service is reachable, it is enumerated like a newly discovered host. Hidden/dot-prefixed resource syntax is included in the content-discovery process.</w:t>
      </w:r>
    </w:p>
    <w:p>
      <w:pPr>
        <w:jc w:val="center"/>
      </w:pPr>
      <w:r>
        <w:drawing>
          <wp:inline xmlns:a="http://schemas.openxmlformats.org/drawingml/2006/main" xmlns:pic="http://schemas.openxmlformats.org/drawingml/2006/picture">
            <wp:extent cx="5760720" cy="3240405"/>
            <wp:docPr id="11" name="Picture 11"/>
            <wp:cNvGraphicFramePr>
              <a:graphicFrameLocks noChangeAspect="1"/>
            </wp:cNvGraphicFramePr>
            <a:graphic>
              <a:graphicData uri="http://schemas.openxmlformats.org/drawingml/2006/picture">
                <pic:pic>
                  <pic:nvPicPr>
                    <pic:cNvPr id="0" name="11-hidden-directory-fuzzing.png"/>
                    <pic:cNvPicPr/>
                  </pic:nvPicPr>
                  <pic:blipFill>
                    <a:blip r:embed="rId21"/>
                    <a:stretch>
                      <a:fillRect/>
                    </a:stretch>
                  </pic:blipFill>
                  <pic:spPr>
                    <a:xfrm>
                      <a:off x="0" y="0"/>
                      <a:ext cx="5760720" cy="3240405"/>
                    </a:xfrm>
                    <a:prstGeom prst="rect"/>
                  </pic:spPr>
                </pic:pic>
              </a:graphicData>
            </a:graphic>
          </wp:inline>
        </w:drawing>
      </w:r>
    </w:p>
    <w:p>
      <w:pPr>
        <w:jc w:val="center"/>
      </w:pPr>
      <w:r>
        <w:rPr>
          <w:i/>
          <w:color w:val="646E78"/>
          <w:sz w:val="16"/>
        </w:rPr>
        <w:t>11 Hidden Directory Fuzzing</w:t>
      </w:r>
    </w:p>
    <w:p>
      <w:pPr>
        <w:pStyle w:val="Heading1"/>
      </w:pPr>
      <w:r>
        <w:t>13. SSH Access as beth</w:t>
      </w:r>
    </w:p>
    <w:p>
      <w:r>
        <w:t>Two hidden resources provide information that leads to SSH access for beth. Sensitive contents are intentionally omitted. The private-key file is stored with restrictive permissions and used only against the lab target.</w:t>
      </w:r>
    </w:p>
    <w:p>
      <w:pPr>
        <w:ind w:left="288"/>
      </w:pPr>
      <w:r>
        <w:rPr>
          <w:rFonts w:ascii="Consolas" w:hAnsi="Consolas"/>
          <w:color w:val="37414B"/>
          <w:sz w:val="17"/>
        </w:rPr>
        <w:t>chmod 600 &lt;beth-key-file&gt;</w:t>
        <w:br/>
        <w:t>ssh -i &lt;beth-key-file&gt; beth@&lt;TARGET&gt;</w:t>
      </w:r>
    </w:p>
    <w:p>
      <w:pPr>
        <w:jc w:val="center"/>
      </w:pPr>
      <w:r>
        <w:drawing>
          <wp:inline xmlns:a="http://schemas.openxmlformats.org/drawingml/2006/main" xmlns:pic="http://schemas.openxmlformats.org/drawingml/2006/picture">
            <wp:extent cx="5760720" cy="3240405"/>
            <wp:docPr id="12" name="Picture 12"/>
            <wp:cNvGraphicFramePr>
              <a:graphicFrameLocks noChangeAspect="1"/>
            </wp:cNvGraphicFramePr>
            <a:graphic>
              <a:graphicData uri="http://schemas.openxmlformats.org/drawingml/2006/picture">
                <pic:pic>
                  <pic:nvPicPr>
                    <pic:cNvPr id="0" name="12-beth-key-material.png"/>
                    <pic:cNvPicPr/>
                  </pic:nvPicPr>
                  <pic:blipFill>
                    <a:blip r:embed="rId22"/>
                    <a:stretch>
                      <a:fillRect/>
                    </a:stretch>
                  </pic:blipFill>
                  <pic:spPr>
                    <a:xfrm>
                      <a:off x="0" y="0"/>
                      <a:ext cx="5760720" cy="3240405"/>
                    </a:xfrm>
                    <a:prstGeom prst="rect"/>
                  </pic:spPr>
                </pic:pic>
              </a:graphicData>
            </a:graphic>
          </wp:inline>
        </w:drawing>
      </w:r>
    </w:p>
    <w:p>
      <w:pPr>
        <w:jc w:val="center"/>
      </w:pPr>
      <w:r>
        <w:rPr>
          <w:i/>
          <w:color w:val="646E78"/>
          <w:sz w:val="16"/>
        </w:rPr>
        <w:t>12 Beth Key Material</w:t>
      </w:r>
    </w:p>
    <w:p>
      <w:pPr>
        <w:jc w:val="center"/>
      </w:pPr>
      <w:r>
        <w:drawing>
          <wp:inline xmlns:a="http://schemas.openxmlformats.org/drawingml/2006/main" xmlns:pic="http://schemas.openxmlformats.org/drawingml/2006/picture">
            <wp:extent cx="5760720" cy="3240405"/>
            <wp:docPr id="13" name="Picture 13"/>
            <wp:cNvGraphicFramePr>
              <a:graphicFrameLocks noChangeAspect="1"/>
            </wp:cNvGraphicFramePr>
            <a:graphic>
              <a:graphicData uri="http://schemas.openxmlformats.org/drawingml/2006/picture">
                <pic:pic>
                  <pic:nvPicPr>
                    <pic:cNvPr id="0" name="13-ssh-as-beth.png"/>
                    <pic:cNvPicPr/>
                  </pic:nvPicPr>
                  <pic:blipFill>
                    <a:blip r:embed="rId23"/>
                    <a:stretch>
                      <a:fillRect/>
                    </a:stretch>
                  </pic:blipFill>
                  <pic:spPr>
                    <a:xfrm>
                      <a:off x="0" y="0"/>
                      <a:ext cx="5760720" cy="3240405"/>
                    </a:xfrm>
                    <a:prstGeom prst="rect"/>
                  </pic:spPr>
                </pic:pic>
              </a:graphicData>
            </a:graphic>
          </wp:inline>
        </w:drawing>
      </w:r>
    </w:p>
    <w:p>
      <w:pPr>
        <w:jc w:val="center"/>
      </w:pPr>
      <w:r>
        <w:rPr>
          <w:i/>
          <w:color w:val="646E78"/>
          <w:sz w:val="16"/>
        </w:rPr>
        <w:t>13 Ssh As Beth</w:t>
      </w:r>
    </w:p>
    <w:p>
      <w:pPr>
        <w:pStyle w:val="Heading1"/>
      </w:pPr>
      <w:r>
        <w:t>14. Privilege Escalation Enumeration</w:t>
      </w:r>
    </w:p>
    <w:p>
      <w:r>
        <w:t>After initial access, broad host enumeration is performed. The kernel is 4.15.0-112-generic, and the enumeration output points toward CVE-2018-18955 as a candidate path to investigate for the specific lab build.</w:t>
      </w:r>
    </w:p>
    <w:p>
      <w:pPr>
        <w:jc w:val="center"/>
      </w:pPr>
      <w:r>
        <w:drawing>
          <wp:inline xmlns:a="http://schemas.openxmlformats.org/drawingml/2006/main" xmlns:pic="http://schemas.openxmlformats.org/drawingml/2006/picture">
            <wp:extent cx="5760720" cy="3240405"/>
            <wp:docPr id="14" name="Picture 14"/>
            <wp:cNvGraphicFramePr>
              <a:graphicFrameLocks noChangeAspect="1"/>
            </wp:cNvGraphicFramePr>
            <a:graphic>
              <a:graphicData uri="http://schemas.openxmlformats.org/drawingml/2006/picture">
                <pic:pic>
                  <pic:nvPicPr>
                    <pic:cNvPr id="0" name="14-linpeas-kernel-enumeration.png"/>
                    <pic:cNvPicPr/>
                  </pic:nvPicPr>
                  <pic:blipFill>
                    <a:blip r:embed="rId24"/>
                    <a:stretch>
                      <a:fillRect/>
                    </a:stretch>
                  </pic:blipFill>
                  <pic:spPr>
                    <a:xfrm>
                      <a:off x="0" y="0"/>
                      <a:ext cx="5760720" cy="3240405"/>
                    </a:xfrm>
                    <a:prstGeom prst="rect"/>
                  </pic:spPr>
                </pic:pic>
              </a:graphicData>
            </a:graphic>
          </wp:inline>
        </w:drawing>
      </w:r>
    </w:p>
    <w:p>
      <w:pPr>
        <w:jc w:val="center"/>
      </w:pPr>
      <w:r>
        <w:rPr>
          <w:i/>
          <w:color w:val="646E78"/>
          <w:sz w:val="16"/>
        </w:rPr>
        <w:t>14 Linpeas Kernel Enumeration</w:t>
      </w:r>
    </w:p>
    <w:p>
      <w:pPr>
        <w:pStyle w:val="Heading1"/>
      </w:pPr>
      <w:r>
        <w:t>15. Root Access</w:t>
      </w:r>
    </w:p>
    <w:p>
      <w:r>
        <w:t>The selected lab exploit is compiled and executed successfully, producing a shell with UID 0. The root flag is not reproduced in this public edition.</w:t>
      </w:r>
    </w:p>
    <w:p>
      <w:pPr>
        <w:ind w:left="288"/>
      </w:pPr>
      <w:r>
        <w:rPr>
          <w:rFonts w:ascii="Consolas" w:hAnsi="Consolas"/>
          <w:color w:val="37414B"/>
          <w:sz w:val="17"/>
        </w:rPr>
        <w:t>gcc exploit.c -o exploit</w:t>
        <w:br/>
        <w:t>./exploit</w:t>
        <w:br/>
        <w:t>id</w:t>
      </w:r>
    </w:p>
    <w:p>
      <w:pPr>
        <w:jc w:val="center"/>
      </w:pPr>
      <w:r>
        <w:drawing>
          <wp:inline xmlns:a="http://schemas.openxmlformats.org/drawingml/2006/main" xmlns:pic="http://schemas.openxmlformats.org/drawingml/2006/picture">
            <wp:extent cx="5760720" cy="3240405"/>
            <wp:docPr id="15" name="Picture 15"/>
            <wp:cNvGraphicFramePr>
              <a:graphicFrameLocks noChangeAspect="1"/>
            </wp:cNvGraphicFramePr>
            <a:graphic>
              <a:graphicData uri="http://schemas.openxmlformats.org/drawingml/2006/picture">
                <pic:pic>
                  <pic:nvPicPr>
                    <pic:cNvPr id="0" name="15-root-shell-redacted.png"/>
                    <pic:cNvPicPr/>
                  </pic:nvPicPr>
                  <pic:blipFill>
                    <a:blip r:embed="rId25"/>
                    <a:stretch>
                      <a:fillRect/>
                    </a:stretch>
                  </pic:blipFill>
                  <pic:spPr>
                    <a:xfrm>
                      <a:off x="0" y="0"/>
                      <a:ext cx="5760720" cy="3240405"/>
                    </a:xfrm>
                    <a:prstGeom prst="rect"/>
                  </pic:spPr>
                </pic:pic>
              </a:graphicData>
            </a:graphic>
          </wp:inline>
        </w:drawing>
      </w:r>
    </w:p>
    <w:p>
      <w:pPr>
        <w:jc w:val="center"/>
      </w:pPr>
      <w:r>
        <w:rPr>
          <w:i/>
          <w:color w:val="646E78"/>
          <w:sz w:val="16"/>
        </w:rPr>
        <w:t>15 Root Shell Redacted</w:t>
      </w:r>
    </w:p>
    <w:p>
      <w:pPr>
        <w:pStyle w:val="Heading1"/>
      </w:pPr>
      <w:r>
        <w:t>16. Firefox Credential Recovery</w:t>
      </w:r>
    </w:p>
    <w:p>
      <w:r>
        <w:t>With root access, the charles home directory can be inspected. A Firefox profile is recovered and analyzed offline with a suitable browser credential decryption utility. The recovered password is intentionally redacted.</w:t>
      </w:r>
    </w:p>
    <w:p>
      <w:pPr>
        <w:ind w:left="288"/>
      </w:pPr>
      <w:r>
        <w:rPr>
          <w:rFonts w:ascii="Consolas" w:hAnsi="Consolas"/>
          <w:color w:val="37414B"/>
          <w:sz w:val="17"/>
        </w:rPr>
        <w:t>python3 firefox_decrypt.py &lt;charles-firefox-profile&gt;</w:t>
      </w:r>
    </w:p>
    <w:p>
      <w:pPr>
        <w:jc w:val="center"/>
      </w:pPr>
      <w:r>
        <w:drawing>
          <wp:inline xmlns:a="http://schemas.openxmlformats.org/drawingml/2006/main" xmlns:pic="http://schemas.openxmlformats.org/drawingml/2006/picture">
            <wp:extent cx="5760720" cy="3240405"/>
            <wp:docPr id="16" name="Picture 16"/>
            <wp:cNvGraphicFramePr>
              <a:graphicFrameLocks noChangeAspect="1"/>
            </wp:cNvGraphicFramePr>
            <a:graphic>
              <a:graphicData uri="http://schemas.openxmlformats.org/drawingml/2006/picture">
                <pic:pic>
                  <pic:nvPicPr>
                    <pic:cNvPr id="0" name="16-firefox-profile-credential-recovery.png"/>
                    <pic:cNvPicPr/>
                  </pic:nvPicPr>
                  <pic:blipFill>
                    <a:blip r:embed="rId26"/>
                    <a:stretch>
                      <a:fillRect/>
                    </a:stretch>
                  </pic:blipFill>
                  <pic:spPr>
                    <a:xfrm>
                      <a:off x="0" y="0"/>
                      <a:ext cx="5760720" cy="3240405"/>
                    </a:xfrm>
                    <a:prstGeom prst="rect"/>
                  </pic:spPr>
                </pic:pic>
              </a:graphicData>
            </a:graphic>
          </wp:inline>
        </w:drawing>
      </w:r>
    </w:p>
    <w:p>
      <w:pPr>
        <w:jc w:val="center"/>
      </w:pPr>
      <w:r>
        <w:rPr>
          <w:i/>
          <w:color w:val="646E78"/>
          <w:sz w:val="16"/>
        </w:rPr>
        <w:t>16 Firefox Profile Credential Recovery</w:t>
      </w:r>
    </w:p>
    <w:p>
      <w:pPr>
        <w:pStyle w:val="Heading1"/>
      </w:pPr>
      <w:r>
        <w:t>17. Attack Chain Summary</w:t>
      </w:r>
    </w:p>
    <w:p>
      <w:r>
        <w:t>Nmap → 8080/Gunicorn → Gallery → request interception → www parameter → SSRF → loopback bypass → internal resource enumeration → beth SSH material → SSH → host enumeration → kernel escalation → root → Firefox profile → charles credential recovery.</w:t>
      </w:r>
    </w:p>
    <w:p>
      <w:pPr>
        <w:pStyle w:val="Heading1"/>
      </w:pPr>
      <w:r>
        <w:t>18. Key Security Lessons</w:t>
      </w:r>
    </w:p>
    <w:p>
      <w:r>
        <w:t>SSRF is a trust-boundary failure: user-controlled input influences a server-side network destination.</w:t>
      </w:r>
    </w:p>
    <w:p>
      <w:r>
        <w:t>Blacklists are fragile: blocking one hostname or one canonical loopback string is not a complete defense.</w:t>
      </w:r>
    </w:p>
    <w:p>
      <w:r>
        <w:t>Enumeration compounds: each validated finding expands the set of resources that can be investigated next.</w:t>
      </w:r>
    </w:p>
    <w:p>
      <w:r>
        <w:t>Files can be credentials: private keys, browser profiles, configuration files, logs, and backups can all contain authentication material.</w:t>
      </w:r>
    </w:p>
    <w:p>
      <w:r>
        <w:t>Version discovery is a starting point: exploitability depends on exact build, configuration, mitigations, and prerequisites.</w:t>
      </w:r>
    </w:p>
    <w:p>
      <w:pPr>
        <w:pStyle w:val="Heading1"/>
      </w:pPr>
      <w:r>
        <w:t>19. Defensive Recommendations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Finding</w:t>
            </w:r>
          </w:p>
        </w:tc>
        <w:tc>
          <w:tcPr>
            <w:tcW w:type="dxa" w:w="3408"/>
          </w:tcPr>
          <w:p>
            <w:r>
              <w:t>Defensive improvement</w:t>
            </w:r>
          </w:p>
        </w:tc>
        <w:tc>
          <w:tcPr>
            <w:tcW w:type="dxa" w:w="3408"/>
          </w:tcPr>
          <w:p/>
        </w:tc>
      </w:tr>
      <w:tr>
        <w:tc>
          <w:tcPr>
            <w:tcW w:type="dxa" w:w="3408"/>
          </w:tcPr>
          <w:p>
            <w:r>
              <w:t>SSRF-capable URL parameter</w:t>
            </w:r>
          </w:p>
        </w:tc>
        <w:tc>
          <w:tcPr>
            <w:tcW w:type="dxa" w:w="3408"/>
          </w:tcPr>
          <w:p>
            <w:r>
              <w:t>Enforce a strict allowlist of approved origins</w:t>
            </w:r>
          </w:p>
        </w:tc>
        <w:tc>
          <w:tcPr>
            <w:tcW w:type="dxa" w:w="3408"/>
          </w:tcPr>
          <w:p/>
        </w:tc>
      </w:tr>
      <w:tr>
        <w:tc>
          <w:tcPr>
            <w:tcW w:type="dxa" w:w="3408"/>
          </w:tcPr>
          <w:p>
            <w:r>
              <w:t>Loopback bypass</w:t>
            </w:r>
          </w:p>
        </w:tc>
        <w:tc>
          <w:tcPr>
            <w:tcW w:type="dxa" w:w="3408"/>
          </w:tcPr>
          <w:p>
            <w:r>
              <w:t>Parse, resolve, normalize, and validate the final destination</w:t>
            </w:r>
          </w:p>
        </w:tc>
        <w:tc>
          <w:tcPr>
            <w:tcW w:type="dxa" w:w="3408"/>
          </w:tcPr>
          <w:p/>
        </w:tc>
      </w:tr>
      <w:tr>
        <w:tc>
          <w:tcPr>
            <w:tcW w:type="dxa" w:w="3408"/>
          </w:tcPr>
          <w:p>
            <w:r>
              <w:t>Internal resource exposure</w:t>
            </w:r>
          </w:p>
        </w:tc>
        <w:tc>
          <w:tcPr>
            <w:tcW w:type="dxa" w:w="3408"/>
          </w:tcPr>
          <w:p>
            <w:r>
              <w:t>Segment services and protect admin/debug endpoints</w:t>
            </w:r>
          </w:p>
        </w:tc>
        <w:tc>
          <w:tcPr>
            <w:tcW w:type="dxa" w:w="3408"/>
          </w:tcPr>
          <w:p/>
        </w:tc>
      </w:tr>
      <w:tr>
        <w:tc>
          <w:tcPr>
            <w:tcW w:type="dxa" w:w="3408"/>
          </w:tcPr>
          <w:p>
            <w:r>
              <w:t>Sensitive key material</w:t>
            </w:r>
          </w:p>
        </w:tc>
        <w:tc>
          <w:tcPr>
            <w:tcW w:type="dxa" w:w="3408"/>
          </w:tcPr>
          <w:p>
            <w:r>
              <w:t>Restrict permissions and rotate exposed credentials</w:t>
            </w:r>
          </w:p>
        </w:tc>
        <w:tc>
          <w:tcPr>
            <w:tcW w:type="dxa" w:w="3408"/>
          </w:tcPr>
          <w:p/>
        </w:tc>
      </w:tr>
      <w:tr>
        <w:tc>
          <w:tcPr>
            <w:tcW w:type="dxa" w:w="3408"/>
          </w:tcPr>
          <w:p>
            <w:r>
              <w:t>Browser credential exposure</w:t>
            </w:r>
          </w:p>
        </w:tc>
        <w:tc>
          <w:tcPr>
            <w:tcW w:type="dxa" w:w="3408"/>
          </w:tcPr>
          <w:p>
            <w:r>
              <w:t>Use controlled password management and protect profiles</w:t>
            </w:r>
          </w:p>
        </w:tc>
        <w:tc>
          <w:tcPr>
            <w:tcW w:type="dxa" w:w="3408"/>
          </w:tcPr>
          <w:p/>
        </w:tc>
      </w:tr>
      <w:tr>
        <w:tc>
          <w:tcPr>
            <w:tcW w:type="dxa" w:w="3408"/>
          </w:tcPr>
          <w:p>
            <w:r>
              <w:t>Vulnerable kernel</w:t>
            </w:r>
          </w:p>
        </w:tc>
        <w:tc>
          <w:tcPr>
            <w:tcW w:type="dxa" w:w="3408"/>
          </w:tcPr>
          <w:p>
            <w:r>
              <w:t>Apply supported security updates</w:t>
            </w:r>
          </w:p>
        </w:tc>
        <w:tc>
          <w:tcPr>
            <w:tcW w:type="dxa" w:w="3408"/>
          </w:tcPr>
          <w:p/>
        </w:tc>
      </w:tr>
      <w:tr>
        <w:tc>
          <w:tcPr>
            <w:tcW w:type="dxa" w:w="3408"/>
          </w:tcPr>
          <w:p>
            <w:r>
              <w:t>Broad privilege</w:t>
            </w:r>
          </w:p>
        </w:tc>
        <w:tc>
          <w:tcPr>
            <w:tcW w:type="dxa" w:w="3408"/>
          </w:tcPr>
          <w:p>
            <w:r>
              <w:t>Enforce least privilege</w:t>
            </w:r>
          </w:p>
        </w:tc>
        <w:tc>
          <w:tcPr>
            <w:tcW w:type="dxa" w:w="3408"/>
          </w:tcPr>
          <w:p/>
        </w:tc>
      </w:tr>
    </w:tbl>
    <w:p>
      <w:pPr>
        <w:pStyle w:val="Heading1"/>
      </w:pPr>
      <w:r>
        <w:t>20. Evidence Handling &amp; Attribution</w:t>
      </w:r>
    </w:p>
    <w:p>
      <w:r>
        <w:t>This public portfolio edition redacts challenge flags, passwords, private-key contents, and other reusable secrets. The screenshot set is made from original lab-style recreations based on the supplied workflow rather than copied source images.</w:t>
      </w:r>
    </w:p>
    <w:p>
      <w:r>
        <w:t>Reference: Tommaso Greco, “The London Bridge — TryHackMe”, Medium, December 16, 2024. https://medium.com/@tommasogreco/the-london-bridge-tryhackme-2c8f2f0e5b5a</w:t>
      </w:r>
    </w:p>
    <w:p>
      <w:pPr>
        <w:jc w:val="center"/>
      </w:pPr>
      <w:r>
        <w:rPr>
          <w:b/>
          <w:color w:val="194B7D"/>
        </w:rPr>
        <w:t>END OF PUBLIC PORTFOLIO EDITION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Flags, passwords and private-key contents redacted • Authorized lab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E7882"/>
        <w:sz w:val="16"/>
      </w:rPr>
      <w:t>THE LONDON BRIDGE  •  TRYHACKME  •  PORTFOLIO WRITE-UP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94B7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760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41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4B7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London Bridge - TryHackMe Security Assessment Walkthrough</dc:title>
  <dc:subject>Portfolio security lab documentation</dc:subject>
  <dc:creator>Anurag</dc:creator>
  <cp:keywords/>
  <dc:description>Public portfolio edition; challenge secrets redacted.</dc:description>
  <cp:lastModifiedBy/>
  <cp:revision>1</cp:revision>
  <dcterms:created xsi:type="dcterms:W3CDTF">2013-12-23T23:15:00Z</dcterms:created>
  <dcterms:modified xsi:type="dcterms:W3CDTF">2013-12-23T23:15:00Z</dcterms:modified>
  <cp:category/>
</cp:coreProperties>
</file>