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60"/>
          <w:szCs w:val="60"/>
        </w:rPr>
      </w:pPr>
      <w:bookmarkStart w:colFirst="0" w:colLast="0" w:name="_woknzn69ee8" w:id="0"/>
      <w:bookmarkEnd w:id="0"/>
      <w:r w:rsidDel="00000000" w:rsidR="00000000" w:rsidRPr="00000000">
        <w:rPr>
          <w:sz w:val="46"/>
          <w:szCs w:val="46"/>
          <w:rtl w:val="0"/>
        </w:rPr>
        <w:t xml:space="preserve">FX Rate Provider Evaluation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Context &amp; Business Problem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For cross-currency wallet transactions (e.g., converting </w:t>
      </w:r>
      <w:r w:rsidDel="00000000" w:rsidR="00000000" w:rsidRPr="00000000">
        <w:rPr>
          <w:b w:val="1"/>
          <w:bCs w:val="1"/>
          <w:rtl w:val="0"/>
        </w:rPr>
        <w:t xml:space="preserve">USD -&gt; SOS, or XAF-&gt;CDF</w:t>
      </w:r>
      <w:r w:rsidDel="00000000" w:rsidR="00000000" w:rsidRPr="00000000">
        <w:rPr>
          <w:rtl w:val="0"/>
        </w:rPr>
        <w:t xml:space="preserve">), the MFS engine requires a reliable exchange rate source. We evaluated two integration paths: an </w:t>
      </w:r>
      <w:r w:rsidDel="00000000" w:rsidR="00000000" w:rsidRPr="00000000">
        <w:rPr>
          <w:b w:val="1"/>
          <w:bCs w:val="1"/>
          <w:rtl w:val="0"/>
        </w:rPr>
        <w:t xml:space="preserve">Open-Source Provider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Commercial SaaS 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Option Comparison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730"/>
        <w:gridCol w:w="4005"/>
        <w:tblGridChange w:id="0">
          <w:tblGrid>
            <w:gridCol w:w="2085"/>
            <w:gridCol w:w="2730"/>
            <w:gridCol w:w="40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Open-Source (e.g., Frankfurter)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Provider (e.g., ExchangeRate-API / CurrencyAPI)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 / month</w:t>
            </w:r>
            <w:r w:rsidDel="00000000" w:rsidR="00000000" w:rsidRPr="00000000">
              <w:rPr>
                <w:rtl w:val="0"/>
              </w:rPr>
              <w:t xml:space="preserve"> (Self-hosted Docker)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~$10 – $40 /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Once Daily</w:t>
            </w:r>
            <w:r w:rsidDel="00000000" w:rsidR="00000000" w:rsidRPr="00000000">
              <w:rPr>
                <w:rtl w:val="0"/>
              </w:rPr>
              <w:t xml:space="preserve"> (~16:00 CET)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 5 Minutes to 60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Central Banks (ECB reference rates)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Commercial Banks &amp; FX Liquidity Feeds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Regional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Standard fiat; limited frontier pairs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Full coverage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SOS, XAF, CDF,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 only (</w:t>
            </w:r>
            <w:r w:rsidDel="00000000" w:rsidR="00000000" w:rsidRPr="00000000">
              <w:rPr>
                <w:color w:val="188038"/>
                <w:rtl w:val="0"/>
              </w:rPr>
              <w:t xml:space="preserve">"date": "2026-08-17"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Full UTC Tick (</w:t>
            </w:r>
            <w:r w:rsidDel="00000000" w:rsidR="00000000" w:rsidRPr="00000000">
              <w:rPr>
                <w:color w:val="188038"/>
                <w:rtl w:val="0"/>
              </w:rPr>
              <w:t xml:space="preserve">"2026-08-17T23:59:59Z"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 (Internal maintenance)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99.9% Uptime Guarantee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Weak (Cannot prove intraday rate)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Strong (Exact timestamped snapshot per transaction)</w:t>
            </w:r>
          </w:p>
        </w:tc>
      </w:tr>
    </w:tbl>
    <w:p w:rsidR="00000000" w:rsidDel="00000000" w:rsidP="00000000" w:rsidRDefault="00000000" w:rsidRPr="00000000" w14:paraId="0000001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Key Trade-Offs &amp; Production Risks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Risk with Open-Source in Production:</w:t>
        <w:br w:type="textWrapping"/>
      </w:r>
      <w:r w:rsidDel="00000000" w:rsidR="00000000" w:rsidRPr="00000000">
        <w:rPr>
          <w:rtl w:val="0"/>
        </w:rPr>
        <w:t xml:space="preserve">A 24-hour update interval introduces </w:t>
      </w:r>
      <w:r w:rsidDel="00000000" w:rsidR="00000000" w:rsidRPr="00000000">
        <w:rPr>
          <w:b w:val="1"/>
          <w:bCs w:val="1"/>
          <w:rtl w:val="0"/>
        </w:rPr>
        <w:t xml:space="preserve">arbitrage risk</w:t>
      </w:r>
      <w:r w:rsidDel="00000000" w:rsidR="00000000" w:rsidRPr="00000000">
        <w:rPr>
          <w:rtl w:val="0"/>
        </w:rPr>
        <w:t xml:space="preserve">. If volatile regional currency pairs (such as USD/SOS or USD/CDF) move during the day, the platform will process transfers at outdated prices, creating direct financial losses for the treasury. Furthermore, a simple calendar date does not provide the second-level UTC timestamp required for transaction audit defense and regulatory reconciliation.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Benefit of Commercial Feeds:</w:t>
        <w:br w:type="textWrapping"/>
      </w:r>
      <w:r w:rsidDel="00000000" w:rsidR="00000000" w:rsidRPr="00000000">
        <w:rPr>
          <w:rtl w:val="0"/>
        </w:rPr>
        <w:t xml:space="preserve">Near-real-time updates (every 1 to 5 minutes) protect the treasury against market volatility and provide an immutable audit trail for every completed transfer at minimal overhead cost.</w:t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Engineering Recommendation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We recommend a </w:t>
      </w:r>
      <w:r w:rsidDel="00000000" w:rsidR="00000000" w:rsidRPr="00000000">
        <w:rPr>
          <w:b w:val="1"/>
          <w:bCs w:val="1"/>
          <w:rtl w:val="0"/>
        </w:rPr>
        <w:t xml:space="preserve">Two-Tier Hybrid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Development, QA &amp; CI/CD Pipelines: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Frankfurter (Open-Source)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$0 cost</w:t>
      </w:r>
      <w:r w:rsidDel="00000000" w:rsidR="00000000" w:rsidRPr="00000000">
        <w:rPr>
          <w:rtl w:val="0"/>
        </w:rPr>
        <w:t xml:space="preserve"> to avoid consuming API quotas during automated integration tests.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Environment: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b w:val="1"/>
          <w:bCs w:val="1"/>
          <w:rtl w:val="0"/>
        </w:rPr>
        <w:t xml:space="preserve">Commercial API (e.g., ExchangeRate-API Pro or CurrencyAPI Medium)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~$10 – $39.99 / month</w:t>
      </w:r>
      <w:r w:rsidDel="00000000" w:rsidR="00000000" w:rsidRPr="00000000">
        <w:rPr>
          <w:rtl w:val="0"/>
        </w:rPr>
        <w:t xml:space="preserve"> to ensure real-time rates, financial safety, and full support for African corridor currencies (</w:t>
      </w:r>
      <w:r w:rsidDel="00000000" w:rsidR="00000000" w:rsidRPr="00000000">
        <w:rPr>
          <w:b w:val="1"/>
          <w:bCs w:val="1"/>
          <w:rtl w:val="0"/>
        </w:rPr>
        <w:t xml:space="preserve">SOS, XAF, CDF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Approval to proceed with the hybrid model and acquire API keys for the production tier.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