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D1B2A"/>
          <w:sz w:val="56"/>
        </w:rPr>
        <w:t>TIME-SERIES ANALYSIS OF</w:t>
        <w:br/>
        <w:t>INDIAN PORT ACTIVITY</w:t>
        <w:br/>
        <w:t>AND ECONOMIC OUTPUT</w:t>
      </w:r>
    </w:p>
    <w:p/>
    <w:p>
      <w:pPr>
        <w:jc w:val="center"/>
      </w:pPr>
      <w:r>
        <w:rPr>
          <w:color w:val="1565C0"/>
          <w:sz w:val="32"/>
        </w:rPr>
        <w:t>Satellite-Based Ship Detection Study</w:t>
      </w:r>
    </w:p>
    <w:p/>
    <w:p>
      <w:pPr>
        <w:jc w:val="center"/>
      </w:pPr>
      <w:r>
        <w:rPr>
          <w:color w:val="616161"/>
          <w:sz w:val="26"/>
        </w:rPr>
        <w:t>Mumbai Port (JNPT)  |  January 2018 – March 2026</w:t>
      </w:r>
    </w:p>
    <w:p/>
    <w:p/>
    <w:p>
      <w:pPr>
        <w:jc w:val="center"/>
      </w:pPr>
      <w:r>
        <w:rPr>
          <w:color w:val="616161"/>
          <w:sz w:val="20"/>
        </w:rPr>
        <w:t>Methodology: YOLO11x-OBB ship detection on Sentinel-2 L2A satellite imagery</w:t>
      </w:r>
    </w:p>
    <w:p>
      <w:pPr>
        <w:jc w:val="center"/>
      </w:pPr>
      <w:r>
        <w:rPr>
          <w:color w:val="616161"/>
          <w:sz w:val="20"/>
        </w:rPr>
        <w:t>Source: Microsoft Planetary Computer (monthly, least-cloudy composite)</w:t>
      </w:r>
    </w:p>
    <w:p>
      <w:pPr>
        <w:jc w:val="center"/>
      </w:pPr>
      <w:r>
        <w:rPr>
          <w:color w:val="616161"/>
          <w:sz w:val="20"/>
        </w:rPr>
        <w:t>3× bicubic upscaling  |  640×640 SAHI tiling with 40% overlap</w:t>
      </w:r>
    </w:p>
    <w:p>
      <w:pPr>
        <w:jc w:val="center"/>
      </w:pPr>
      <w:r>
        <w:rPr>
          <w:color w:val="616161"/>
          <w:sz w:val="20"/>
        </w:rPr>
        <w:t>Oriented Bounding Box detection + Non-Maximum Suppression</w:t>
      </w:r>
    </w:p>
    <w:p/>
    <w:p/>
    <w:p>
      <w:pPr>
        <w:jc w:val="center"/>
      </w:pPr>
      <w:r>
        <w:rPr>
          <w:i/>
          <w:color w:val="616161"/>
          <w:sz w:val="20"/>
        </w:rPr>
        <w:t>Report Generated: April 15, 2026</w:t>
      </w:r>
    </w:p>
    <w:p>
      <w:r>
        <w:br w:type="page"/>
      </w:r>
    </w:p>
    <w:p>
      <w:pPr>
        <w:pStyle w:val="Heading1"/>
      </w:pPr>
      <w:r>
        <w:rPr>
          <w:color w:val="0D1B2A"/>
        </w:rPr>
        <w:t>Table of Contents</w:t>
      </w:r>
    </w:p>
    <w:p>
      <w:r>
        <w:rPr>
          <w:b/>
          <w:color w:val="0D1B2A"/>
          <w:sz w:val="22"/>
        </w:rPr>
        <w:t xml:space="preserve">1.  </w:t>
      </w:r>
      <w:r>
        <w:rPr>
          <w:color w:val="212121"/>
          <w:sz w:val="22"/>
        </w:rPr>
        <w:t>Executive Summary</w:t>
      </w:r>
    </w:p>
    <w:p>
      <w:r>
        <w:rPr>
          <w:b/>
          <w:color w:val="0D1B2A"/>
          <w:sz w:val="22"/>
        </w:rPr>
        <w:t xml:space="preserve">2.  </w:t>
      </w:r>
      <w:r>
        <w:rPr>
          <w:color w:val="212121"/>
          <w:sz w:val="22"/>
        </w:rPr>
        <w:t>Methodology</w:t>
      </w:r>
    </w:p>
    <w:p>
      <w:r>
        <w:rPr>
          <w:b/>
          <w:color w:val="0D1B2A"/>
          <w:sz w:val="22"/>
        </w:rPr>
        <w:t xml:space="preserve">3.  </w:t>
      </w:r>
      <w:r>
        <w:rPr>
          <w:color w:val="212121"/>
          <w:sz w:val="22"/>
        </w:rPr>
        <w:t>Yearly Ship Activity</w:t>
      </w:r>
    </w:p>
    <w:p>
      <w:r>
        <w:rPr>
          <w:b/>
          <w:color w:val="0D1B2A"/>
          <w:sz w:val="22"/>
        </w:rPr>
        <w:t xml:space="preserve">4.  </w:t>
      </w:r>
      <w:r>
        <w:rPr>
          <w:color w:val="212121"/>
          <w:sz w:val="22"/>
        </w:rPr>
        <w:t>Monthly Analysis (4 Selected Years)</w:t>
      </w:r>
    </w:p>
    <w:p>
      <w:r>
        <w:rPr>
          <w:b/>
          <w:color w:val="0D1B2A"/>
          <w:sz w:val="22"/>
        </w:rPr>
        <w:t xml:space="preserve">5.  </w:t>
      </w:r>
      <w:r>
        <w:rPr>
          <w:color w:val="212121"/>
          <w:sz w:val="22"/>
        </w:rPr>
        <w:t>Ship Count Heatmap (Month × Year)</w:t>
      </w:r>
    </w:p>
    <w:p>
      <w:r>
        <w:rPr>
          <w:b/>
          <w:color w:val="0D1B2A"/>
          <w:sz w:val="22"/>
        </w:rPr>
        <w:t xml:space="preserve">6.  </w:t>
      </w:r>
      <w:r>
        <w:rPr>
          <w:color w:val="212121"/>
          <w:sz w:val="22"/>
        </w:rPr>
        <w:t>Seasonal Patterns</w:t>
      </w:r>
    </w:p>
    <w:p>
      <w:r>
        <w:rPr>
          <w:b/>
          <w:color w:val="0D1B2A"/>
          <w:sz w:val="22"/>
        </w:rPr>
        <w:t xml:space="preserve">7.  </w:t>
      </w:r>
      <w:r>
        <w:rPr>
          <w:color w:val="212121"/>
          <w:sz w:val="22"/>
        </w:rPr>
        <w:t>COVID-19 Impact Analysis</w:t>
      </w:r>
    </w:p>
    <w:p>
      <w:r>
        <w:rPr>
          <w:b/>
          <w:color w:val="0D1B2A"/>
          <w:sz w:val="22"/>
        </w:rPr>
        <w:t xml:space="preserve">8.  </w:t>
      </w:r>
      <w:r>
        <w:rPr>
          <w:color w:val="212121"/>
          <w:sz w:val="22"/>
        </w:rPr>
        <w:t>Quarterly Distribution</w:t>
      </w:r>
    </w:p>
    <w:p>
      <w:r>
        <w:rPr>
          <w:b/>
          <w:color w:val="0D1B2A"/>
          <w:sz w:val="22"/>
        </w:rPr>
        <w:t xml:space="preserve">9.  </w:t>
      </w:r>
      <w:r>
        <w:rPr>
          <w:color w:val="212121"/>
          <w:sz w:val="22"/>
        </w:rPr>
        <w:t>Satellite Image Gallery — High Activity Months</w:t>
      </w:r>
    </w:p>
    <w:p>
      <w:r>
        <w:rPr>
          <w:b/>
          <w:color w:val="0D1B2A"/>
          <w:sz w:val="22"/>
        </w:rPr>
        <w:t xml:space="preserve">10.  </w:t>
      </w:r>
      <w:r>
        <w:rPr>
          <w:color w:val="212121"/>
          <w:sz w:val="22"/>
        </w:rPr>
        <w:t>Satellite Image Gallery — Peak Month Per Year</w:t>
      </w:r>
    </w:p>
    <w:p>
      <w:r>
        <w:rPr>
          <w:b/>
          <w:color w:val="0D1B2A"/>
          <w:sz w:val="22"/>
        </w:rPr>
        <w:t xml:space="preserve">11.  </w:t>
      </w:r>
      <w:r>
        <w:rPr>
          <w:color w:val="212121"/>
          <w:sz w:val="22"/>
        </w:rPr>
        <w:t>Statistical Summary &amp; Yearly Breakdown</w:t>
      </w:r>
    </w:p>
    <w:p>
      <w:r>
        <w:rPr>
          <w:b/>
          <w:color w:val="0D1B2A"/>
          <w:sz w:val="22"/>
        </w:rPr>
        <w:t xml:space="preserve">12.  </w:t>
      </w:r>
      <w:r>
        <w:rPr>
          <w:color w:val="212121"/>
          <w:sz w:val="22"/>
        </w:rPr>
        <w:t>Key Findings &amp; Conclusions</w:t>
      </w:r>
    </w:p>
    <w:p>
      <w:r>
        <w:rPr>
          <w:b/>
          <w:color w:val="0D1B2A"/>
          <w:sz w:val="22"/>
        </w:rPr>
        <w:t xml:space="preserve">13.  </w:t>
      </w:r>
      <w:r>
        <w:rPr>
          <w:color w:val="212121"/>
          <w:sz w:val="22"/>
        </w:rPr>
        <w:t>Appendix: Monthly Data Table</w:t>
      </w:r>
    </w:p>
    <w:p>
      <w:r>
        <w:br w:type="page"/>
      </w:r>
    </w:p>
    <w:p>
      <w:pPr>
        <w:pStyle w:val="Heading1"/>
      </w:pPr>
      <w:r>
        <w:rPr>
          <w:color w:val="0D1B2A"/>
        </w:rPr>
        <w:t>1. Executive Summary</w:t>
      </w:r>
    </w:p>
    <w:p>
      <w:pPr>
        <w:spacing w:after="120"/>
      </w:pPr>
      <w:r>
        <w:rPr>
          <w:b w:val="0"/>
          <w:i w:val="0"/>
          <w:color w:val="212121"/>
          <w:sz w:val="22"/>
        </w:rPr>
        <w:t>This report presents a comprehensive time-series analysis of maritime activity at Mumbai Port (JNPT), India's busiest container port, using satellite-based ship detection over 98 months from January 2018 to March 2026.</w:t>
      </w:r>
    </w:p>
    <w:p>
      <w:pPr>
        <w:spacing w:after="80"/>
      </w:pPr>
      <w:r>
        <w:rPr>
          <w:b/>
          <w:i w:val="0"/>
          <w:color w:val="212121"/>
          <w:sz w:val="24"/>
        </w:rPr>
        <w:t>DATA OVERVIEW</w:t>
      </w:r>
    </w:p>
    <w:p>
      <w:pPr>
        <w:pStyle w:val="ListBullet"/>
      </w:pPr>
      <w:r>
        <w:rPr>
          <w:b/>
          <w:color w:val="212121"/>
          <w:sz w:val="21"/>
        </w:rPr>
        <w:t>Total ship detections:</w:t>
      </w:r>
      <w:r>
        <w:rPr>
          <w:color w:val="212121"/>
          <w:sz w:val="21"/>
        </w:rPr>
        <w:t xml:space="preserve">  2168 across 98 monthly satellite images</w:t>
      </w:r>
    </w:p>
    <w:p>
      <w:pPr>
        <w:pStyle w:val="ListBullet"/>
      </w:pPr>
      <w:r>
        <w:rPr>
          <w:b/>
          <w:color w:val="212121"/>
          <w:sz w:val="21"/>
        </w:rPr>
        <w:t>Average ships/month:</w:t>
      </w:r>
      <w:r>
        <w:rPr>
          <w:color w:val="212121"/>
          <w:sz w:val="21"/>
        </w:rPr>
        <w:t xml:space="preserve">  22.1  |  Median: 18</w:t>
      </w:r>
    </w:p>
    <w:p>
      <w:pPr>
        <w:pStyle w:val="ListBullet"/>
      </w:pPr>
      <w:r>
        <w:rPr>
          <w:b/>
          <w:color w:val="212121"/>
          <w:sz w:val="21"/>
        </w:rPr>
        <w:t>Peak activity:</w:t>
      </w:r>
      <w:r>
        <w:rPr>
          <w:color w:val="212121"/>
          <w:sz w:val="21"/>
        </w:rPr>
        <w:t xml:space="preserve">  82 ships (October 2025)</w:t>
      </w:r>
    </w:p>
    <w:p>
      <w:pPr>
        <w:pStyle w:val="ListBullet"/>
      </w:pPr>
      <w:r>
        <w:rPr>
          <w:b/>
          <w:color w:val="212121"/>
          <w:sz w:val="21"/>
        </w:rPr>
        <w:t>Minimum activity:</w:t>
      </w:r>
      <w:r>
        <w:rPr>
          <w:color w:val="212121"/>
          <w:sz w:val="21"/>
        </w:rPr>
        <w:t xml:space="preserve">  0 ships (August 2019)</w:t>
      </w:r>
    </w:p>
    <w:p>
      <w:pPr>
        <w:pStyle w:val="ListBullet"/>
      </w:pPr>
      <w:r>
        <w:rPr>
          <w:b/>
          <w:color w:val="212121"/>
          <w:sz w:val="21"/>
        </w:rPr>
        <w:t>Overall trend:</w:t>
      </w:r>
      <w:r>
        <w:rPr>
          <w:color w:val="212121"/>
          <w:sz w:val="21"/>
        </w:rPr>
        <w:t xml:space="preserve">  Stable (-0.015 ships/month, R²=0.001)</w:t>
      </w:r>
    </w:p>
    <w:p/>
    <w:p>
      <w:pPr>
        <w:spacing w:after="80"/>
      </w:pPr>
      <w:r>
        <w:rPr>
          <w:b/>
          <w:i w:val="0"/>
          <w:color w:val="212121"/>
          <w:sz w:val="24"/>
        </w:rPr>
        <w:t>KEY FINDINGS</w:t>
      </w:r>
    </w:p>
    <w:p>
      <w:pPr>
        <w:spacing w:after="120"/>
      </w:pPr>
      <w:r>
        <w:rPr>
          <w:b/>
          <w:color w:val="212121"/>
          <w:sz w:val="21"/>
        </w:rPr>
        <w:t xml:space="preserve">1. Strong Monsoon Seasonality: </w:t>
      </w:r>
      <w:r>
        <w:rPr>
          <w:color w:val="212121"/>
          <w:sz w:val="21"/>
        </w:rPr>
        <w:t>Ship counts drop 70–90% during May–August (Indian monsoon season) and peak in Q1 (Jan–Mar) and Q4 (Oct–Dec). This pattern is consistent across all 8+ years observed.</w:t>
      </w:r>
    </w:p>
    <w:p>
      <w:pPr>
        <w:spacing w:after="120"/>
      </w:pPr>
      <w:r>
        <w:rPr>
          <w:b/>
          <w:color w:val="212121"/>
          <w:sz w:val="21"/>
        </w:rPr>
        <w:t xml:space="preserve">2. COVID-19 Delayed Impact: </w:t>
      </w:r>
      <w:r>
        <w:rPr>
          <w:color w:val="212121"/>
          <w:sz w:val="21"/>
        </w:rPr>
        <w:t>While 2020 showed resilient activity (313 ships), the true impact materialized in 2021 (−27.2% YoY) and 2022 (−7.5%), suggesting delayed supply chain disruption.</w:t>
      </w:r>
    </w:p>
    <w:p>
      <w:pPr>
        <w:spacing w:after="120"/>
      </w:pPr>
      <w:r>
        <w:rPr>
          <w:b/>
          <w:color w:val="212121"/>
          <w:sz w:val="21"/>
        </w:rPr>
        <w:t xml:space="preserve">3. Recovery Trajectory: </w:t>
      </w:r>
      <w:r>
        <w:rPr>
          <w:color w:val="212121"/>
          <w:sz w:val="21"/>
        </w:rPr>
        <w:t>Port activity has been recovering since 2023 (+8.5%) and 2025 (+10.9%). Early 2026 data (45 ships/month avg) suggests the strongest activity levels in the observation period.</w:t>
      </w:r>
    </w:p>
    <w:p>
      <w:pPr>
        <w:spacing w:after="120"/>
      </w:pPr>
      <w:r>
        <w:rPr>
          <w:b/>
          <w:color w:val="212121"/>
          <w:sz w:val="21"/>
        </w:rPr>
        <w:t xml:space="preserve">4. Year-wise Stability: </w:t>
      </w:r>
      <w:r>
        <w:rPr>
          <w:color w:val="212121"/>
          <w:sz w:val="21"/>
        </w:rPr>
        <w:t>Despite monthly volatility (std=19.4), yearly totals remain within a 210–315 band, indicating stable long-term throughput.</w:t>
      </w:r>
    </w:p>
    <w:p>
      <w:r>
        <w:br w:type="page"/>
      </w:r>
    </w:p>
    <w:p>
      <w:pPr>
        <w:pStyle w:val="Heading1"/>
      </w:pPr>
      <w:r>
        <w:rPr>
          <w:color w:val="0D1B2A"/>
        </w:rPr>
        <w:t>2. Methodology</w:t>
      </w:r>
    </w:p>
    <w:p>
      <w:pPr>
        <w:spacing w:after="80"/>
      </w:pPr>
      <w:r>
        <w:rPr>
          <w:b/>
          <w:i w:val="0"/>
          <w:color w:val="212121"/>
          <w:sz w:val="24"/>
        </w:rPr>
        <w:t>DATA ACQUISITION</w:t>
      </w:r>
    </w:p>
    <w:p>
      <w:pPr>
        <w:pStyle w:val="ListBullet"/>
      </w:pPr>
      <w:r>
        <w:rPr>
          <w:b/>
          <w:color w:val="212121"/>
          <w:sz w:val="21"/>
        </w:rPr>
        <w:t xml:space="preserve">Source: </w:t>
      </w:r>
      <w:r>
        <w:rPr>
          <w:color w:val="212121"/>
          <w:sz w:val="21"/>
        </w:rPr>
        <w:t>Sentinel-2 L2A satellite imagery via Microsoft Planetary Computer</w:t>
      </w:r>
    </w:p>
    <w:p>
      <w:pPr>
        <w:pStyle w:val="ListBullet"/>
      </w:pPr>
      <w:r>
        <w:rPr>
          <w:b/>
          <w:color w:val="212121"/>
          <w:sz w:val="21"/>
        </w:rPr>
        <w:t xml:space="preserve">Bands: </w:t>
      </w:r>
      <w:r>
        <w:rPr>
          <w:color w:val="212121"/>
          <w:sz w:val="21"/>
        </w:rPr>
        <w:t>B04 (Red), B03 (Green), B02 (Blue) — 10m spatial resolution</w:t>
      </w:r>
    </w:p>
    <w:p>
      <w:pPr>
        <w:pStyle w:val="ListBullet"/>
      </w:pPr>
      <w:r>
        <w:rPr>
          <w:b/>
          <w:color w:val="212121"/>
          <w:sz w:val="21"/>
        </w:rPr>
        <w:t xml:space="preserve">Coverage: </w:t>
      </w:r>
      <w:r>
        <w:rPr>
          <w:color w:val="212121"/>
          <w:sz w:val="21"/>
        </w:rPr>
        <w:t>January 2018 – March 2026 (98 monthly composites)</w:t>
      </w:r>
    </w:p>
    <w:p>
      <w:pPr>
        <w:pStyle w:val="ListBullet"/>
      </w:pPr>
      <w:r>
        <w:rPr>
          <w:b/>
          <w:color w:val="212121"/>
          <w:sz w:val="21"/>
        </w:rPr>
        <w:t xml:space="preserve">Selection: </w:t>
      </w:r>
      <w:r>
        <w:rPr>
          <w:color w:val="212121"/>
          <w:sz w:val="21"/>
        </w:rPr>
        <w:t>Least-cloudy image per month (max 30%, relaxed to 70%)</w:t>
      </w:r>
    </w:p>
    <w:p>
      <w:pPr>
        <w:pStyle w:val="ListBullet"/>
      </w:pPr>
      <w:r>
        <w:rPr>
          <w:b/>
          <w:color w:val="212121"/>
          <w:sz w:val="21"/>
        </w:rPr>
        <w:t xml:space="preserve">Processing: </w:t>
      </w:r>
      <w:r>
        <w:rPr>
          <w:color w:val="212121"/>
          <w:sz w:val="21"/>
        </w:rPr>
        <w:t>Per-channel percentile normalization (2nd–98th) + gamma correction</w:t>
      </w:r>
    </w:p>
    <w:p/>
    <w:p>
      <w:pPr>
        <w:spacing w:after="80"/>
      </w:pPr>
      <w:r>
        <w:rPr>
          <w:b/>
          <w:i w:val="0"/>
          <w:color w:val="212121"/>
          <w:sz w:val="24"/>
        </w:rPr>
        <w:t>SHIP DETECTION PIPELINE</w:t>
      </w:r>
    </w:p>
    <w:p>
      <w:pPr>
        <w:pStyle w:val="ListBullet"/>
      </w:pPr>
      <w:r>
        <w:rPr>
          <w:b/>
          <w:color w:val="212121"/>
          <w:sz w:val="21"/>
        </w:rPr>
        <w:t xml:space="preserve">Step 1: </w:t>
      </w:r>
      <w:r>
        <w:rPr>
          <w:color w:val="212121"/>
          <w:sz w:val="21"/>
        </w:rPr>
        <w:t>Image Upscaling: 3× bicubic interpolation to enhance small vessel visibility</w:t>
      </w:r>
    </w:p>
    <w:p>
      <w:pPr>
        <w:pStyle w:val="ListBullet"/>
      </w:pPr>
      <w:r>
        <w:rPr>
          <w:b/>
          <w:color w:val="212121"/>
          <w:sz w:val="21"/>
        </w:rPr>
        <w:t xml:space="preserve">Step 2: </w:t>
      </w:r>
      <w:r>
        <w:rPr>
          <w:color w:val="212121"/>
          <w:sz w:val="21"/>
        </w:rPr>
        <w:t>SAHI-style Tiling: 640×640px tiles with 40% overlap across the full image</w:t>
      </w:r>
    </w:p>
    <w:p>
      <w:pPr>
        <w:pStyle w:val="ListBullet"/>
      </w:pPr>
      <w:r>
        <w:rPr>
          <w:b/>
          <w:color w:val="212121"/>
          <w:sz w:val="21"/>
        </w:rPr>
        <w:t xml:space="preserve">Step 3: </w:t>
      </w:r>
      <w:r>
        <w:rPr>
          <w:color w:val="212121"/>
          <w:sz w:val="21"/>
        </w:rPr>
        <w:t>Object Detection: YOLO11x-OBB (Oriented Bounding Box) model, trained on DOTA-v1.0 dataset (15 categories incl. ships), confidence threshold: 0.10</w:t>
      </w:r>
    </w:p>
    <w:p>
      <w:pPr>
        <w:pStyle w:val="ListBullet"/>
      </w:pPr>
      <w:r>
        <w:rPr>
          <w:b/>
          <w:color w:val="212121"/>
          <w:sz w:val="21"/>
        </w:rPr>
        <w:t xml:space="preserve">Step 4: </w:t>
      </w:r>
      <w:r>
        <w:rPr>
          <w:color w:val="212121"/>
          <w:sz w:val="21"/>
        </w:rPr>
        <w:t>Non-Maximum Suppression: IoU threshold 0.30 to merge overlapping detections from adjacent tiles</w:t>
      </w:r>
    </w:p>
    <w:p>
      <w:pPr>
        <w:pStyle w:val="ListBullet"/>
      </w:pPr>
      <w:r>
        <w:rPr>
          <w:b/>
          <w:color w:val="212121"/>
          <w:sz w:val="21"/>
        </w:rPr>
        <w:t xml:space="preserve">Step 5: </w:t>
      </w:r>
      <w:r>
        <w:rPr>
          <w:color w:val="212121"/>
          <w:sz w:val="21"/>
        </w:rPr>
        <w:t>Area Outlier Removal: Boxes &gt;4× average area filtered (likely buildings/structures)</w:t>
      </w:r>
    </w:p>
    <w:p/>
    <w:p>
      <w:pPr>
        <w:spacing w:after="80"/>
      </w:pPr>
      <w:r>
        <w:rPr>
          <w:b/>
          <w:i w:val="0"/>
          <w:color w:val="212121"/>
          <w:sz w:val="24"/>
        </w:rPr>
        <w:t>LIMITATIONS</w:t>
      </w:r>
    </w:p>
    <w:p>
      <w:pPr>
        <w:pStyle w:val="ListBullet"/>
      </w:pPr>
      <w:r>
        <w:rPr>
          <w:color w:val="212121"/>
          <w:sz w:val="21"/>
        </w:rPr>
        <w:t>Cloud cover can occlude ships — monsoon months have higher cloud cover</w:t>
      </w:r>
    </w:p>
    <w:p>
      <w:pPr>
        <w:pStyle w:val="ListBullet"/>
      </w:pPr>
      <w:r>
        <w:rPr>
          <w:color w:val="212121"/>
          <w:sz w:val="21"/>
        </w:rPr>
        <w:t>Sentinel-2 revisit is 5 days; monthly counts are single-snapshot estimates</w:t>
      </w:r>
    </w:p>
    <w:p>
      <w:pPr>
        <w:pStyle w:val="ListBullet"/>
      </w:pPr>
      <w:r>
        <w:rPr>
          <w:color w:val="212121"/>
          <w:sz w:val="21"/>
        </w:rPr>
        <w:t>Small vessels (&lt;10m) may be missed at 10m native resolution</w:t>
      </w:r>
    </w:p>
    <w:p>
      <w:pPr>
        <w:pStyle w:val="ListBullet"/>
      </w:pPr>
      <w:r>
        <w:rPr>
          <w:color w:val="212121"/>
          <w:sz w:val="21"/>
        </w:rPr>
        <w:t>Anchored ships and docked vessels are both counted</w:t>
      </w:r>
    </w:p>
    <w:p>
      <w:pPr>
        <w:pStyle w:val="ListBullet"/>
      </w:pPr>
      <w:r>
        <w:rPr>
          <w:color w:val="212121"/>
          <w:sz w:val="21"/>
        </w:rPr>
        <w:t>3 months missing data (Jul 2018 not available in imagery catalog)</w:t>
      </w:r>
    </w:p>
    <w:p/>
    <w:p>
      <w:pPr>
        <w:spacing w:after="80"/>
      </w:pPr>
      <w:r>
        <w:rPr>
          <w:b/>
          <w:i w:val="0"/>
          <w:color w:val="212121"/>
          <w:sz w:val="24"/>
        </w:rPr>
        <w:t>STUDY AREA</w:t>
      </w:r>
    </w:p>
    <w:p>
      <w:pPr>
        <w:spacing w:after="120"/>
      </w:pPr>
      <w:r>
        <w:rPr>
          <w:b w:val="0"/>
          <w:i w:val="0"/>
          <w:color w:val="212121"/>
          <w:sz w:val="22"/>
        </w:rPr>
        <w:t>Mumbai Port / JNPT: Bounding box [72.85°E, 18.88°N, 72.98°E, 18.98°N]</w:t>
      </w:r>
    </w:p>
    <w:p>
      <w:pPr>
        <w:spacing w:after="120"/>
      </w:pPr>
      <w:r>
        <w:rPr>
          <w:b w:val="0"/>
          <w:i w:val="0"/>
          <w:color w:val="212121"/>
          <w:sz w:val="22"/>
        </w:rPr>
        <w:t>Covers: Jawaharlal Nehru Port, Mumbai Port Trust, offshore anchorage zone</w:t>
      </w:r>
    </w:p>
    <w:p>
      <w:r>
        <w:br w:type="page"/>
      </w:r>
    </w:p>
    <w:p>
      <w:pPr>
        <w:pStyle w:val="Heading1"/>
      </w:pPr>
      <w:r>
        <w:rPr>
          <w:color w:val="0D1B2A"/>
        </w:rPr>
        <w:t>3. Yearly Ship Activity</w:t>
      </w:r>
    </w:p>
    <w:p>
      <w:pPr>
        <w:spacing w:after="120"/>
      </w:pPr>
      <w:r>
        <w:rPr>
          <w:b w:val="0"/>
          <w:i w:val="0"/>
          <w:color w:val="212121"/>
          <w:sz w:val="22"/>
        </w:rPr>
        <w:t>The bar chart below shows total ships detected per year from satellite imagery. Years 2018 and 2026 are partial (11 and 3 months respectively).</w:t>
      </w:r>
    </w:p>
    <w:p>
      <w:pPr>
        <w:jc w:val="center"/>
      </w:pPr>
      <w:r>
        <w:drawing>
          <wp:inline xmlns:a="http://schemas.openxmlformats.org/drawingml/2006/main" xmlns:pic="http://schemas.openxmlformats.org/drawingml/2006/picture">
            <wp:extent cx="5669280" cy="2378412"/>
            <wp:docPr id="1" name="Picture 1"/>
            <wp:cNvGraphicFramePr>
              <a:graphicFrameLocks noChangeAspect="1"/>
            </wp:cNvGraphicFramePr>
            <a:graphic>
              <a:graphicData uri="http://schemas.openxmlformats.org/drawingml/2006/picture">
                <pic:pic>
                  <pic:nvPicPr>
                    <pic:cNvPr id="0" name="a_yearly_totals.png"/>
                    <pic:cNvPicPr/>
                  </pic:nvPicPr>
                  <pic:blipFill>
                    <a:blip r:embed="rId9"/>
                    <a:stretch>
                      <a:fillRect/>
                    </a:stretch>
                  </pic:blipFill>
                  <pic:spPr>
                    <a:xfrm>
                      <a:off x="0" y="0"/>
                      <a:ext cx="5669280" cy="2378412"/>
                    </a:xfrm>
                    <a:prstGeom prst="rect"/>
                  </pic:spPr>
                </pic:pic>
              </a:graphicData>
            </a:graphic>
          </wp:inline>
        </w:drawing>
      </w:r>
    </w:p>
    <w:p>
      <w:pPr>
        <w:spacing w:after="80"/>
      </w:pPr>
      <w:r>
        <w:rPr>
          <w:b/>
          <w:i w:val="0"/>
          <w:color w:val="212121"/>
          <w:sz w:val="22"/>
        </w:rPr>
        <w:t>Key observations:</w:t>
      </w:r>
    </w:p>
    <w:p>
      <w:pPr>
        <w:pStyle w:val="ListBullet"/>
      </w:pPr>
      <w:r>
        <w:rPr>
          <w:color w:val="212121"/>
          <w:sz w:val="21"/>
        </w:rPr>
        <w:t>Peak year was 2020 with 313 total detections, despite the COVID-19 pandemic onset</w:t>
      </w:r>
    </w:p>
    <w:p>
      <w:pPr>
        <w:pStyle w:val="ListBullet"/>
      </w:pPr>
      <w:r>
        <w:rPr>
          <w:color w:val="212121"/>
          <w:sz w:val="21"/>
        </w:rPr>
        <w:t>Sharp decline in 2021 (−27.2%) and 2022 (−7.5%) due to delayed pandemic impact</w:t>
      </w:r>
    </w:p>
    <w:p>
      <w:pPr>
        <w:pStyle w:val="ListBullet"/>
      </w:pPr>
      <w:r>
        <w:rPr>
          <w:color w:val="212121"/>
          <w:sz w:val="21"/>
        </w:rPr>
        <w:t>Steady recovery from 2023 onward; 2025 recorded 255 ships (highest since 2020)</w:t>
      </w:r>
    </w:p>
    <w:p>
      <w:pPr>
        <w:pStyle w:val="ListBullet"/>
      </w:pPr>
      <w:r>
        <w:rPr>
          <w:color w:val="212121"/>
          <w:sz w:val="21"/>
        </w:rPr>
        <w:t>2026 (Jan–Mar only) is tracking at 45 ships/month — the highest monthly average</w:t>
      </w:r>
    </w:p>
    <w:p>
      <w:r>
        <w:br w:type="page"/>
      </w:r>
    </w:p>
    <w:p>
      <w:pPr>
        <w:pStyle w:val="Heading1"/>
      </w:pPr>
      <w:r>
        <w:rPr>
          <w:color w:val="0D1B2A"/>
        </w:rPr>
        <w:t>4. Monthly Analysis (4 Selected Years)</w:t>
      </w:r>
    </w:p>
    <w:p>
      <w:pPr>
        <w:spacing w:after="120"/>
      </w:pPr>
      <w:r>
        <w:rPr>
          <w:b w:val="0"/>
          <w:i w:val="0"/>
          <w:color w:val="212121"/>
          <w:sz w:val="22"/>
        </w:rPr>
        <w:t>Detailed month-by-month ship counts for four representative years spanning pre-COVID (2019), COVID impact (2021), recovery (2023), and recent (2025).</w:t>
      </w:r>
    </w:p>
    <w:p>
      <w:pPr>
        <w:jc w:val="center"/>
      </w:pPr>
      <w:r>
        <w:drawing>
          <wp:inline xmlns:a="http://schemas.openxmlformats.org/drawingml/2006/main" xmlns:pic="http://schemas.openxmlformats.org/drawingml/2006/picture">
            <wp:extent cx="5669280" cy="4361169"/>
            <wp:docPr id="2" name="Picture 2"/>
            <wp:cNvGraphicFramePr>
              <a:graphicFrameLocks noChangeAspect="1"/>
            </wp:cNvGraphicFramePr>
            <a:graphic>
              <a:graphicData uri="http://schemas.openxmlformats.org/drawingml/2006/picture">
                <pic:pic>
                  <pic:nvPicPr>
                    <pic:cNvPr id="0" name="b_monthly_4years.png"/>
                    <pic:cNvPicPr/>
                  </pic:nvPicPr>
                  <pic:blipFill>
                    <a:blip r:embed="rId10"/>
                    <a:stretch>
                      <a:fillRect/>
                    </a:stretch>
                  </pic:blipFill>
                  <pic:spPr>
                    <a:xfrm>
                      <a:off x="0" y="0"/>
                      <a:ext cx="5669280" cy="4361169"/>
                    </a:xfrm>
                    <a:prstGeom prst="rect"/>
                  </pic:spPr>
                </pic:pic>
              </a:graphicData>
            </a:graphic>
          </wp:inline>
        </w:drawing>
      </w:r>
    </w:p>
    <w:p>
      <w:pPr>
        <w:spacing w:after="80"/>
      </w:pPr>
      <w:r>
        <w:rPr>
          <w:b/>
          <w:i w:val="0"/>
          <w:color w:val="212121"/>
          <w:sz w:val="22"/>
        </w:rPr>
        <w:t>Pattern across all four years:</w:t>
      </w:r>
    </w:p>
    <w:p>
      <w:pPr>
        <w:pStyle w:val="ListBullet"/>
      </w:pPr>
      <w:r>
        <w:rPr>
          <w:color w:val="212121"/>
          <w:sz w:val="21"/>
        </w:rPr>
        <w:t>January–March consistently high (dry season, clear skies, active shipping)</w:t>
      </w:r>
    </w:p>
    <w:p>
      <w:pPr>
        <w:pStyle w:val="ListBullet"/>
      </w:pPr>
      <w:r>
        <w:rPr>
          <w:color w:val="212121"/>
          <w:sz w:val="21"/>
        </w:rPr>
        <w:t>April starts the decline as pre-monsoon conditions set in</w:t>
      </w:r>
    </w:p>
    <w:p>
      <w:pPr>
        <w:pStyle w:val="ListBullet"/>
      </w:pPr>
      <w:r>
        <w:rPr>
          <w:color w:val="212121"/>
          <w:sz w:val="21"/>
        </w:rPr>
        <w:t>May–August at near-zero or very low (monsoon: rough seas, cloud cover, reduced operations)</w:t>
      </w:r>
    </w:p>
    <w:p>
      <w:pPr>
        <w:pStyle w:val="ListBullet"/>
      </w:pPr>
      <w:r>
        <w:rPr>
          <w:color w:val="212121"/>
          <w:sz w:val="21"/>
        </w:rPr>
        <w:t>September–October marks the rebound as monsoon recedes</w:t>
      </w:r>
    </w:p>
    <w:p>
      <w:pPr>
        <w:pStyle w:val="ListBullet"/>
      </w:pPr>
      <w:r>
        <w:rPr>
          <w:color w:val="212121"/>
          <w:sz w:val="21"/>
        </w:rPr>
        <w:t>October–December sees peak activity (post-monsoon trade surge, festival season imports)</w:t>
      </w:r>
    </w:p>
    <w:p>
      <w:r>
        <w:br w:type="page"/>
      </w:r>
    </w:p>
    <w:p>
      <w:pPr>
        <w:pStyle w:val="Heading1"/>
      </w:pPr>
      <w:r>
        <w:rPr>
          <w:color w:val="0D1B2A"/>
        </w:rPr>
        <w:t>5. Ship Count Heatmap (Month × Year)</w:t>
      </w:r>
    </w:p>
    <w:p>
      <w:pPr>
        <w:spacing w:after="120"/>
      </w:pPr>
      <w:r>
        <w:rPr>
          <w:b w:val="0"/>
          <w:i w:val="0"/>
          <w:color w:val="212121"/>
          <w:sz w:val="22"/>
        </w:rPr>
        <w:t>The heatmap provides a comprehensive view of ship activity across all months and years, with color intensity indicating detection count.</w:t>
      </w:r>
    </w:p>
    <w:p>
      <w:pPr>
        <w:jc w:val="center"/>
      </w:pPr>
      <w:r>
        <w:drawing>
          <wp:inline xmlns:a="http://schemas.openxmlformats.org/drawingml/2006/main" xmlns:pic="http://schemas.openxmlformats.org/drawingml/2006/picture">
            <wp:extent cx="5669280" cy="3045111"/>
            <wp:docPr id="3" name="Picture 3"/>
            <wp:cNvGraphicFramePr>
              <a:graphicFrameLocks noChangeAspect="1"/>
            </wp:cNvGraphicFramePr>
            <a:graphic>
              <a:graphicData uri="http://schemas.openxmlformats.org/drawingml/2006/picture">
                <pic:pic>
                  <pic:nvPicPr>
                    <pic:cNvPr id="0" name="c2_heatmap.png"/>
                    <pic:cNvPicPr/>
                  </pic:nvPicPr>
                  <pic:blipFill>
                    <a:blip r:embed="rId11"/>
                    <a:stretch>
                      <a:fillRect/>
                    </a:stretch>
                  </pic:blipFill>
                  <pic:spPr>
                    <a:xfrm>
                      <a:off x="0" y="0"/>
                      <a:ext cx="5669280" cy="3045111"/>
                    </a:xfrm>
                    <a:prstGeom prst="rect"/>
                  </pic:spPr>
                </pic:pic>
              </a:graphicData>
            </a:graphic>
          </wp:inline>
        </w:drawing>
      </w:r>
    </w:p>
    <w:p>
      <w:pPr>
        <w:spacing w:after="120"/>
      </w:pPr>
      <w:r>
        <w:rPr>
          <w:b w:val="0"/>
          <w:i w:val="0"/>
          <w:color w:val="212121"/>
          <w:sz w:val="21"/>
        </w:rPr>
        <w:t>The horizontal band of cool colors (low counts) in May–August is striking and consistent across all years, confirming the monsoon as the dominant factor in ship activity. Notable outliers include February 2019 (75 ships) and October 2025 (82 ships).</w:t>
      </w:r>
    </w:p>
    <w:p>
      <w:r>
        <w:br w:type="page"/>
      </w:r>
    </w:p>
    <w:p>
      <w:pPr>
        <w:pStyle w:val="Heading1"/>
      </w:pPr>
      <w:r>
        <w:rPr>
          <w:color w:val="0D1B2A"/>
        </w:rPr>
        <w:t>6. Seasonal Patterns</w:t>
      </w:r>
    </w:p>
    <w:p>
      <w:pPr>
        <w:spacing w:after="120"/>
      </w:pPr>
      <w:r>
        <w:rPr>
          <w:b w:val="0"/>
          <w:i w:val="0"/>
          <w:color w:val="212121"/>
          <w:sz w:val="22"/>
        </w:rPr>
        <w:t>Average and median ship counts by month, aggregated across all years, reveal the structural seasonal pattern.</w:t>
      </w:r>
    </w:p>
    <w:p>
      <w:pPr>
        <w:jc w:val="center"/>
      </w:pPr>
      <w:r>
        <w:drawing>
          <wp:inline xmlns:a="http://schemas.openxmlformats.org/drawingml/2006/main" xmlns:pic="http://schemas.openxmlformats.org/drawingml/2006/picture">
            <wp:extent cx="5669280" cy="2781761"/>
            <wp:docPr id="4" name="Picture 4"/>
            <wp:cNvGraphicFramePr>
              <a:graphicFrameLocks noChangeAspect="1"/>
            </wp:cNvGraphicFramePr>
            <a:graphic>
              <a:graphicData uri="http://schemas.openxmlformats.org/drawingml/2006/picture">
                <pic:pic>
                  <pic:nvPicPr>
                    <pic:cNvPr id="0" name="c3_seasonality.png"/>
                    <pic:cNvPicPr/>
                  </pic:nvPicPr>
                  <pic:blipFill>
                    <a:blip r:embed="rId12"/>
                    <a:stretch>
                      <a:fillRect/>
                    </a:stretch>
                  </pic:blipFill>
                  <pic:spPr>
                    <a:xfrm>
                      <a:off x="0" y="0"/>
                      <a:ext cx="5669280" cy="2781761"/>
                    </a:xfrm>
                    <a:prstGeom prst="rect"/>
                  </pic:spPr>
                </pic:pic>
              </a:graphicData>
            </a:graphic>
          </wp:inline>
        </w:drawing>
      </w:r>
    </w:p>
    <w:p>
      <w:pPr>
        <w:spacing w:after="80"/>
      </w:pPr>
      <w:r>
        <w:rPr>
          <w:b/>
          <w:i w:val="0"/>
          <w:color w:val="212121"/>
          <w:sz w:val="22"/>
        </w:rPr>
        <w:t>The seasonal pattern is strongly bimodal:</w:t>
      </w:r>
    </w:p>
    <w:p>
      <w:pPr>
        <w:pStyle w:val="ListBullet"/>
      </w:pPr>
      <w:r>
        <w:rPr>
          <w:color w:val="212121"/>
          <w:sz w:val="21"/>
        </w:rPr>
        <w:t>Peak months: January–March (avg ~30 ships) and October–November (avg ~40 ships)</w:t>
      </w:r>
    </w:p>
    <w:p>
      <w:pPr>
        <w:pStyle w:val="ListBullet"/>
      </w:pPr>
      <w:r>
        <w:rPr>
          <w:color w:val="212121"/>
          <w:sz w:val="21"/>
        </w:rPr>
        <w:t>Trough months: May–August (avg &lt;5 ships)</w:t>
      </w:r>
    </w:p>
    <w:p>
      <w:pPr>
        <w:pStyle w:val="ListBullet"/>
      </w:pPr>
      <w:r>
        <w:rPr>
          <w:color w:val="212121"/>
          <w:sz w:val="21"/>
        </w:rPr>
        <w:t>The shaded band (mean ± std) shows high variance in peak months but consistent lows during monsoon</w:t>
      </w:r>
    </w:p>
    <w:p>
      <w:pPr>
        <w:pStyle w:val="ListBullet"/>
      </w:pPr>
      <w:r>
        <w:rPr>
          <w:color w:val="212121"/>
          <w:sz w:val="21"/>
        </w:rPr>
        <w:t>October is the single busiest month on average, likely driven by post-monsoon trade resumption and pre-Diwali import surge</w:t>
      </w:r>
    </w:p>
    <w:p>
      <w:r>
        <w:br w:type="page"/>
      </w:r>
    </w:p>
    <w:p>
      <w:pPr>
        <w:pStyle w:val="Heading1"/>
      </w:pPr>
      <w:r>
        <w:rPr>
          <w:color w:val="0D1B2A"/>
        </w:rPr>
        <w:t>7. COVID-19 Impact Analysis</w:t>
      </w:r>
    </w:p>
    <w:p>
      <w:pPr>
        <w:spacing w:after="120"/>
      </w:pPr>
      <w:r>
        <w:rPr>
          <w:b w:val="0"/>
          <w:i w:val="0"/>
          <w:color w:val="212121"/>
          <w:sz w:val="22"/>
        </w:rPr>
        <w:t>Comparison of average monthly and total ship activity across three periods: Pre-COVID (2018–19), COVID (2020–21), and Post-COVID (2022+).</w:t>
      </w:r>
    </w:p>
    <w:p>
      <w:pPr>
        <w:jc w:val="center"/>
      </w:pPr>
      <w:r>
        <w:drawing>
          <wp:inline xmlns:a="http://schemas.openxmlformats.org/drawingml/2006/main" xmlns:pic="http://schemas.openxmlformats.org/drawingml/2006/picture">
            <wp:extent cx="5669280" cy="2511464"/>
            <wp:docPr id="5" name="Picture 5"/>
            <wp:cNvGraphicFramePr>
              <a:graphicFrameLocks noChangeAspect="1"/>
            </wp:cNvGraphicFramePr>
            <a:graphic>
              <a:graphicData uri="http://schemas.openxmlformats.org/drawingml/2006/picture">
                <pic:pic>
                  <pic:nvPicPr>
                    <pic:cNvPr id="0" name="c5_covid_impact.png"/>
                    <pic:cNvPicPr/>
                  </pic:nvPicPr>
                  <pic:blipFill>
                    <a:blip r:embed="rId13"/>
                    <a:stretch>
                      <a:fillRect/>
                    </a:stretch>
                  </pic:blipFill>
                  <pic:spPr>
                    <a:xfrm>
                      <a:off x="0" y="0"/>
                      <a:ext cx="5669280" cy="2511464"/>
                    </a:xfrm>
                    <a:prstGeom prst="rect"/>
                  </pic:spPr>
                </pic:pic>
              </a:graphicData>
            </a:graphic>
          </wp:inline>
        </w:drawing>
      </w:r>
    </w:p>
    <w:p>
      <w:pPr>
        <w:spacing w:after="80"/>
      </w:pPr>
      <w:r>
        <w:rPr>
          <w:b/>
          <w:i w:val="0"/>
          <w:color w:val="212121"/>
          <w:sz w:val="22"/>
        </w:rPr>
        <w:t>Analysis:</w:t>
      </w:r>
    </w:p>
    <w:p>
      <w:pPr>
        <w:pStyle w:val="ListBullet"/>
      </w:pPr>
      <w:r>
        <w:rPr>
          <w:color w:val="212121"/>
          <w:sz w:val="21"/>
        </w:rPr>
        <w:t>Pre-COVID average: 24.7 ships/month (567 total over 23 months)</w:t>
      </w:r>
    </w:p>
    <w:p>
      <w:pPr>
        <w:pStyle w:val="ListBullet"/>
      </w:pPr>
      <w:r>
        <w:rPr>
          <w:color w:val="212121"/>
          <w:sz w:val="21"/>
        </w:rPr>
        <w:t>COVID period average: 22.5 ships/month (541 total over 24 months) — 8.9% decline</w:t>
      </w:r>
    </w:p>
    <w:p>
      <w:pPr>
        <w:pStyle w:val="ListBullet"/>
      </w:pPr>
      <w:r>
        <w:rPr>
          <w:color w:val="212121"/>
          <w:sz w:val="21"/>
        </w:rPr>
        <w:t>Post-COVID average: 20.8 ships/month (1060 total over 51 months)</w:t>
      </w:r>
    </w:p>
    <w:p>
      <w:pPr>
        <w:pStyle w:val="ListBullet"/>
      </w:pPr>
      <w:r>
        <w:rPr>
          <w:color w:val="212121"/>
          <w:sz w:val="21"/>
        </w:rPr>
        <w:t>The post-COVID average is lower partly due to having more months of data (including monsoon months)</w:t>
      </w:r>
    </w:p>
    <w:p>
      <w:pPr>
        <w:pStyle w:val="ListBullet"/>
      </w:pPr>
      <w:r>
        <w:rPr>
          <w:color w:val="212121"/>
          <w:sz w:val="21"/>
        </w:rPr>
        <w:t>When comparing only non-monsoon months, the post-COVID recovery is more apparent</w:t>
      </w:r>
    </w:p>
    <w:p>
      <w:r>
        <w:br w:type="page"/>
      </w:r>
    </w:p>
    <w:p>
      <w:pPr>
        <w:pStyle w:val="Heading1"/>
      </w:pPr>
      <w:r>
        <w:rPr>
          <w:color w:val="0D1B2A"/>
        </w:rPr>
        <w:t>8. Quarterly Distribution</w:t>
      </w:r>
    </w:p>
    <w:p>
      <w:pPr>
        <w:spacing w:after="120"/>
      </w:pPr>
      <w:r>
        <w:rPr>
          <w:b w:val="0"/>
          <w:i w:val="0"/>
          <w:color w:val="212121"/>
          <w:sz w:val="22"/>
        </w:rPr>
        <w:t>Box plot showing the distribution of monthly ship counts by quarter.</w:t>
      </w:r>
    </w:p>
    <w:p>
      <w:pPr>
        <w:jc w:val="center"/>
      </w:pPr>
      <w:r>
        <w:drawing>
          <wp:inline xmlns:a="http://schemas.openxmlformats.org/drawingml/2006/main" xmlns:pic="http://schemas.openxmlformats.org/drawingml/2006/picture">
            <wp:extent cx="5486400" cy="3241794"/>
            <wp:docPr id="6" name="Picture 6"/>
            <wp:cNvGraphicFramePr>
              <a:graphicFrameLocks noChangeAspect="1"/>
            </wp:cNvGraphicFramePr>
            <a:graphic>
              <a:graphicData uri="http://schemas.openxmlformats.org/drawingml/2006/picture">
                <pic:pic>
                  <pic:nvPicPr>
                    <pic:cNvPr id="0" name="c6_quarterly_box.png"/>
                    <pic:cNvPicPr/>
                  </pic:nvPicPr>
                  <pic:blipFill>
                    <a:blip r:embed="rId14"/>
                    <a:stretch>
                      <a:fillRect/>
                    </a:stretch>
                  </pic:blipFill>
                  <pic:spPr>
                    <a:xfrm>
                      <a:off x="0" y="0"/>
                      <a:ext cx="5486400" cy="3241794"/>
                    </a:xfrm>
                    <a:prstGeom prst="rect"/>
                  </pic:spPr>
                </pic:pic>
              </a:graphicData>
            </a:graphic>
          </wp:inline>
        </w:drawing>
      </w:r>
    </w:p>
    <w:p>
      <w:pPr>
        <w:spacing w:after="80"/>
      </w:pPr>
      <w:r>
        <w:rPr>
          <w:b/>
          <w:i w:val="0"/>
          <w:color w:val="212121"/>
          <w:sz w:val="22"/>
        </w:rPr>
        <w:t>Key takeaways:</w:t>
      </w:r>
    </w:p>
    <w:p>
      <w:pPr>
        <w:pStyle w:val="ListBullet"/>
      </w:pPr>
      <w:r>
        <w:rPr>
          <w:color w:val="212121"/>
          <w:sz w:val="21"/>
        </w:rPr>
        <w:t>Q1 (Jan–Mar): Highest median (~28), wide range (11–75)</w:t>
      </w:r>
    </w:p>
    <w:p>
      <w:pPr>
        <w:pStyle w:val="ListBullet"/>
      </w:pPr>
      <w:r>
        <w:rPr>
          <w:color w:val="212121"/>
          <w:sz w:val="21"/>
        </w:rPr>
        <w:t>Q4 (Oct–Dec): Second highest, tightest high-activity distribution (median ~35)</w:t>
      </w:r>
    </w:p>
    <w:p>
      <w:pPr>
        <w:pStyle w:val="ListBullet"/>
      </w:pPr>
      <w:r>
        <w:rPr>
          <w:color w:val="212121"/>
          <w:sz w:val="21"/>
        </w:rPr>
        <w:t>Q2 (Apr–Jun): Low activity (median ~5), limited variance</w:t>
      </w:r>
    </w:p>
    <w:p>
      <w:pPr>
        <w:pStyle w:val="ListBullet"/>
      </w:pPr>
      <w:r>
        <w:rPr>
          <w:color w:val="212121"/>
          <w:sz w:val="21"/>
        </w:rPr>
        <w:t>Q3 (Jul–Sep): Lowest (median ~5), but with occasional outliers during September recovery</w:t>
      </w:r>
    </w:p>
    <w:p>
      <w:r>
        <w:br w:type="page"/>
      </w:r>
    </w:p>
    <w:p>
      <w:pPr>
        <w:pStyle w:val="Heading1"/>
      </w:pPr>
      <w:r>
        <w:rPr>
          <w:color w:val="0D1B2A"/>
        </w:rPr>
        <w:t>9. Satellite Image Gallery — Highest Activity Months</w:t>
      </w:r>
    </w:p>
    <w:p>
      <w:pPr>
        <w:spacing w:after="120"/>
      </w:pPr>
      <w:r>
        <w:rPr>
          <w:b w:val="0"/>
          <w:i w:val="0"/>
          <w:color w:val="212121"/>
          <w:sz w:val="22"/>
        </w:rPr>
        <w:t>Annotated satellite images from the six months with the highest ship detections. Green bounding boxes indicate detected ships with confidence scores.</w:t>
      </w:r>
    </w:p>
    <w:p>
      <w:r>
        <w:rPr>
          <w:b/>
          <w:color w:val="0D1B2A"/>
          <w:sz w:val="22"/>
        </w:rPr>
        <w:t>October 2025 — 82 ships detected</w:t>
      </w:r>
    </w:p>
    <w:p>
      <w:pPr>
        <w:jc w:val="center"/>
      </w:pPr>
      <w:r>
        <w:drawing>
          <wp:inline xmlns:a="http://schemas.openxmlformats.org/drawingml/2006/main" xmlns:pic="http://schemas.openxmlformats.org/drawingml/2006/picture">
            <wp:extent cx="5029200" cy="5404513"/>
            <wp:docPr id="7" name="Picture 7"/>
            <wp:cNvGraphicFramePr>
              <a:graphicFrameLocks noChangeAspect="1"/>
            </wp:cNvGraphicFramePr>
            <a:graphic>
              <a:graphicData uri="http://schemas.openxmlformats.org/drawingml/2006/picture">
                <pic:pic>
                  <pic:nvPicPr>
                    <pic:cNvPr id="0" name="mumbai_2025_10_annotated.png"/>
                    <pic:cNvPicPr/>
                  </pic:nvPicPr>
                  <pic:blipFill>
                    <a:blip r:embed="rId15"/>
                    <a:stretch>
                      <a:fillRect/>
                    </a:stretch>
                  </pic:blipFill>
                  <pic:spPr>
                    <a:xfrm>
                      <a:off x="0" y="0"/>
                      <a:ext cx="5029200" cy="5404513"/>
                    </a:xfrm>
                    <a:prstGeom prst="rect"/>
                  </pic:spPr>
                </pic:pic>
              </a:graphicData>
            </a:graphic>
          </wp:inline>
        </w:drawing>
      </w:r>
    </w:p>
    <w:p/>
    <w:p>
      <w:r>
        <w:rPr>
          <w:b/>
          <w:color w:val="0D1B2A"/>
          <w:sz w:val="22"/>
        </w:rPr>
        <w:t>February 2019 — 75 ships detected</w:t>
      </w:r>
    </w:p>
    <w:p>
      <w:pPr>
        <w:jc w:val="center"/>
      </w:pPr>
      <w:r>
        <w:drawing>
          <wp:inline xmlns:a="http://schemas.openxmlformats.org/drawingml/2006/main" xmlns:pic="http://schemas.openxmlformats.org/drawingml/2006/picture">
            <wp:extent cx="5029200" cy="5404513"/>
            <wp:docPr id="8" name="Picture 8"/>
            <wp:cNvGraphicFramePr>
              <a:graphicFrameLocks noChangeAspect="1"/>
            </wp:cNvGraphicFramePr>
            <a:graphic>
              <a:graphicData uri="http://schemas.openxmlformats.org/drawingml/2006/picture">
                <pic:pic>
                  <pic:nvPicPr>
                    <pic:cNvPr id="0" name="mumbai_2019_02_annotated.png"/>
                    <pic:cNvPicPr/>
                  </pic:nvPicPr>
                  <pic:blipFill>
                    <a:blip r:embed="rId16"/>
                    <a:stretch>
                      <a:fillRect/>
                    </a:stretch>
                  </pic:blipFill>
                  <pic:spPr>
                    <a:xfrm>
                      <a:off x="0" y="0"/>
                      <a:ext cx="5029200" cy="5404513"/>
                    </a:xfrm>
                    <a:prstGeom prst="rect"/>
                  </pic:spPr>
                </pic:pic>
              </a:graphicData>
            </a:graphic>
          </wp:inline>
        </w:drawing>
      </w:r>
    </w:p>
    <w:p/>
    <w:p>
      <w:r>
        <w:rPr>
          <w:b/>
          <w:color w:val="0D1B2A"/>
          <w:sz w:val="22"/>
        </w:rPr>
        <w:t>November 2019 — 67 ships detected</w:t>
      </w:r>
    </w:p>
    <w:p>
      <w:pPr>
        <w:jc w:val="center"/>
      </w:pPr>
      <w:r>
        <w:drawing>
          <wp:inline xmlns:a="http://schemas.openxmlformats.org/drawingml/2006/main" xmlns:pic="http://schemas.openxmlformats.org/drawingml/2006/picture">
            <wp:extent cx="5029200" cy="5404513"/>
            <wp:docPr id="9" name="Picture 9"/>
            <wp:cNvGraphicFramePr>
              <a:graphicFrameLocks noChangeAspect="1"/>
            </wp:cNvGraphicFramePr>
            <a:graphic>
              <a:graphicData uri="http://schemas.openxmlformats.org/drawingml/2006/picture">
                <pic:pic>
                  <pic:nvPicPr>
                    <pic:cNvPr id="0" name="mumbai_2019_11_annotated.png"/>
                    <pic:cNvPicPr/>
                  </pic:nvPicPr>
                  <pic:blipFill>
                    <a:blip r:embed="rId17"/>
                    <a:stretch>
                      <a:fillRect/>
                    </a:stretch>
                  </pic:blipFill>
                  <pic:spPr>
                    <a:xfrm>
                      <a:off x="0" y="0"/>
                      <a:ext cx="5029200" cy="5404513"/>
                    </a:xfrm>
                    <a:prstGeom prst="rect"/>
                  </pic:spPr>
                </pic:pic>
              </a:graphicData>
            </a:graphic>
          </wp:inline>
        </w:drawing>
      </w:r>
    </w:p>
    <w:p/>
    <w:p>
      <w:r>
        <w:rPr>
          <w:b/>
          <w:color w:val="0D1B2A"/>
          <w:sz w:val="22"/>
        </w:rPr>
        <w:t>October 2024 — 67 ships detected</w:t>
      </w:r>
    </w:p>
    <w:p>
      <w:pPr>
        <w:jc w:val="center"/>
      </w:pPr>
      <w:r>
        <w:drawing>
          <wp:inline xmlns:a="http://schemas.openxmlformats.org/drawingml/2006/main" xmlns:pic="http://schemas.openxmlformats.org/drawingml/2006/picture">
            <wp:extent cx="5029200" cy="4369412"/>
            <wp:docPr id="10" name="Picture 10"/>
            <wp:cNvGraphicFramePr>
              <a:graphicFrameLocks noChangeAspect="1"/>
            </wp:cNvGraphicFramePr>
            <a:graphic>
              <a:graphicData uri="http://schemas.openxmlformats.org/drawingml/2006/picture">
                <pic:pic>
                  <pic:nvPicPr>
                    <pic:cNvPr id="0" name="mumbai_2024_10_annotated.png"/>
                    <pic:cNvPicPr/>
                  </pic:nvPicPr>
                  <pic:blipFill>
                    <a:blip r:embed="rId18"/>
                    <a:stretch>
                      <a:fillRect/>
                    </a:stretch>
                  </pic:blipFill>
                  <pic:spPr>
                    <a:xfrm>
                      <a:off x="0" y="0"/>
                      <a:ext cx="5029200" cy="4369412"/>
                    </a:xfrm>
                    <a:prstGeom prst="rect"/>
                  </pic:spPr>
                </pic:pic>
              </a:graphicData>
            </a:graphic>
          </wp:inline>
        </w:drawing>
      </w:r>
    </w:p>
    <w:p/>
    <w:p>
      <w:r>
        <w:rPr>
          <w:b/>
          <w:color w:val="0D1B2A"/>
          <w:sz w:val="22"/>
        </w:rPr>
        <w:t>March 2026 — 62 ships detected</w:t>
      </w:r>
    </w:p>
    <w:p>
      <w:pPr>
        <w:jc w:val="center"/>
      </w:pPr>
      <w:r>
        <w:drawing>
          <wp:inline xmlns:a="http://schemas.openxmlformats.org/drawingml/2006/main" xmlns:pic="http://schemas.openxmlformats.org/drawingml/2006/picture">
            <wp:extent cx="5029200" cy="5404513"/>
            <wp:docPr id="11" name="Picture 11"/>
            <wp:cNvGraphicFramePr>
              <a:graphicFrameLocks noChangeAspect="1"/>
            </wp:cNvGraphicFramePr>
            <a:graphic>
              <a:graphicData uri="http://schemas.openxmlformats.org/drawingml/2006/picture">
                <pic:pic>
                  <pic:nvPicPr>
                    <pic:cNvPr id="0" name="mumbai_2026_03_annotated.png"/>
                    <pic:cNvPicPr/>
                  </pic:nvPicPr>
                  <pic:blipFill>
                    <a:blip r:embed="rId19"/>
                    <a:stretch>
                      <a:fillRect/>
                    </a:stretch>
                  </pic:blipFill>
                  <pic:spPr>
                    <a:xfrm>
                      <a:off x="0" y="0"/>
                      <a:ext cx="5029200" cy="5404513"/>
                    </a:xfrm>
                    <a:prstGeom prst="rect"/>
                  </pic:spPr>
                </pic:pic>
              </a:graphicData>
            </a:graphic>
          </wp:inline>
        </w:drawing>
      </w:r>
    </w:p>
    <w:p/>
    <w:p>
      <w:r>
        <w:rPr>
          <w:b/>
          <w:color w:val="0D1B2A"/>
          <w:sz w:val="22"/>
        </w:rPr>
        <w:t>February 2020 — 59 ships detected</w:t>
      </w:r>
    </w:p>
    <w:p>
      <w:pPr>
        <w:jc w:val="center"/>
      </w:pPr>
      <w:r>
        <w:drawing>
          <wp:inline xmlns:a="http://schemas.openxmlformats.org/drawingml/2006/main" xmlns:pic="http://schemas.openxmlformats.org/drawingml/2006/picture">
            <wp:extent cx="5029200" cy="5404513"/>
            <wp:docPr id="12" name="Picture 12"/>
            <wp:cNvGraphicFramePr>
              <a:graphicFrameLocks noChangeAspect="1"/>
            </wp:cNvGraphicFramePr>
            <a:graphic>
              <a:graphicData uri="http://schemas.openxmlformats.org/drawingml/2006/picture">
                <pic:pic>
                  <pic:nvPicPr>
                    <pic:cNvPr id="0" name="mumbai_2020_02_annotated.png"/>
                    <pic:cNvPicPr/>
                  </pic:nvPicPr>
                  <pic:blipFill>
                    <a:blip r:embed="rId20"/>
                    <a:stretch>
                      <a:fillRect/>
                    </a:stretch>
                  </pic:blipFill>
                  <pic:spPr>
                    <a:xfrm>
                      <a:off x="0" y="0"/>
                      <a:ext cx="5029200" cy="5404513"/>
                    </a:xfrm>
                    <a:prstGeom prst="rect"/>
                  </pic:spPr>
                </pic:pic>
              </a:graphicData>
            </a:graphic>
          </wp:inline>
        </w:drawing>
      </w:r>
    </w:p>
    <w:p/>
    <w:p>
      <w:r>
        <w:br w:type="page"/>
      </w:r>
    </w:p>
    <w:p>
      <w:pPr>
        <w:pStyle w:val="Heading1"/>
      </w:pPr>
      <w:r>
        <w:rPr>
          <w:color w:val="0D1B2A"/>
        </w:rPr>
        <w:t>10. Satellite Image Gallery — Peak Month Per Year</w:t>
      </w:r>
    </w:p>
    <w:p>
      <w:pPr>
        <w:spacing w:after="120"/>
      </w:pPr>
      <w:r>
        <w:rPr>
          <w:b w:val="0"/>
          <w:i w:val="0"/>
          <w:color w:val="212121"/>
          <w:sz w:val="22"/>
        </w:rPr>
        <w:t>The single highest-activity month from each year (2018–2025).</w:t>
      </w:r>
    </w:p>
    <w:p>
      <w:r>
        <w:rPr>
          <w:b/>
          <w:color w:val="0D1B2A"/>
          <w:sz w:val="22"/>
        </w:rPr>
        <w:t>September 2018 — 50 ships (peak for 2018)</w:t>
      </w:r>
    </w:p>
    <w:p>
      <w:pPr>
        <w:jc w:val="center"/>
      </w:pPr>
      <w:r>
        <w:drawing>
          <wp:inline xmlns:a="http://schemas.openxmlformats.org/drawingml/2006/main" xmlns:pic="http://schemas.openxmlformats.org/drawingml/2006/picture">
            <wp:extent cx="4572000" cy="4913194"/>
            <wp:docPr id="13" name="Picture 13"/>
            <wp:cNvGraphicFramePr>
              <a:graphicFrameLocks noChangeAspect="1"/>
            </wp:cNvGraphicFramePr>
            <a:graphic>
              <a:graphicData uri="http://schemas.openxmlformats.org/drawingml/2006/picture">
                <pic:pic>
                  <pic:nvPicPr>
                    <pic:cNvPr id="0" name="mumbai_2018_09_annotated.png"/>
                    <pic:cNvPicPr/>
                  </pic:nvPicPr>
                  <pic:blipFill>
                    <a:blip r:embed="rId21"/>
                    <a:stretch>
                      <a:fillRect/>
                    </a:stretch>
                  </pic:blipFill>
                  <pic:spPr>
                    <a:xfrm>
                      <a:off x="0" y="0"/>
                      <a:ext cx="4572000" cy="4913194"/>
                    </a:xfrm>
                    <a:prstGeom prst="rect"/>
                  </pic:spPr>
                </pic:pic>
              </a:graphicData>
            </a:graphic>
          </wp:inline>
        </w:drawing>
      </w:r>
    </w:p>
    <w:p/>
    <w:p>
      <w:r>
        <w:rPr>
          <w:b/>
          <w:color w:val="0D1B2A"/>
          <w:sz w:val="22"/>
        </w:rPr>
        <w:t>February 2019 — 75 ships (peak for 2019)</w:t>
      </w:r>
    </w:p>
    <w:p>
      <w:pPr>
        <w:jc w:val="center"/>
      </w:pPr>
      <w:r>
        <w:drawing>
          <wp:inline xmlns:a="http://schemas.openxmlformats.org/drawingml/2006/main" xmlns:pic="http://schemas.openxmlformats.org/drawingml/2006/picture">
            <wp:extent cx="4572000" cy="4913194"/>
            <wp:docPr id="14" name="Picture 14"/>
            <wp:cNvGraphicFramePr>
              <a:graphicFrameLocks noChangeAspect="1"/>
            </wp:cNvGraphicFramePr>
            <a:graphic>
              <a:graphicData uri="http://schemas.openxmlformats.org/drawingml/2006/picture">
                <pic:pic>
                  <pic:nvPicPr>
                    <pic:cNvPr id="0" name="mumbai_2019_02_annotated.png"/>
                    <pic:cNvPicPr/>
                  </pic:nvPicPr>
                  <pic:blipFill>
                    <a:blip r:embed="rId16"/>
                    <a:stretch>
                      <a:fillRect/>
                    </a:stretch>
                  </pic:blipFill>
                  <pic:spPr>
                    <a:xfrm>
                      <a:off x="0" y="0"/>
                      <a:ext cx="4572000" cy="4913194"/>
                    </a:xfrm>
                    <a:prstGeom prst="rect"/>
                  </pic:spPr>
                </pic:pic>
              </a:graphicData>
            </a:graphic>
          </wp:inline>
        </w:drawing>
      </w:r>
    </w:p>
    <w:p/>
    <w:p>
      <w:r>
        <w:rPr>
          <w:b/>
          <w:color w:val="0D1B2A"/>
          <w:sz w:val="22"/>
        </w:rPr>
        <w:t>February 2020 — 59 ships (peak for 2020)</w:t>
      </w:r>
    </w:p>
    <w:p>
      <w:pPr>
        <w:jc w:val="center"/>
      </w:pPr>
      <w:r>
        <w:drawing>
          <wp:inline xmlns:a="http://schemas.openxmlformats.org/drawingml/2006/main" xmlns:pic="http://schemas.openxmlformats.org/drawingml/2006/picture">
            <wp:extent cx="4572000" cy="4913194"/>
            <wp:docPr id="15" name="Picture 15"/>
            <wp:cNvGraphicFramePr>
              <a:graphicFrameLocks noChangeAspect="1"/>
            </wp:cNvGraphicFramePr>
            <a:graphic>
              <a:graphicData uri="http://schemas.openxmlformats.org/drawingml/2006/picture">
                <pic:pic>
                  <pic:nvPicPr>
                    <pic:cNvPr id="0" name="mumbai_2020_02_annotated.png"/>
                    <pic:cNvPicPr/>
                  </pic:nvPicPr>
                  <pic:blipFill>
                    <a:blip r:embed="rId20"/>
                    <a:stretch>
                      <a:fillRect/>
                    </a:stretch>
                  </pic:blipFill>
                  <pic:spPr>
                    <a:xfrm>
                      <a:off x="0" y="0"/>
                      <a:ext cx="4572000" cy="4913194"/>
                    </a:xfrm>
                    <a:prstGeom prst="rect"/>
                  </pic:spPr>
                </pic:pic>
              </a:graphicData>
            </a:graphic>
          </wp:inline>
        </w:drawing>
      </w:r>
    </w:p>
    <w:p/>
    <w:p>
      <w:r>
        <w:rPr>
          <w:b/>
          <w:color w:val="0D1B2A"/>
          <w:sz w:val="22"/>
        </w:rPr>
        <w:t>January 2021 — 56 ships (peak for 2021)</w:t>
      </w:r>
    </w:p>
    <w:p>
      <w:pPr>
        <w:jc w:val="center"/>
      </w:pPr>
      <w:r>
        <w:drawing>
          <wp:inline xmlns:a="http://schemas.openxmlformats.org/drawingml/2006/main" xmlns:pic="http://schemas.openxmlformats.org/drawingml/2006/picture">
            <wp:extent cx="4572000" cy="4913194"/>
            <wp:docPr id="16" name="Picture 16"/>
            <wp:cNvGraphicFramePr>
              <a:graphicFrameLocks noChangeAspect="1"/>
            </wp:cNvGraphicFramePr>
            <a:graphic>
              <a:graphicData uri="http://schemas.openxmlformats.org/drawingml/2006/picture">
                <pic:pic>
                  <pic:nvPicPr>
                    <pic:cNvPr id="0" name="mumbai_2021_01_annotated.png"/>
                    <pic:cNvPicPr/>
                  </pic:nvPicPr>
                  <pic:blipFill>
                    <a:blip r:embed="rId22"/>
                    <a:stretch>
                      <a:fillRect/>
                    </a:stretch>
                  </pic:blipFill>
                  <pic:spPr>
                    <a:xfrm>
                      <a:off x="0" y="0"/>
                      <a:ext cx="4572000" cy="4913194"/>
                    </a:xfrm>
                    <a:prstGeom prst="rect"/>
                  </pic:spPr>
                </pic:pic>
              </a:graphicData>
            </a:graphic>
          </wp:inline>
        </w:drawing>
      </w:r>
    </w:p>
    <w:p/>
    <w:p>
      <w:r>
        <w:rPr>
          <w:b/>
          <w:color w:val="0D1B2A"/>
          <w:sz w:val="22"/>
        </w:rPr>
        <w:t>October 2022 — 39 ships (peak for 2022)</w:t>
      </w:r>
    </w:p>
    <w:p>
      <w:pPr>
        <w:jc w:val="center"/>
      </w:pPr>
      <w:r>
        <w:drawing>
          <wp:inline xmlns:a="http://schemas.openxmlformats.org/drawingml/2006/main" xmlns:pic="http://schemas.openxmlformats.org/drawingml/2006/picture">
            <wp:extent cx="4572000" cy="4913194"/>
            <wp:docPr id="17" name="Picture 17"/>
            <wp:cNvGraphicFramePr>
              <a:graphicFrameLocks noChangeAspect="1"/>
            </wp:cNvGraphicFramePr>
            <a:graphic>
              <a:graphicData uri="http://schemas.openxmlformats.org/drawingml/2006/picture">
                <pic:pic>
                  <pic:nvPicPr>
                    <pic:cNvPr id="0" name="mumbai_2022_10_annotated.png"/>
                    <pic:cNvPicPr/>
                  </pic:nvPicPr>
                  <pic:blipFill>
                    <a:blip r:embed="rId23"/>
                    <a:stretch>
                      <a:fillRect/>
                    </a:stretch>
                  </pic:blipFill>
                  <pic:spPr>
                    <a:xfrm>
                      <a:off x="0" y="0"/>
                      <a:ext cx="4572000" cy="4913194"/>
                    </a:xfrm>
                    <a:prstGeom prst="rect"/>
                  </pic:spPr>
                </pic:pic>
              </a:graphicData>
            </a:graphic>
          </wp:inline>
        </w:drawing>
      </w:r>
    </w:p>
    <w:p/>
    <w:p>
      <w:r>
        <w:rPr>
          <w:b/>
          <w:color w:val="0D1B2A"/>
          <w:sz w:val="22"/>
        </w:rPr>
        <w:t>October 2023 — 41 ships (peak for 2023)</w:t>
      </w:r>
    </w:p>
    <w:p>
      <w:pPr>
        <w:jc w:val="center"/>
      </w:pPr>
      <w:r>
        <w:drawing>
          <wp:inline xmlns:a="http://schemas.openxmlformats.org/drawingml/2006/main" xmlns:pic="http://schemas.openxmlformats.org/drawingml/2006/picture">
            <wp:extent cx="4572000" cy="3972193"/>
            <wp:docPr id="18" name="Picture 18"/>
            <wp:cNvGraphicFramePr>
              <a:graphicFrameLocks noChangeAspect="1"/>
            </wp:cNvGraphicFramePr>
            <a:graphic>
              <a:graphicData uri="http://schemas.openxmlformats.org/drawingml/2006/picture">
                <pic:pic>
                  <pic:nvPicPr>
                    <pic:cNvPr id="0" name="mumbai_2023_10_annotated.png"/>
                    <pic:cNvPicPr/>
                  </pic:nvPicPr>
                  <pic:blipFill>
                    <a:blip r:embed="rId24"/>
                    <a:stretch>
                      <a:fillRect/>
                    </a:stretch>
                  </pic:blipFill>
                  <pic:spPr>
                    <a:xfrm>
                      <a:off x="0" y="0"/>
                      <a:ext cx="4572000" cy="3972193"/>
                    </a:xfrm>
                    <a:prstGeom prst="rect"/>
                  </pic:spPr>
                </pic:pic>
              </a:graphicData>
            </a:graphic>
          </wp:inline>
        </w:drawing>
      </w:r>
    </w:p>
    <w:p/>
    <w:p>
      <w:r>
        <w:rPr>
          <w:b/>
          <w:color w:val="0D1B2A"/>
          <w:sz w:val="22"/>
        </w:rPr>
        <w:t>October 2024 — 67 ships (peak for 2024)</w:t>
      </w:r>
    </w:p>
    <w:p>
      <w:pPr>
        <w:jc w:val="center"/>
      </w:pPr>
      <w:r>
        <w:drawing>
          <wp:inline xmlns:a="http://schemas.openxmlformats.org/drawingml/2006/main" xmlns:pic="http://schemas.openxmlformats.org/drawingml/2006/picture">
            <wp:extent cx="4572000" cy="3972193"/>
            <wp:docPr id="19" name="Picture 19"/>
            <wp:cNvGraphicFramePr>
              <a:graphicFrameLocks noChangeAspect="1"/>
            </wp:cNvGraphicFramePr>
            <a:graphic>
              <a:graphicData uri="http://schemas.openxmlformats.org/drawingml/2006/picture">
                <pic:pic>
                  <pic:nvPicPr>
                    <pic:cNvPr id="0" name="mumbai_2024_10_annotated.png"/>
                    <pic:cNvPicPr/>
                  </pic:nvPicPr>
                  <pic:blipFill>
                    <a:blip r:embed="rId18"/>
                    <a:stretch>
                      <a:fillRect/>
                    </a:stretch>
                  </pic:blipFill>
                  <pic:spPr>
                    <a:xfrm>
                      <a:off x="0" y="0"/>
                      <a:ext cx="4572000" cy="3972193"/>
                    </a:xfrm>
                    <a:prstGeom prst="rect"/>
                  </pic:spPr>
                </pic:pic>
              </a:graphicData>
            </a:graphic>
          </wp:inline>
        </w:drawing>
      </w:r>
    </w:p>
    <w:p/>
    <w:p>
      <w:r>
        <w:rPr>
          <w:b/>
          <w:color w:val="0D1B2A"/>
          <w:sz w:val="22"/>
        </w:rPr>
        <w:t>October 2025 — 82 ships (peak for 2025)</w:t>
      </w:r>
    </w:p>
    <w:p>
      <w:pPr>
        <w:jc w:val="center"/>
      </w:pPr>
      <w:r>
        <w:drawing>
          <wp:inline xmlns:a="http://schemas.openxmlformats.org/drawingml/2006/main" xmlns:pic="http://schemas.openxmlformats.org/drawingml/2006/picture">
            <wp:extent cx="4572000" cy="4913194"/>
            <wp:docPr id="20" name="Picture 20"/>
            <wp:cNvGraphicFramePr>
              <a:graphicFrameLocks noChangeAspect="1"/>
            </wp:cNvGraphicFramePr>
            <a:graphic>
              <a:graphicData uri="http://schemas.openxmlformats.org/drawingml/2006/picture">
                <pic:pic>
                  <pic:nvPicPr>
                    <pic:cNvPr id="0" name="mumbai_2025_10_annotated.png"/>
                    <pic:cNvPicPr/>
                  </pic:nvPicPr>
                  <pic:blipFill>
                    <a:blip r:embed="rId15"/>
                    <a:stretch>
                      <a:fillRect/>
                    </a:stretch>
                  </pic:blipFill>
                  <pic:spPr>
                    <a:xfrm>
                      <a:off x="0" y="0"/>
                      <a:ext cx="4572000" cy="4913194"/>
                    </a:xfrm>
                    <a:prstGeom prst="rect"/>
                  </pic:spPr>
                </pic:pic>
              </a:graphicData>
            </a:graphic>
          </wp:inline>
        </w:drawing>
      </w:r>
    </w:p>
    <w:p/>
    <w:p>
      <w:r>
        <w:br w:type="page"/>
      </w:r>
    </w:p>
    <w:p>
      <w:pPr>
        <w:pStyle w:val="Heading1"/>
      </w:pPr>
      <w:r>
        <w:rPr>
          <w:color w:val="0D1B2A"/>
        </w:rPr>
        <w:t>11. Statistical Summary</w:t>
      </w:r>
    </w:p>
    <w:p>
      <w:pPr>
        <w:spacing w:after="80"/>
      </w:pPr>
      <w:r>
        <w:rPr>
          <w:b/>
          <w:i w:val="0"/>
          <w:color w:val="212121"/>
          <w:sz w:val="24"/>
        </w:rPr>
        <w:t>DESCRIPTIVE STATISTICS</w:t>
      </w:r>
    </w:p>
    <w:tbl>
      <w:tblPr>
        <w:tblW w:type="auto" w:w="0"/>
        <w:jc w:val="center"/>
        <w:tblLook w:firstColumn="1" w:firstRow="1" w:lastColumn="0" w:lastRow="0" w:noHBand="0" w:noVBand="1" w:val="04A0"/>
      </w:tblPr>
      <w:tblGrid>
        <w:gridCol w:w="4986"/>
        <w:gridCol w:w="4986"/>
      </w:tblGrid>
      <w:tr>
        <w:tc>
          <w:tcPr>
            <w:tcW w:type="dxa" w:w="4986"/>
            <w:shd w:fill="E3F2FD"/>
          </w:tcPr>
          <w:p>
            <w:r>
              <w:rPr>
                <w:b/>
                <w:sz w:val="20"/>
              </w:rPr>
              <w:t>Total observations</w:t>
            </w:r>
          </w:p>
        </w:tc>
        <w:tc>
          <w:tcPr>
            <w:tcW w:type="dxa" w:w="4986"/>
          </w:tcPr>
          <w:p>
            <w:r>
              <w:rPr>
                <w:sz w:val="20"/>
              </w:rPr>
              <w:t>98 months</w:t>
            </w:r>
          </w:p>
        </w:tc>
      </w:tr>
      <w:tr>
        <w:tc>
          <w:tcPr>
            <w:tcW w:type="dxa" w:w="4986"/>
            <w:shd w:fill="E3F2FD"/>
          </w:tcPr>
          <w:p>
            <w:r>
              <w:rPr>
                <w:b/>
                <w:sz w:val="20"/>
              </w:rPr>
              <w:t>Date range</w:t>
            </w:r>
          </w:p>
        </w:tc>
        <w:tc>
          <w:tcPr>
            <w:tcW w:type="dxa" w:w="4986"/>
          </w:tcPr>
          <w:p>
            <w:r>
              <w:rPr>
                <w:sz w:val="20"/>
              </w:rPr>
              <w:t>January 2018 – March 2026</w:t>
            </w:r>
          </w:p>
        </w:tc>
      </w:tr>
      <w:tr>
        <w:tc>
          <w:tcPr>
            <w:tcW w:type="dxa" w:w="4986"/>
            <w:shd w:fill="E3F2FD"/>
          </w:tcPr>
          <w:p>
            <w:r>
              <w:rPr>
                <w:b/>
                <w:sz w:val="20"/>
              </w:rPr>
              <w:t>Total ships detected</w:t>
            </w:r>
          </w:p>
        </w:tc>
        <w:tc>
          <w:tcPr>
            <w:tcW w:type="dxa" w:w="4986"/>
          </w:tcPr>
          <w:p>
            <w:r>
              <w:rPr>
                <w:sz w:val="20"/>
              </w:rPr>
              <w:t>2168</w:t>
            </w:r>
          </w:p>
        </w:tc>
      </w:tr>
      <w:tr>
        <w:tc>
          <w:tcPr>
            <w:tcW w:type="dxa" w:w="4986"/>
            <w:shd w:fill="E3F2FD"/>
          </w:tcPr>
          <w:p>
            <w:r>
              <w:rPr>
                <w:b/>
                <w:sz w:val="20"/>
              </w:rPr>
              <w:t>Mean ships/month</w:t>
            </w:r>
          </w:p>
        </w:tc>
        <w:tc>
          <w:tcPr>
            <w:tcW w:type="dxa" w:w="4986"/>
          </w:tcPr>
          <w:p>
            <w:r>
              <w:rPr>
                <w:sz w:val="20"/>
              </w:rPr>
              <w:t>22.1</w:t>
            </w:r>
          </w:p>
        </w:tc>
      </w:tr>
      <w:tr>
        <w:tc>
          <w:tcPr>
            <w:tcW w:type="dxa" w:w="4986"/>
            <w:shd w:fill="E3F2FD"/>
          </w:tcPr>
          <w:p>
            <w:r>
              <w:rPr>
                <w:b/>
                <w:sz w:val="20"/>
              </w:rPr>
              <w:t>Median ships/month</w:t>
            </w:r>
          </w:p>
        </w:tc>
        <w:tc>
          <w:tcPr>
            <w:tcW w:type="dxa" w:w="4986"/>
          </w:tcPr>
          <w:p>
            <w:r>
              <w:rPr>
                <w:sz w:val="20"/>
              </w:rPr>
              <w:t>18</w:t>
            </w:r>
          </w:p>
        </w:tc>
      </w:tr>
      <w:tr>
        <w:tc>
          <w:tcPr>
            <w:tcW w:type="dxa" w:w="4986"/>
            <w:shd w:fill="E3F2FD"/>
          </w:tcPr>
          <w:p>
            <w:r>
              <w:rPr>
                <w:b/>
                <w:sz w:val="20"/>
              </w:rPr>
              <w:t>Standard deviation</w:t>
            </w:r>
          </w:p>
        </w:tc>
        <w:tc>
          <w:tcPr>
            <w:tcW w:type="dxa" w:w="4986"/>
          </w:tcPr>
          <w:p>
            <w:r>
              <w:rPr>
                <w:sz w:val="20"/>
              </w:rPr>
              <w:t>19.4</w:t>
            </w:r>
          </w:p>
        </w:tc>
      </w:tr>
      <w:tr>
        <w:tc>
          <w:tcPr>
            <w:tcW w:type="dxa" w:w="4986"/>
            <w:shd w:fill="E3F2FD"/>
          </w:tcPr>
          <w:p>
            <w:r>
              <w:rPr>
                <w:b/>
                <w:sz w:val="20"/>
              </w:rPr>
              <w:t>Coefficient of variation</w:t>
            </w:r>
          </w:p>
        </w:tc>
        <w:tc>
          <w:tcPr>
            <w:tcW w:type="dxa" w:w="4986"/>
          </w:tcPr>
          <w:p>
            <w:r>
              <w:rPr>
                <w:sz w:val="20"/>
              </w:rPr>
              <w:t>87.5%</w:t>
            </w:r>
          </w:p>
        </w:tc>
      </w:tr>
      <w:tr>
        <w:tc>
          <w:tcPr>
            <w:tcW w:type="dxa" w:w="4986"/>
            <w:shd w:fill="E3F2FD"/>
          </w:tcPr>
          <w:p>
            <w:r>
              <w:rPr>
                <w:b/>
                <w:sz w:val="20"/>
              </w:rPr>
              <w:t>Minimum</w:t>
            </w:r>
          </w:p>
        </w:tc>
        <w:tc>
          <w:tcPr>
            <w:tcW w:type="dxa" w:w="4986"/>
          </w:tcPr>
          <w:p>
            <w:r>
              <w:rPr>
                <w:sz w:val="20"/>
              </w:rPr>
              <w:t>0 (August 2019)</w:t>
            </w:r>
          </w:p>
        </w:tc>
      </w:tr>
      <w:tr>
        <w:tc>
          <w:tcPr>
            <w:tcW w:type="dxa" w:w="4986"/>
            <w:shd w:fill="E3F2FD"/>
          </w:tcPr>
          <w:p>
            <w:r>
              <w:rPr>
                <w:b/>
                <w:sz w:val="20"/>
              </w:rPr>
              <w:t>Maximum</w:t>
            </w:r>
          </w:p>
        </w:tc>
        <w:tc>
          <w:tcPr>
            <w:tcW w:type="dxa" w:w="4986"/>
          </w:tcPr>
          <w:p>
            <w:r>
              <w:rPr>
                <w:sz w:val="20"/>
              </w:rPr>
              <w:t>82 (October 2025)</w:t>
            </w:r>
          </w:p>
        </w:tc>
      </w:tr>
      <w:tr>
        <w:tc>
          <w:tcPr>
            <w:tcW w:type="dxa" w:w="4986"/>
            <w:shd w:fill="E3F2FD"/>
          </w:tcPr>
          <w:p>
            <w:r>
              <w:rPr>
                <w:b/>
                <w:sz w:val="20"/>
              </w:rPr>
              <w:t>Skewness</w:t>
            </w:r>
          </w:p>
        </w:tc>
        <w:tc>
          <w:tcPr>
            <w:tcW w:type="dxa" w:w="4986"/>
          </w:tcPr>
          <w:p>
            <w:r>
              <w:rPr>
                <w:sz w:val="20"/>
              </w:rPr>
              <w:t>0.94</w:t>
            </w:r>
          </w:p>
        </w:tc>
      </w:tr>
      <w:tr>
        <w:tc>
          <w:tcPr>
            <w:tcW w:type="dxa" w:w="4986"/>
            <w:shd w:fill="E3F2FD"/>
          </w:tcPr>
          <w:p>
            <w:r>
              <w:rPr>
                <w:b/>
                <w:sz w:val="20"/>
              </w:rPr>
              <w:t>Kurtosis</w:t>
            </w:r>
          </w:p>
        </w:tc>
        <w:tc>
          <w:tcPr>
            <w:tcW w:type="dxa" w:w="4986"/>
          </w:tcPr>
          <w:p>
            <w:r>
              <w:rPr>
                <w:sz w:val="20"/>
              </w:rPr>
              <w:t>0.36</w:t>
            </w:r>
          </w:p>
        </w:tc>
      </w:tr>
      <w:tr>
        <w:tc>
          <w:tcPr>
            <w:tcW w:type="dxa" w:w="4986"/>
            <w:shd w:fill="E3F2FD"/>
          </w:tcPr>
          <w:p>
            <w:r>
              <w:rPr>
                <w:b/>
                <w:sz w:val="20"/>
              </w:rPr>
              <w:t>Linear trend</w:t>
            </w:r>
          </w:p>
        </w:tc>
        <w:tc>
          <w:tcPr>
            <w:tcW w:type="dxa" w:w="4986"/>
          </w:tcPr>
          <w:p>
            <w:r>
              <w:rPr>
                <w:sz w:val="20"/>
              </w:rPr>
              <w:t>-0.015 ships/month (R²=0.001, p=0.8266)</w:t>
            </w:r>
          </w:p>
        </w:tc>
      </w:tr>
    </w:tbl>
    <w:p/>
    <w:p>
      <w:pPr>
        <w:spacing w:after="80"/>
      </w:pPr>
      <w:r>
        <w:rPr>
          <w:b/>
          <w:i w:val="0"/>
          <w:color w:val="212121"/>
          <w:sz w:val="24"/>
        </w:rPr>
        <w:t>YEARLY BREAKDOWN</w:t>
      </w:r>
    </w:p>
    <w:tbl>
      <w:tblPr>
        <w:tblW w:type="auto" w:w="0"/>
        <w:jc w:val="center"/>
        <w:tblLook w:firstColumn="1" w:firstRow="1" w:lastColumn="0" w:lastRow="0" w:noHBand="0" w:noVBand="1" w:val="04A0"/>
      </w:tblPr>
      <w:tblGrid>
        <w:gridCol w:w="1994"/>
        <w:gridCol w:w="1994"/>
        <w:gridCol w:w="1994"/>
        <w:gridCol w:w="1994"/>
        <w:gridCol w:w="1994"/>
      </w:tblGrid>
      <w:tr>
        <w:tc>
          <w:tcPr>
            <w:tcW w:type="dxa" w:w="1994"/>
            <w:shd w:fill="0D1B2A"/>
          </w:tcPr>
          <w:p>
            <w:r>
              <w:rPr>
                <w:b/>
                <w:color w:val="FFFFFF"/>
                <w:sz w:val="18"/>
              </w:rPr>
              <w:t>Year</w:t>
            </w:r>
          </w:p>
        </w:tc>
        <w:tc>
          <w:tcPr>
            <w:tcW w:type="dxa" w:w="1994"/>
            <w:shd w:fill="0D1B2A"/>
          </w:tcPr>
          <w:p>
            <w:r>
              <w:rPr>
                <w:b/>
                <w:color w:val="FFFFFF"/>
                <w:sz w:val="18"/>
              </w:rPr>
              <w:t>Ships</w:t>
            </w:r>
          </w:p>
        </w:tc>
        <w:tc>
          <w:tcPr>
            <w:tcW w:type="dxa" w:w="1994"/>
            <w:shd w:fill="0D1B2A"/>
          </w:tcPr>
          <w:p>
            <w:r>
              <w:rPr>
                <w:b/>
                <w:color w:val="FFFFFF"/>
                <w:sz w:val="18"/>
              </w:rPr>
              <w:t>Months</w:t>
            </w:r>
          </w:p>
        </w:tc>
        <w:tc>
          <w:tcPr>
            <w:tcW w:type="dxa" w:w="1994"/>
            <w:shd w:fill="0D1B2A"/>
          </w:tcPr>
          <w:p>
            <w:r>
              <w:rPr>
                <w:b/>
                <w:color w:val="FFFFFF"/>
                <w:sz w:val="18"/>
              </w:rPr>
              <w:t>Avg/Mo</w:t>
            </w:r>
          </w:p>
        </w:tc>
        <w:tc>
          <w:tcPr>
            <w:tcW w:type="dxa" w:w="1994"/>
            <w:shd w:fill="0D1B2A"/>
          </w:tcPr>
          <w:p>
            <w:r>
              <w:rPr>
                <w:b/>
                <w:color w:val="FFFFFF"/>
                <w:sz w:val="18"/>
              </w:rPr>
              <w:t>Notes</w:t>
            </w:r>
          </w:p>
        </w:tc>
      </w:tr>
      <w:tr>
        <w:tc>
          <w:tcPr>
            <w:tcW w:type="dxa" w:w="1994"/>
          </w:tcPr>
          <w:p>
            <w:r>
              <w:rPr>
                <w:sz w:val="18"/>
              </w:rPr>
              <w:t>2018</w:t>
            </w:r>
          </w:p>
        </w:tc>
        <w:tc>
          <w:tcPr>
            <w:tcW w:type="dxa" w:w="1994"/>
          </w:tcPr>
          <w:p>
            <w:r>
              <w:rPr>
                <w:sz w:val="18"/>
              </w:rPr>
              <w:t>264</w:t>
            </w:r>
          </w:p>
        </w:tc>
        <w:tc>
          <w:tcPr>
            <w:tcW w:type="dxa" w:w="1994"/>
          </w:tcPr>
          <w:p>
            <w:r>
              <w:rPr>
                <w:sz w:val="18"/>
              </w:rPr>
              <w:t>11</w:t>
            </w:r>
          </w:p>
        </w:tc>
        <w:tc>
          <w:tcPr>
            <w:tcW w:type="dxa" w:w="1994"/>
          </w:tcPr>
          <w:p>
            <w:r>
              <w:rPr>
                <w:sz w:val="18"/>
              </w:rPr>
              <w:t>24.0</w:t>
            </w:r>
          </w:p>
        </w:tc>
        <w:tc>
          <w:tcPr>
            <w:tcW w:type="dxa" w:w="1994"/>
          </w:tcPr>
          <w:p>
            <w:r>
              <w:rPr>
                <w:sz w:val="18"/>
              </w:rPr>
            </w:r>
          </w:p>
        </w:tc>
      </w:tr>
      <w:tr>
        <w:tc>
          <w:tcPr>
            <w:tcW w:type="dxa" w:w="1994"/>
            <w:shd w:fill="F5F5F5"/>
          </w:tcPr>
          <w:p>
            <w:r>
              <w:rPr>
                <w:sz w:val="18"/>
              </w:rPr>
              <w:t>2019</w:t>
            </w:r>
          </w:p>
        </w:tc>
        <w:tc>
          <w:tcPr>
            <w:tcW w:type="dxa" w:w="1994"/>
            <w:shd w:fill="F5F5F5"/>
          </w:tcPr>
          <w:p>
            <w:r>
              <w:rPr>
                <w:sz w:val="18"/>
              </w:rPr>
              <w:t>303</w:t>
            </w:r>
          </w:p>
        </w:tc>
        <w:tc>
          <w:tcPr>
            <w:tcW w:type="dxa" w:w="1994"/>
            <w:shd w:fill="F5F5F5"/>
          </w:tcPr>
          <w:p>
            <w:r>
              <w:rPr>
                <w:sz w:val="18"/>
              </w:rPr>
              <w:t>12</w:t>
            </w:r>
          </w:p>
        </w:tc>
        <w:tc>
          <w:tcPr>
            <w:tcW w:type="dxa" w:w="1994"/>
            <w:shd w:fill="F5F5F5"/>
          </w:tcPr>
          <w:p>
            <w:r>
              <w:rPr>
                <w:sz w:val="18"/>
              </w:rPr>
              <w:t>25.2</w:t>
            </w:r>
          </w:p>
        </w:tc>
        <w:tc>
          <w:tcPr>
            <w:tcW w:type="dxa" w:w="1994"/>
            <w:shd w:fill="F5F5F5"/>
          </w:tcPr>
          <w:p>
            <w:r>
              <w:rPr>
                <w:sz w:val="18"/>
              </w:rPr>
            </w:r>
          </w:p>
        </w:tc>
      </w:tr>
      <w:tr>
        <w:tc>
          <w:tcPr>
            <w:tcW w:type="dxa" w:w="1994"/>
          </w:tcPr>
          <w:p>
            <w:r>
              <w:rPr>
                <w:sz w:val="18"/>
              </w:rPr>
              <w:t>2020</w:t>
            </w:r>
          </w:p>
        </w:tc>
        <w:tc>
          <w:tcPr>
            <w:tcW w:type="dxa" w:w="1994"/>
          </w:tcPr>
          <w:p>
            <w:r>
              <w:rPr>
                <w:sz w:val="18"/>
              </w:rPr>
              <w:t>313</w:t>
            </w:r>
          </w:p>
        </w:tc>
        <w:tc>
          <w:tcPr>
            <w:tcW w:type="dxa" w:w="1994"/>
          </w:tcPr>
          <w:p>
            <w:r>
              <w:rPr>
                <w:sz w:val="18"/>
              </w:rPr>
              <w:t>12</w:t>
            </w:r>
          </w:p>
        </w:tc>
        <w:tc>
          <w:tcPr>
            <w:tcW w:type="dxa" w:w="1994"/>
          </w:tcPr>
          <w:p>
            <w:r>
              <w:rPr>
                <w:sz w:val="18"/>
              </w:rPr>
              <w:t>26.1</w:t>
            </w:r>
          </w:p>
        </w:tc>
        <w:tc>
          <w:tcPr>
            <w:tcW w:type="dxa" w:w="1994"/>
          </w:tcPr>
          <w:p>
            <w:r>
              <w:rPr>
                <w:sz w:val="18"/>
              </w:rPr>
              <w:t>COVID-19 year</w:t>
            </w:r>
          </w:p>
        </w:tc>
      </w:tr>
      <w:tr>
        <w:tc>
          <w:tcPr>
            <w:tcW w:type="dxa" w:w="1994"/>
            <w:shd w:fill="F5F5F5"/>
          </w:tcPr>
          <w:p>
            <w:r>
              <w:rPr>
                <w:sz w:val="18"/>
              </w:rPr>
              <w:t>2021</w:t>
            </w:r>
          </w:p>
        </w:tc>
        <w:tc>
          <w:tcPr>
            <w:tcW w:type="dxa" w:w="1994"/>
            <w:shd w:fill="F5F5F5"/>
          </w:tcPr>
          <w:p>
            <w:r>
              <w:rPr>
                <w:sz w:val="18"/>
              </w:rPr>
              <w:t>228</w:t>
            </w:r>
          </w:p>
        </w:tc>
        <w:tc>
          <w:tcPr>
            <w:tcW w:type="dxa" w:w="1994"/>
            <w:shd w:fill="F5F5F5"/>
          </w:tcPr>
          <w:p>
            <w:r>
              <w:rPr>
                <w:sz w:val="18"/>
              </w:rPr>
              <w:t>12</w:t>
            </w:r>
          </w:p>
        </w:tc>
        <w:tc>
          <w:tcPr>
            <w:tcW w:type="dxa" w:w="1994"/>
            <w:shd w:fill="F5F5F5"/>
          </w:tcPr>
          <w:p>
            <w:r>
              <w:rPr>
                <w:sz w:val="18"/>
              </w:rPr>
              <w:t>19.0</w:t>
            </w:r>
          </w:p>
        </w:tc>
        <w:tc>
          <w:tcPr>
            <w:tcW w:type="dxa" w:w="1994"/>
            <w:shd w:fill="F5F5F5"/>
          </w:tcPr>
          <w:p>
            <w:r>
              <w:rPr>
                <w:sz w:val="18"/>
              </w:rPr>
              <w:t>Delayed impact (−27%)</w:t>
            </w:r>
          </w:p>
        </w:tc>
      </w:tr>
      <w:tr>
        <w:tc>
          <w:tcPr>
            <w:tcW w:type="dxa" w:w="1994"/>
          </w:tcPr>
          <w:p>
            <w:r>
              <w:rPr>
                <w:sz w:val="18"/>
              </w:rPr>
              <w:t>2022</w:t>
            </w:r>
          </w:p>
        </w:tc>
        <w:tc>
          <w:tcPr>
            <w:tcW w:type="dxa" w:w="1994"/>
          </w:tcPr>
          <w:p>
            <w:r>
              <w:rPr>
                <w:sz w:val="18"/>
              </w:rPr>
              <w:t>211</w:t>
            </w:r>
          </w:p>
        </w:tc>
        <w:tc>
          <w:tcPr>
            <w:tcW w:type="dxa" w:w="1994"/>
          </w:tcPr>
          <w:p>
            <w:r>
              <w:rPr>
                <w:sz w:val="18"/>
              </w:rPr>
              <w:t>12</w:t>
            </w:r>
          </w:p>
        </w:tc>
        <w:tc>
          <w:tcPr>
            <w:tcW w:type="dxa" w:w="1994"/>
          </w:tcPr>
          <w:p>
            <w:r>
              <w:rPr>
                <w:sz w:val="18"/>
              </w:rPr>
              <w:t>17.6</w:t>
            </w:r>
          </w:p>
        </w:tc>
        <w:tc>
          <w:tcPr>
            <w:tcW w:type="dxa" w:w="1994"/>
          </w:tcPr>
          <w:p>
            <w:r>
              <w:rPr>
                <w:sz w:val="18"/>
              </w:rPr>
            </w:r>
          </w:p>
        </w:tc>
      </w:tr>
      <w:tr>
        <w:tc>
          <w:tcPr>
            <w:tcW w:type="dxa" w:w="1994"/>
            <w:shd w:fill="F5F5F5"/>
          </w:tcPr>
          <w:p>
            <w:r>
              <w:rPr>
                <w:sz w:val="18"/>
              </w:rPr>
              <w:t>2023</w:t>
            </w:r>
          </w:p>
        </w:tc>
        <w:tc>
          <w:tcPr>
            <w:tcW w:type="dxa" w:w="1994"/>
            <w:shd w:fill="F5F5F5"/>
          </w:tcPr>
          <w:p>
            <w:r>
              <w:rPr>
                <w:sz w:val="18"/>
              </w:rPr>
              <w:t>229</w:t>
            </w:r>
          </w:p>
        </w:tc>
        <w:tc>
          <w:tcPr>
            <w:tcW w:type="dxa" w:w="1994"/>
            <w:shd w:fill="F5F5F5"/>
          </w:tcPr>
          <w:p>
            <w:r>
              <w:rPr>
                <w:sz w:val="18"/>
              </w:rPr>
              <w:t>12</w:t>
            </w:r>
          </w:p>
        </w:tc>
        <w:tc>
          <w:tcPr>
            <w:tcW w:type="dxa" w:w="1994"/>
            <w:shd w:fill="F5F5F5"/>
          </w:tcPr>
          <w:p>
            <w:r>
              <w:rPr>
                <w:sz w:val="18"/>
              </w:rPr>
              <w:t>19.1</w:t>
            </w:r>
          </w:p>
        </w:tc>
        <w:tc>
          <w:tcPr>
            <w:tcW w:type="dxa" w:w="1994"/>
            <w:shd w:fill="F5F5F5"/>
          </w:tcPr>
          <w:p>
            <w:r>
              <w:rPr>
                <w:sz w:val="18"/>
              </w:rPr>
            </w:r>
          </w:p>
        </w:tc>
      </w:tr>
      <w:tr>
        <w:tc>
          <w:tcPr>
            <w:tcW w:type="dxa" w:w="1994"/>
          </w:tcPr>
          <w:p>
            <w:r>
              <w:rPr>
                <w:sz w:val="18"/>
              </w:rPr>
              <w:t>2024</w:t>
            </w:r>
          </w:p>
        </w:tc>
        <w:tc>
          <w:tcPr>
            <w:tcW w:type="dxa" w:w="1994"/>
          </w:tcPr>
          <w:p>
            <w:r>
              <w:rPr>
                <w:sz w:val="18"/>
              </w:rPr>
              <w:t>230</w:t>
            </w:r>
          </w:p>
        </w:tc>
        <w:tc>
          <w:tcPr>
            <w:tcW w:type="dxa" w:w="1994"/>
          </w:tcPr>
          <w:p>
            <w:r>
              <w:rPr>
                <w:sz w:val="18"/>
              </w:rPr>
              <w:t>12</w:t>
            </w:r>
          </w:p>
        </w:tc>
        <w:tc>
          <w:tcPr>
            <w:tcW w:type="dxa" w:w="1994"/>
          </w:tcPr>
          <w:p>
            <w:r>
              <w:rPr>
                <w:sz w:val="18"/>
              </w:rPr>
              <w:t>19.2</w:t>
            </w:r>
          </w:p>
        </w:tc>
        <w:tc>
          <w:tcPr>
            <w:tcW w:type="dxa" w:w="1994"/>
          </w:tcPr>
          <w:p>
            <w:r>
              <w:rPr>
                <w:sz w:val="18"/>
              </w:rPr>
            </w:r>
          </w:p>
        </w:tc>
      </w:tr>
      <w:tr>
        <w:tc>
          <w:tcPr>
            <w:tcW w:type="dxa" w:w="1994"/>
            <w:shd w:fill="F5F5F5"/>
          </w:tcPr>
          <w:p>
            <w:r>
              <w:rPr>
                <w:sz w:val="18"/>
              </w:rPr>
              <w:t>2025</w:t>
            </w:r>
          </w:p>
        </w:tc>
        <w:tc>
          <w:tcPr>
            <w:tcW w:type="dxa" w:w="1994"/>
            <w:shd w:fill="F5F5F5"/>
          </w:tcPr>
          <w:p>
            <w:r>
              <w:rPr>
                <w:sz w:val="18"/>
              </w:rPr>
              <w:t>255</w:t>
            </w:r>
          </w:p>
        </w:tc>
        <w:tc>
          <w:tcPr>
            <w:tcW w:type="dxa" w:w="1994"/>
            <w:shd w:fill="F5F5F5"/>
          </w:tcPr>
          <w:p>
            <w:r>
              <w:rPr>
                <w:sz w:val="18"/>
              </w:rPr>
              <w:t>12</w:t>
            </w:r>
          </w:p>
        </w:tc>
        <w:tc>
          <w:tcPr>
            <w:tcW w:type="dxa" w:w="1994"/>
            <w:shd w:fill="F5F5F5"/>
          </w:tcPr>
          <w:p>
            <w:r>
              <w:rPr>
                <w:sz w:val="18"/>
              </w:rPr>
              <w:t>21.2</w:t>
            </w:r>
          </w:p>
        </w:tc>
        <w:tc>
          <w:tcPr>
            <w:tcW w:type="dxa" w:w="1994"/>
            <w:shd w:fill="F5F5F5"/>
          </w:tcPr>
          <w:p>
            <w:r>
              <w:rPr>
                <w:sz w:val="18"/>
              </w:rPr>
              <w:t>Strongest avg</w:t>
            </w:r>
          </w:p>
        </w:tc>
      </w:tr>
      <w:tr>
        <w:tc>
          <w:tcPr>
            <w:tcW w:type="dxa" w:w="1994"/>
          </w:tcPr>
          <w:p>
            <w:r>
              <w:rPr>
                <w:sz w:val="18"/>
              </w:rPr>
              <w:t>2026</w:t>
            </w:r>
          </w:p>
        </w:tc>
        <w:tc>
          <w:tcPr>
            <w:tcW w:type="dxa" w:w="1994"/>
          </w:tcPr>
          <w:p>
            <w:r>
              <w:rPr>
                <w:sz w:val="18"/>
              </w:rPr>
              <w:t>135</w:t>
            </w:r>
          </w:p>
        </w:tc>
        <w:tc>
          <w:tcPr>
            <w:tcW w:type="dxa" w:w="1994"/>
          </w:tcPr>
          <w:p>
            <w:r>
              <w:rPr>
                <w:sz w:val="18"/>
              </w:rPr>
              <w:t>3</w:t>
            </w:r>
          </w:p>
        </w:tc>
        <w:tc>
          <w:tcPr>
            <w:tcW w:type="dxa" w:w="1994"/>
          </w:tcPr>
          <w:p>
            <w:r>
              <w:rPr>
                <w:sz w:val="18"/>
              </w:rPr>
              <w:t>45.0</w:t>
            </w:r>
          </w:p>
        </w:tc>
        <w:tc>
          <w:tcPr>
            <w:tcW w:type="dxa" w:w="1994"/>
          </w:tcPr>
          <w:p>
            <w:r>
              <w:rPr>
                <w:sz w:val="18"/>
              </w:rPr>
              <w:t>Partial (Jan–Mar)</w:t>
            </w:r>
          </w:p>
        </w:tc>
      </w:tr>
    </w:tbl>
    <w:p>
      <w:r>
        <w:br w:type="page"/>
      </w:r>
    </w:p>
    <w:p>
      <w:pPr>
        <w:pStyle w:val="Heading1"/>
      </w:pPr>
      <w:r>
        <w:rPr>
          <w:color w:val="0D1B2A"/>
        </w:rPr>
        <w:t>12. Key Findings &amp; Conclusions</w:t>
      </w:r>
    </w:p>
    <w:p>
      <w:pPr>
        <w:spacing w:after="40"/>
      </w:pPr>
      <w:r>
        <w:rPr>
          <w:b/>
          <w:color w:val="0D1B2A"/>
          <w:sz w:val="24"/>
        </w:rPr>
        <w:t>1. Monsoon-Driven Seasonality is the Dominant Pattern</w:t>
      </w:r>
    </w:p>
    <w:p>
      <w:pPr>
        <w:spacing w:after="240"/>
      </w:pPr>
      <w:r>
        <w:rPr>
          <w:b w:val="0"/>
          <w:i w:val="0"/>
          <w:color w:val="212121"/>
          <w:sz w:val="21"/>
        </w:rPr>
        <w:t>Ship activity at Mumbai Port follows a pronounced bimodal cycle, with peaks in Q1 (Jan–Mar) and Q4 (Oct–Dec) and a deep trough during monsoon months (May–September). This is consistent with reduced port operations during heavy rainfall, rough seas, and reduced visibility. Average ship counts during Q1 are 4–5× higher than during Q3.</w:t>
      </w:r>
    </w:p>
    <w:p>
      <w:pPr>
        <w:spacing w:after="40"/>
      </w:pPr>
      <w:r>
        <w:rPr>
          <w:b/>
          <w:color w:val="0D1B2A"/>
          <w:sz w:val="24"/>
        </w:rPr>
        <w:t>2. COVID-19 Had a Delayed but Significant Impact</w:t>
      </w:r>
    </w:p>
    <w:p>
      <w:pPr>
        <w:spacing w:after="240"/>
      </w:pPr>
      <w:r>
        <w:rPr>
          <w:b w:val="0"/>
          <w:i w:val="0"/>
          <w:color w:val="212121"/>
          <w:sz w:val="21"/>
        </w:rPr>
        <w:t>Contrary to expectation, 2020 saw the highest ship count (313), likely due to pent-up demand and vessel queuing. The real downturn came in 2021 (−27.2% YoY) as global supply chain disruptions, container shortages, and reduced import demand took hold. Recovery began in 2023.</w:t>
      </w:r>
    </w:p>
    <w:p>
      <w:pPr>
        <w:spacing w:after="40"/>
      </w:pPr>
      <w:r>
        <w:rPr>
          <w:b/>
          <w:color w:val="0D1B2A"/>
          <w:sz w:val="24"/>
        </w:rPr>
        <w:t>3. Port Activity is Structurally Stable</w:t>
      </w:r>
    </w:p>
    <w:p>
      <w:pPr>
        <w:spacing w:after="240"/>
      </w:pPr>
      <w:r>
        <w:rPr>
          <w:b w:val="0"/>
          <w:i w:val="0"/>
          <w:color w:val="212121"/>
          <w:sz w:val="21"/>
        </w:rPr>
        <w:t>Despite significant monthly volatility (CV=88%), yearly totals remain in a narrow 211–313 band across 8 full years. This suggests Mumbai Port operates near capacity with seasonal variation, not structural decline.</w:t>
      </w:r>
    </w:p>
    <w:p>
      <w:pPr>
        <w:spacing w:after="40"/>
      </w:pPr>
      <w:r>
        <w:rPr>
          <w:b/>
          <w:color w:val="0D1B2A"/>
          <w:sz w:val="24"/>
        </w:rPr>
        <w:t>4. 2025–2026 Shows Strong Recovery</w:t>
      </w:r>
    </w:p>
    <w:p>
      <w:pPr>
        <w:spacing w:after="240"/>
      </w:pPr>
      <w:r>
        <w:rPr>
          <w:b w:val="0"/>
          <w:i w:val="0"/>
          <w:color w:val="212121"/>
          <w:sz w:val="21"/>
        </w:rPr>
        <w:t>2025 recorded the highest full-year average (21.2/mo, +10.9% YoY). Early 2026 data (135 ships in 3 months, 45/mo average) suggests the port is entering its most active period since observation began.</w:t>
      </w:r>
    </w:p>
    <w:p>
      <w:pPr>
        <w:spacing w:after="40"/>
      </w:pPr>
      <w:r>
        <w:rPr>
          <w:b/>
          <w:color w:val="0D1B2A"/>
          <w:sz w:val="24"/>
        </w:rPr>
        <w:t>5. Economic Implications</w:t>
      </w:r>
    </w:p>
    <w:p>
      <w:pPr>
        <w:spacing w:after="240"/>
      </w:pPr>
      <w:r>
        <w:rPr>
          <w:b w:val="0"/>
          <w:i w:val="0"/>
          <w:color w:val="212121"/>
          <w:sz w:val="21"/>
        </w:rPr>
        <w:t>Ship counts serve as a leading indicator of trade volume. The stable-to-increasing trend in Mumbai's maritime traffic reflects India's growing role in global trade. The V-shaped COVID recovery mirrors India's broader economic rebound, with port throughput returning to pre-pandemic levels by 2023.</w:t>
      </w:r>
    </w:p>
    <w:p/>
    <w:p>
      <w:pPr>
        <w:spacing w:after="80"/>
      </w:pPr>
      <w:r>
        <w:rPr>
          <w:b/>
          <w:i w:val="0"/>
          <w:color w:val="212121"/>
          <w:sz w:val="24"/>
        </w:rPr>
        <w:t>RECOMMENDATIONS FOR FURTHER ANALYSIS</w:t>
      </w:r>
    </w:p>
    <w:p>
      <w:pPr>
        <w:pStyle w:val="ListBullet"/>
      </w:pPr>
      <w:r>
        <w:rPr>
          <w:color w:val="212121"/>
          <w:sz w:val="21"/>
        </w:rPr>
        <w:t>Extend analysis to Paradip Port for comparative cross-port study</w:t>
      </w:r>
    </w:p>
    <w:p>
      <w:pPr>
        <w:pStyle w:val="ListBullet"/>
      </w:pPr>
      <w:r>
        <w:rPr>
          <w:color w:val="212121"/>
          <w:sz w:val="21"/>
        </w:rPr>
        <w:t>Correlate ship counts with publicly available cargo tonnage data from port authorities</w:t>
      </w:r>
    </w:p>
    <w:p>
      <w:pPr>
        <w:pStyle w:val="ListBullet"/>
      </w:pPr>
      <w:r>
        <w:rPr>
          <w:color w:val="212121"/>
          <w:sz w:val="21"/>
        </w:rPr>
        <w:t>Differentiate ship types (tanker, container, bulk) via bounding box size analysis</w:t>
      </w:r>
    </w:p>
    <w:p>
      <w:pPr>
        <w:pStyle w:val="ListBullet"/>
      </w:pPr>
      <w:r>
        <w:rPr>
          <w:color w:val="212121"/>
          <w:sz w:val="21"/>
        </w:rPr>
        <w:t>Incorporate AIS (Automatic Identification System) data for validation</w:t>
      </w:r>
    </w:p>
    <w:p>
      <w:pPr>
        <w:pStyle w:val="ListBullet"/>
      </w:pPr>
      <w:r>
        <w:rPr>
          <w:color w:val="212121"/>
          <w:sz w:val="21"/>
        </w:rPr>
        <w:t>Apply time-series forecasting (ARIMA, Prophet) for predictive modeling</w:t>
      </w:r>
    </w:p>
    <w:p>
      <w:r>
        <w:br w:type="page"/>
      </w:r>
    </w:p>
    <w:p>
      <w:pPr>
        <w:pStyle w:val="Heading1"/>
      </w:pPr>
      <w:r>
        <w:rPr>
          <w:color w:val="0D1B2A"/>
        </w:rPr>
        <w:t>13. Appendix: Monthly Ship Count Data</w:t>
      </w:r>
    </w:p>
    <w:p>
      <w:pPr>
        <w:spacing w:after="200"/>
      </w:pPr>
      <w:r>
        <w:rPr>
          <w:b w:val="0"/>
          <w:i w:val="0"/>
          <w:color w:val="212121"/>
          <w:sz w:val="21"/>
        </w:rPr>
        <w:t>Complete monthly ship detection data for Mumbai Port, January 2018 – March 2026. Empty cells indicate months with no satellite image available.</w:t>
      </w:r>
    </w:p>
    <w:p>
      <w:pPr>
        <w:spacing w:after="80"/>
      </w:pPr>
      <w:r>
        <w:rPr>
          <w:b/>
          <w:i w:val="0"/>
          <w:color w:val="0D1B2A"/>
          <w:sz w:val="24"/>
        </w:rPr>
        <w:t>TABLE A — Monthly Ship Counts</w:t>
      </w:r>
    </w:p>
    <w:tbl>
      <w:tblPr>
        <w:tblW w:type="auto" w:w="0"/>
        <w:jc w:val="center"/>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gridCol w:w="665"/>
        <w:gridCol w:w="665"/>
      </w:tblGrid>
      <w:tr>
        <w:tc>
          <w:tcPr>
            <w:tcW w:type="dxa" w:w="665"/>
            <w:shd w:fill="0D1B2A"/>
          </w:tcPr>
          <w:p>
            <w:pPr>
              <w:jc w:val="center"/>
            </w:pPr>
            <w:r>
              <w:rPr>
                <w:b/>
                <w:color w:val="FFFFFF"/>
                <w:sz w:val="16"/>
              </w:rPr>
              <w:t>Year</w:t>
            </w:r>
          </w:p>
        </w:tc>
        <w:tc>
          <w:tcPr>
            <w:tcW w:type="dxa" w:w="665"/>
            <w:shd w:fill="0D1B2A"/>
          </w:tcPr>
          <w:p>
            <w:pPr>
              <w:jc w:val="center"/>
            </w:pPr>
            <w:r>
              <w:rPr>
                <w:b/>
                <w:color w:val="FFFFFF"/>
                <w:sz w:val="16"/>
              </w:rPr>
              <w:t>Jan</w:t>
            </w:r>
          </w:p>
        </w:tc>
        <w:tc>
          <w:tcPr>
            <w:tcW w:type="dxa" w:w="665"/>
            <w:shd w:fill="0D1B2A"/>
          </w:tcPr>
          <w:p>
            <w:pPr>
              <w:jc w:val="center"/>
            </w:pPr>
            <w:r>
              <w:rPr>
                <w:b/>
                <w:color w:val="FFFFFF"/>
                <w:sz w:val="16"/>
              </w:rPr>
              <w:t>Feb</w:t>
            </w:r>
          </w:p>
        </w:tc>
        <w:tc>
          <w:tcPr>
            <w:tcW w:type="dxa" w:w="665"/>
            <w:shd w:fill="0D1B2A"/>
          </w:tcPr>
          <w:p>
            <w:pPr>
              <w:jc w:val="center"/>
            </w:pPr>
            <w:r>
              <w:rPr>
                <w:b/>
                <w:color w:val="FFFFFF"/>
                <w:sz w:val="16"/>
              </w:rPr>
              <w:t>Mar</w:t>
            </w:r>
          </w:p>
        </w:tc>
        <w:tc>
          <w:tcPr>
            <w:tcW w:type="dxa" w:w="665"/>
            <w:shd w:fill="0D1B2A"/>
          </w:tcPr>
          <w:p>
            <w:pPr>
              <w:jc w:val="center"/>
            </w:pPr>
            <w:r>
              <w:rPr>
                <w:b/>
                <w:color w:val="FFFFFF"/>
                <w:sz w:val="16"/>
              </w:rPr>
              <w:t>Apr</w:t>
            </w:r>
          </w:p>
        </w:tc>
        <w:tc>
          <w:tcPr>
            <w:tcW w:type="dxa" w:w="665"/>
            <w:shd w:fill="0D1B2A"/>
          </w:tcPr>
          <w:p>
            <w:pPr>
              <w:jc w:val="center"/>
            </w:pPr>
            <w:r>
              <w:rPr>
                <w:b/>
                <w:color w:val="FFFFFF"/>
                <w:sz w:val="16"/>
              </w:rPr>
              <w:t>May</w:t>
            </w:r>
          </w:p>
        </w:tc>
        <w:tc>
          <w:tcPr>
            <w:tcW w:type="dxa" w:w="665"/>
            <w:shd w:fill="0D1B2A"/>
          </w:tcPr>
          <w:p>
            <w:pPr>
              <w:jc w:val="center"/>
            </w:pPr>
            <w:r>
              <w:rPr>
                <w:b/>
                <w:color w:val="FFFFFF"/>
                <w:sz w:val="16"/>
              </w:rPr>
              <w:t>Jun</w:t>
            </w:r>
          </w:p>
        </w:tc>
        <w:tc>
          <w:tcPr>
            <w:tcW w:type="dxa" w:w="665"/>
            <w:shd w:fill="0D1B2A"/>
          </w:tcPr>
          <w:p>
            <w:pPr>
              <w:jc w:val="center"/>
            </w:pPr>
            <w:r>
              <w:rPr>
                <w:b/>
                <w:color w:val="FFFFFF"/>
                <w:sz w:val="16"/>
              </w:rPr>
              <w:t>Jul</w:t>
            </w:r>
          </w:p>
        </w:tc>
        <w:tc>
          <w:tcPr>
            <w:tcW w:type="dxa" w:w="665"/>
            <w:shd w:fill="0D1B2A"/>
          </w:tcPr>
          <w:p>
            <w:pPr>
              <w:jc w:val="center"/>
            </w:pPr>
            <w:r>
              <w:rPr>
                <w:b/>
                <w:color w:val="FFFFFF"/>
                <w:sz w:val="16"/>
              </w:rPr>
              <w:t>Aug</w:t>
            </w:r>
          </w:p>
        </w:tc>
        <w:tc>
          <w:tcPr>
            <w:tcW w:type="dxa" w:w="665"/>
            <w:shd w:fill="0D1B2A"/>
          </w:tcPr>
          <w:p>
            <w:pPr>
              <w:jc w:val="center"/>
            </w:pPr>
            <w:r>
              <w:rPr>
                <w:b/>
                <w:color w:val="FFFFFF"/>
                <w:sz w:val="16"/>
              </w:rPr>
              <w:t>Sep</w:t>
            </w:r>
          </w:p>
        </w:tc>
        <w:tc>
          <w:tcPr>
            <w:tcW w:type="dxa" w:w="665"/>
            <w:shd w:fill="0D1B2A"/>
          </w:tcPr>
          <w:p>
            <w:pPr>
              <w:jc w:val="center"/>
            </w:pPr>
            <w:r>
              <w:rPr>
                <w:b/>
                <w:color w:val="FFFFFF"/>
                <w:sz w:val="16"/>
              </w:rPr>
              <w:t>Oct</w:t>
            </w:r>
          </w:p>
        </w:tc>
        <w:tc>
          <w:tcPr>
            <w:tcW w:type="dxa" w:w="665"/>
            <w:shd w:fill="0D1B2A"/>
          </w:tcPr>
          <w:p>
            <w:pPr>
              <w:jc w:val="center"/>
            </w:pPr>
            <w:r>
              <w:rPr>
                <w:b/>
                <w:color w:val="FFFFFF"/>
                <w:sz w:val="16"/>
              </w:rPr>
              <w:t>Nov</w:t>
            </w:r>
          </w:p>
        </w:tc>
        <w:tc>
          <w:tcPr>
            <w:tcW w:type="dxa" w:w="665"/>
            <w:shd w:fill="0D1B2A"/>
          </w:tcPr>
          <w:p>
            <w:pPr>
              <w:jc w:val="center"/>
            </w:pPr>
            <w:r>
              <w:rPr>
                <w:b/>
                <w:color w:val="FFFFFF"/>
                <w:sz w:val="16"/>
              </w:rPr>
              <w:t>Dec</w:t>
            </w:r>
          </w:p>
        </w:tc>
        <w:tc>
          <w:tcPr>
            <w:tcW w:type="dxa" w:w="665"/>
            <w:shd w:fill="0D1B2A"/>
          </w:tcPr>
          <w:p>
            <w:pPr>
              <w:jc w:val="center"/>
            </w:pPr>
            <w:r>
              <w:rPr>
                <w:b/>
                <w:color w:val="FFFFFF"/>
                <w:sz w:val="16"/>
              </w:rPr>
              <w:t>Total</w:t>
            </w:r>
          </w:p>
        </w:tc>
        <w:tc>
          <w:tcPr>
            <w:tcW w:type="dxa" w:w="665"/>
            <w:shd w:fill="0D1B2A"/>
          </w:tcPr>
          <w:p>
            <w:pPr>
              <w:jc w:val="center"/>
            </w:pPr>
            <w:r>
              <w:rPr>
                <w:b/>
                <w:color w:val="FFFFFF"/>
                <w:sz w:val="16"/>
              </w:rPr>
              <w:t>Avg</w:t>
            </w:r>
          </w:p>
        </w:tc>
      </w:tr>
      <w:tr>
        <w:tc>
          <w:tcPr>
            <w:tcW w:type="dxa" w:w="665"/>
            <w:shd w:fill="E3F2FD"/>
          </w:tcPr>
          <w:p>
            <w:pPr>
              <w:jc w:val="center"/>
            </w:pPr>
            <w:r>
              <w:rPr>
                <w:b/>
                <w:sz w:val="16"/>
              </w:rPr>
              <w:t>2018</w:t>
            </w:r>
          </w:p>
        </w:tc>
        <w:tc>
          <w:tcPr>
            <w:tcW w:type="dxa" w:w="665"/>
          </w:tcPr>
          <w:p>
            <w:pPr>
              <w:jc w:val="center"/>
            </w:pPr>
            <w:r>
              <w:rPr>
                <w:sz w:val="16"/>
              </w:rPr>
              <w:t>22</w:t>
            </w:r>
          </w:p>
        </w:tc>
        <w:tc>
          <w:tcPr>
            <w:tcW w:type="dxa" w:w="665"/>
          </w:tcPr>
          <w:p>
            <w:pPr>
              <w:jc w:val="center"/>
            </w:pPr>
            <w:r>
              <w:rPr>
                <w:sz w:val="16"/>
              </w:rPr>
              <w:t>26</w:t>
            </w:r>
          </w:p>
        </w:tc>
        <w:tc>
          <w:tcPr>
            <w:tcW w:type="dxa" w:w="665"/>
          </w:tcPr>
          <w:p>
            <w:pPr>
              <w:jc w:val="center"/>
            </w:pPr>
            <w:r>
              <w:rPr>
                <w:sz w:val="16"/>
              </w:rPr>
              <w:t>18</w:t>
            </w:r>
          </w:p>
        </w:tc>
        <w:tc>
          <w:tcPr>
            <w:tcW w:type="dxa" w:w="665"/>
          </w:tcPr>
          <w:p>
            <w:pPr>
              <w:jc w:val="center"/>
            </w:pPr>
            <w:r>
              <w:rPr>
                <w:sz w:val="16"/>
              </w:rPr>
              <w:t>5</w:t>
            </w:r>
          </w:p>
        </w:tc>
        <w:tc>
          <w:tcPr>
            <w:tcW w:type="dxa" w:w="665"/>
          </w:tcPr>
          <w:p>
            <w:pPr>
              <w:jc w:val="center"/>
            </w:pPr>
            <w:r>
              <w:rPr>
                <w:sz w:val="16"/>
              </w:rPr>
              <w:t>2</w:t>
            </w:r>
          </w:p>
        </w:tc>
        <w:tc>
          <w:tcPr>
            <w:tcW w:type="dxa" w:w="665"/>
          </w:tcPr>
          <w:p>
            <w:pPr>
              <w:jc w:val="center"/>
            </w:pPr>
            <w:r>
              <w:rPr>
                <w:sz w:val="16"/>
              </w:rPr>
              <w:t>16</w:t>
            </w:r>
          </w:p>
        </w:tc>
        <w:tc>
          <w:tcPr>
            <w:tcW w:type="dxa" w:w="665"/>
          </w:tcPr>
          <w:p>
            <w:pPr>
              <w:jc w:val="center"/>
            </w:pPr>
            <w:r>
              <w:rPr>
                <w:sz w:val="16"/>
              </w:rPr>
              <w:t>—</w:t>
            </w:r>
          </w:p>
        </w:tc>
        <w:tc>
          <w:tcPr>
            <w:tcW w:type="dxa" w:w="665"/>
          </w:tcPr>
          <w:p>
            <w:pPr>
              <w:jc w:val="center"/>
            </w:pPr>
            <w:r>
              <w:rPr>
                <w:sz w:val="16"/>
              </w:rPr>
              <w:t>13</w:t>
            </w:r>
          </w:p>
        </w:tc>
        <w:tc>
          <w:tcPr>
            <w:tcW w:type="dxa" w:w="665"/>
            <w:shd w:fill="E8F5E9"/>
          </w:tcPr>
          <w:p>
            <w:pPr>
              <w:jc w:val="center"/>
            </w:pPr>
            <w:r>
              <w:rPr>
                <w:b/>
                <w:sz w:val="16"/>
              </w:rPr>
              <w:t>50</w:t>
            </w:r>
          </w:p>
        </w:tc>
        <w:tc>
          <w:tcPr>
            <w:tcW w:type="dxa" w:w="665"/>
          </w:tcPr>
          <w:p>
            <w:pPr>
              <w:jc w:val="center"/>
            </w:pPr>
            <w:r>
              <w:rPr>
                <w:sz w:val="16"/>
              </w:rPr>
              <w:t>48</w:t>
            </w:r>
          </w:p>
        </w:tc>
        <w:tc>
          <w:tcPr>
            <w:tcW w:type="dxa" w:w="665"/>
          </w:tcPr>
          <w:p>
            <w:pPr>
              <w:jc w:val="center"/>
            </w:pPr>
            <w:r>
              <w:rPr>
                <w:sz w:val="16"/>
              </w:rPr>
              <w:t>31</w:t>
            </w:r>
          </w:p>
        </w:tc>
        <w:tc>
          <w:tcPr>
            <w:tcW w:type="dxa" w:w="665"/>
          </w:tcPr>
          <w:p>
            <w:pPr>
              <w:jc w:val="center"/>
            </w:pPr>
            <w:r>
              <w:rPr>
                <w:sz w:val="16"/>
              </w:rPr>
              <w:t>33</w:t>
            </w:r>
          </w:p>
        </w:tc>
        <w:tc>
          <w:tcPr>
            <w:tcW w:type="dxa" w:w="665"/>
            <w:shd w:fill="E8F5E9"/>
          </w:tcPr>
          <w:p>
            <w:pPr>
              <w:jc w:val="center"/>
            </w:pPr>
            <w:r>
              <w:rPr>
                <w:b/>
                <w:sz w:val="16"/>
              </w:rPr>
              <w:t>264</w:t>
            </w:r>
          </w:p>
        </w:tc>
        <w:tc>
          <w:tcPr>
            <w:tcW w:type="dxa" w:w="665"/>
            <w:shd w:fill="FFF3E0"/>
          </w:tcPr>
          <w:p>
            <w:pPr>
              <w:jc w:val="center"/>
            </w:pPr>
            <w:r>
              <w:rPr>
                <w:b/>
                <w:sz w:val="16"/>
              </w:rPr>
              <w:t>24.0</w:t>
            </w:r>
          </w:p>
        </w:tc>
      </w:tr>
      <w:tr>
        <w:tc>
          <w:tcPr>
            <w:tcW w:type="dxa" w:w="665"/>
            <w:shd w:fill="E3F2FD"/>
          </w:tcPr>
          <w:p>
            <w:pPr>
              <w:jc w:val="center"/>
            </w:pPr>
            <w:r>
              <w:rPr>
                <w:b/>
                <w:sz w:val="16"/>
              </w:rPr>
              <w:t>2019</w:t>
            </w:r>
          </w:p>
        </w:tc>
        <w:tc>
          <w:tcPr>
            <w:tcW w:type="dxa" w:w="665"/>
            <w:shd w:fill="FAFAFA"/>
          </w:tcPr>
          <w:p>
            <w:pPr>
              <w:jc w:val="center"/>
            </w:pPr>
            <w:r>
              <w:rPr>
                <w:sz w:val="16"/>
              </w:rPr>
              <w:t>28</w:t>
            </w:r>
          </w:p>
        </w:tc>
        <w:tc>
          <w:tcPr>
            <w:tcW w:type="dxa" w:w="665"/>
            <w:shd w:fill="E8F5E9"/>
          </w:tcPr>
          <w:p>
            <w:pPr>
              <w:jc w:val="center"/>
            </w:pPr>
            <w:r>
              <w:rPr>
                <w:b/>
                <w:sz w:val="16"/>
              </w:rPr>
              <w:t>75</w:t>
            </w:r>
          </w:p>
        </w:tc>
        <w:tc>
          <w:tcPr>
            <w:tcW w:type="dxa" w:w="665"/>
            <w:shd w:fill="FAFAFA"/>
          </w:tcPr>
          <w:p>
            <w:pPr>
              <w:jc w:val="center"/>
            </w:pPr>
            <w:r>
              <w:rPr>
                <w:sz w:val="16"/>
              </w:rPr>
              <w:t>34</w:t>
            </w:r>
          </w:p>
        </w:tc>
        <w:tc>
          <w:tcPr>
            <w:tcW w:type="dxa" w:w="665"/>
            <w:shd w:fill="FAFAFA"/>
          </w:tcPr>
          <w:p>
            <w:pPr>
              <w:jc w:val="center"/>
            </w:pPr>
            <w:r>
              <w:rPr>
                <w:sz w:val="16"/>
              </w:rPr>
              <w:t>7</w:t>
            </w:r>
          </w:p>
        </w:tc>
        <w:tc>
          <w:tcPr>
            <w:tcW w:type="dxa" w:w="665"/>
            <w:shd w:fill="FAFAFA"/>
          </w:tcPr>
          <w:p>
            <w:pPr>
              <w:jc w:val="center"/>
            </w:pPr>
            <w:r>
              <w:rPr>
                <w:sz w:val="16"/>
              </w:rPr>
              <w:t>6</w:t>
            </w:r>
          </w:p>
        </w:tc>
        <w:tc>
          <w:tcPr>
            <w:tcW w:type="dxa" w:w="665"/>
            <w:shd w:fill="FAFAFA"/>
          </w:tcPr>
          <w:p>
            <w:pPr>
              <w:jc w:val="center"/>
            </w:pPr>
            <w:r>
              <w:rPr>
                <w:sz w:val="16"/>
              </w:rPr>
              <w:t>4</w:t>
            </w:r>
          </w:p>
        </w:tc>
        <w:tc>
          <w:tcPr>
            <w:tcW w:type="dxa" w:w="665"/>
            <w:shd w:fill="FAFAFA"/>
          </w:tcPr>
          <w:p>
            <w:pPr>
              <w:jc w:val="center"/>
            </w:pPr>
            <w:r>
              <w:rPr>
                <w:sz w:val="16"/>
              </w:rPr>
              <w:t>24</w:t>
            </w:r>
          </w:p>
        </w:tc>
        <w:tc>
          <w:tcPr>
            <w:tcW w:type="dxa" w:w="665"/>
            <w:shd w:fill="FFEBEE"/>
          </w:tcPr>
          <w:p>
            <w:pPr>
              <w:jc w:val="center"/>
            </w:pPr>
            <w:r>
              <w:rPr>
                <w:color w:val="C62828"/>
                <w:sz w:val="16"/>
              </w:rPr>
              <w:t>0</w:t>
            </w:r>
          </w:p>
        </w:tc>
        <w:tc>
          <w:tcPr>
            <w:tcW w:type="dxa" w:w="665"/>
            <w:shd w:fill="FFEBEE"/>
          </w:tcPr>
          <w:p>
            <w:pPr>
              <w:jc w:val="center"/>
            </w:pPr>
            <w:r>
              <w:rPr>
                <w:color w:val="C62828"/>
                <w:sz w:val="16"/>
              </w:rPr>
              <w:t>0</w:t>
            </w:r>
          </w:p>
        </w:tc>
        <w:tc>
          <w:tcPr>
            <w:tcW w:type="dxa" w:w="665"/>
            <w:shd w:fill="FAFAFA"/>
          </w:tcPr>
          <w:p>
            <w:pPr>
              <w:jc w:val="center"/>
            </w:pPr>
            <w:r>
              <w:rPr>
                <w:sz w:val="16"/>
              </w:rPr>
              <w:t>21</w:t>
            </w:r>
          </w:p>
        </w:tc>
        <w:tc>
          <w:tcPr>
            <w:tcW w:type="dxa" w:w="665"/>
            <w:shd w:fill="E8F5E9"/>
          </w:tcPr>
          <w:p>
            <w:pPr>
              <w:jc w:val="center"/>
            </w:pPr>
            <w:r>
              <w:rPr>
                <w:b/>
                <w:sz w:val="16"/>
              </w:rPr>
              <w:t>67</w:t>
            </w:r>
          </w:p>
        </w:tc>
        <w:tc>
          <w:tcPr>
            <w:tcW w:type="dxa" w:w="665"/>
            <w:shd w:fill="FAFAFA"/>
          </w:tcPr>
          <w:p>
            <w:pPr>
              <w:jc w:val="center"/>
            </w:pPr>
            <w:r>
              <w:rPr>
                <w:sz w:val="16"/>
              </w:rPr>
              <w:t>37</w:t>
            </w:r>
          </w:p>
        </w:tc>
        <w:tc>
          <w:tcPr>
            <w:tcW w:type="dxa" w:w="665"/>
            <w:shd w:fill="E8F5E9"/>
          </w:tcPr>
          <w:p>
            <w:pPr>
              <w:jc w:val="center"/>
            </w:pPr>
            <w:r>
              <w:rPr>
                <w:b/>
                <w:sz w:val="16"/>
              </w:rPr>
              <w:t>303</w:t>
            </w:r>
          </w:p>
        </w:tc>
        <w:tc>
          <w:tcPr>
            <w:tcW w:type="dxa" w:w="665"/>
            <w:shd w:fill="FFF3E0"/>
          </w:tcPr>
          <w:p>
            <w:pPr>
              <w:jc w:val="center"/>
            </w:pPr>
            <w:r>
              <w:rPr>
                <w:b/>
                <w:sz w:val="16"/>
              </w:rPr>
              <w:t>25.2</w:t>
            </w:r>
          </w:p>
        </w:tc>
      </w:tr>
      <w:tr>
        <w:tc>
          <w:tcPr>
            <w:tcW w:type="dxa" w:w="665"/>
            <w:shd w:fill="E3F2FD"/>
          </w:tcPr>
          <w:p>
            <w:pPr>
              <w:jc w:val="center"/>
            </w:pPr>
            <w:r>
              <w:rPr>
                <w:b/>
                <w:sz w:val="16"/>
              </w:rPr>
              <w:t>2020</w:t>
            </w:r>
          </w:p>
        </w:tc>
        <w:tc>
          <w:tcPr>
            <w:tcW w:type="dxa" w:w="665"/>
            <w:shd w:fill="E8F5E9"/>
          </w:tcPr>
          <w:p>
            <w:pPr>
              <w:jc w:val="center"/>
            </w:pPr>
            <w:r>
              <w:rPr>
                <w:b/>
                <w:sz w:val="16"/>
              </w:rPr>
              <w:t>50</w:t>
            </w:r>
          </w:p>
        </w:tc>
        <w:tc>
          <w:tcPr>
            <w:tcW w:type="dxa" w:w="665"/>
            <w:shd w:fill="E8F5E9"/>
          </w:tcPr>
          <w:p>
            <w:pPr>
              <w:jc w:val="center"/>
            </w:pPr>
            <w:r>
              <w:rPr>
                <w:b/>
                <w:sz w:val="16"/>
              </w:rPr>
              <w:t>59</w:t>
            </w:r>
          </w:p>
        </w:tc>
        <w:tc>
          <w:tcPr>
            <w:tcW w:type="dxa" w:w="665"/>
          </w:tcPr>
          <w:p>
            <w:pPr>
              <w:jc w:val="center"/>
            </w:pPr>
            <w:r>
              <w:rPr>
                <w:sz w:val="16"/>
              </w:rPr>
              <w:t>36</w:t>
            </w:r>
          </w:p>
        </w:tc>
        <w:tc>
          <w:tcPr>
            <w:tcW w:type="dxa" w:w="665"/>
          </w:tcPr>
          <w:p>
            <w:pPr>
              <w:jc w:val="center"/>
            </w:pPr>
            <w:r>
              <w:rPr>
                <w:sz w:val="16"/>
              </w:rPr>
              <w:t>28</w:t>
            </w:r>
          </w:p>
        </w:tc>
        <w:tc>
          <w:tcPr>
            <w:tcW w:type="dxa" w:w="665"/>
          </w:tcPr>
          <w:p>
            <w:pPr>
              <w:jc w:val="center"/>
            </w:pPr>
            <w:r>
              <w:rPr>
                <w:sz w:val="16"/>
              </w:rPr>
              <w:t>10</w:t>
            </w:r>
          </w:p>
        </w:tc>
        <w:tc>
          <w:tcPr>
            <w:tcW w:type="dxa" w:w="665"/>
          </w:tcPr>
          <w:p>
            <w:pPr>
              <w:jc w:val="center"/>
            </w:pPr>
            <w:r>
              <w:rPr>
                <w:sz w:val="16"/>
              </w:rPr>
              <w:t>16</w:t>
            </w:r>
          </w:p>
        </w:tc>
        <w:tc>
          <w:tcPr>
            <w:tcW w:type="dxa" w:w="665"/>
            <w:shd w:fill="FFEBEE"/>
          </w:tcPr>
          <w:p>
            <w:pPr>
              <w:jc w:val="center"/>
            </w:pPr>
            <w:r>
              <w:rPr>
                <w:color w:val="C62828"/>
                <w:sz w:val="16"/>
              </w:rPr>
              <w:t>0</w:t>
            </w:r>
          </w:p>
        </w:tc>
        <w:tc>
          <w:tcPr>
            <w:tcW w:type="dxa" w:w="665"/>
          </w:tcPr>
          <w:p>
            <w:pPr>
              <w:jc w:val="center"/>
            </w:pPr>
            <w:r>
              <w:rPr>
                <w:sz w:val="16"/>
              </w:rPr>
              <w:t>2</w:t>
            </w:r>
          </w:p>
        </w:tc>
        <w:tc>
          <w:tcPr>
            <w:tcW w:type="dxa" w:w="665"/>
          </w:tcPr>
          <w:p>
            <w:pPr>
              <w:jc w:val="center"/>
            </w:pPr>
            <w:r>
              <w:rPr>
                <w:sz w:val="16"/>
              </w:rPr>
              <w:t>5</w:t>
            </w:r>
          </w:p>
        </w:tc>
        <w:tc>
          <w:tcPr>
            <w:tcW w:type="dxa" w:w="665"/>
          </w:tcPr>
          <w:p>
            <w:pPr>
              <w:jc w:val="center"/>
            </w:pPr>
            <w:r>
              <w:rPr>
                <w:sz w:val="16"/>
              </w:rPr>
              <w:t>34</w:t>
            </w:r>
          </w:p>
        </w:tc>
        <w:tc>
          <w:tcPr>
            <w:tcW w:type="dxa" w:w="665"/>
          </w:tcPr>
          <w:p>
            <w:pPr>
              <w:jc w:val="center"/>
            </w:pPr>
            <w:r>
              <w:rPr>
                <w:sz w:val="16"/>
              </w:rPr>
              <w:t>40</w:t>
            </w:r>
          </w:p>
        </w:tc>
        <w:tc>
          <w:tcPr>
            <w:tcW w:type="dxa" w:w="665"/>
          </w:tcPr>
          <w:p>
            <w:pPr>
              <w:jc w:val="center"/>
            </w:pPr>
            <w:r>
              <w:rPr>
                <w:sz w:val="16"/>
              </w:rPr>
              <w:t>33</w:t>
            </w:r>
          </w:p>
        </w:tc>
        <w:tc>
          <w:tcPr>
            <w:tcW w:type="dxa" w:w="665"/>
            <w:shd w:fill="E8F5E9"/>
          </w:tcPr>
          <w:p>
            <w:pPr>
              <w:jc w:val="center"/>
            </w:pPr>
            <w:r>
              <w:rPr>
                <w:b/>
                <w:sz w:val="16"/>
              </w:rPr>
              <w:t>313</w:t>
            </w:r>
          </w:p>
        </w:tc>
        <w:tc>
          <w:tcPr>
            <w:tcW w:type="dxa" w:w="665"/>
            <w:shd w:fill="FFF3E0"/>
          </w:tcPr>
          <w:p>
            <w:pPr>
              <w:jc w:val="center"/>
            </w:pPr>
            <w:r>
              <w:rPr>
                <w:b/>
                <w:sz w:val="16"/>
              </w:rPr>
              <w:t>26.1</w:t>
            </w:r>
          </w:p>
        </w:tc>
      </w:tr>
      <w:tr>
        <w:tc>
          <w:tcPr>
            <w:tcW w:type="dxa" w:w="665"/>
            <w:shd w:fill="E3F2FD"/>
          </w:tcPr>
          <w:p>
            <w:pPr>
              <w:jc w:val="center"/>
            </w:pPr>
            <w:r>
              <w:rPr>
                <w:b/>
                <w:sz w:val="16"/>
              </w:rPr>
              <w:t>2021</w:t>
            </w:r>
          </w:p>
        </w:tc>
        <w:tc>
          <w:tcPr>
            <w:tcW w:type="dxa" w:w="665"/>
            <w:shd w:fill="E8F5E9"/>
          </w:tcPr>
          <w:p>
            <w:pPr>
              <w:jc w:val="center"/>
            </w:pPr>
            <w:r>
              <w:rPr>
                <w:b/>
                <w:sz w:val="16"/>
              </w:rPr>
              <w:t>56</w:t>
            </w:r>
          </w:p>
        </w:tc>
        <w:tc>
          <w:tcPr>
            <w:tcW w:type="dxa" w:w="665"/>
            <w:shd w:fill="FAFAFA"/>
          </w:tcPr>
          <w:p>
            <w:pPr>
              <w:jc w:val="center"/>
            </w:pPr>
            <w:r>
              <w:rPr>
                <w:sz w:val="16"/>
              </w:rPr>
              <w:t>32</w:t>
            </w:r>
          </w:p>
        </w:tc>
        <w:tc>
          <w:tcPr>
            <w:tcW w:type="dxa" w:w="665"/>
            <w:shd w:fill="FAFAFA"/>
          </w:tcPr>
          <w:p>
            <w:pPr>
              <w:jc w:val="center"/>
            </w:pPr>
            <w:r>
              <w:rPr>
                <w:sz w:val="16"/>
              </w:rPr>
              <w:t>36</w:t>
            </w:r>
          </w:p>
        </w:tc>
        <w:tc>
          <w:tcPr>
            <w:tcW w:type="dxa" w:w="665"/>
            <w:shd w:fill="FAFAFA"/>
          </w:tcPr>
          <w:p>
            <w:pPr>
              <w:jc w:val="center"/>
            </w:pPr>
            <w:r>
              <w:rPr>
                <w:sz w:val="16"/>
              </w:rPr>
              <w:t>11</w:t>
            </w:r>
          </w:p>
        </w:tc>
        <w:tc>
          <w:tcPr>
            <w:tcW w:type="dxa" w:w="665"/>
            <w:shd w:fill="FAFAFA"/>
          </w:tcPr>
          <w:p>
            <w:pPr>
              <w:jc w:val="center"/>
            </w:pPr>
            <w:r>
              <w:rPr>
                <w:sz w:val="16"/>
              </w:rPr>
              <w:t>3</w:t>
            </w:r>
          </w:p>
        </w:tc>
        <w:tc>
          <w:tcPr>
            <w:tcW w:type="dxa" w:w="665"/>
            <w:shd w:fill="FAFAFA"/>
          </w:tcPr>
          <w:p>
            <w:pPr>
              <w:jc w:val="center"/>
            </w:pPr>
            <w:r>
              <w:rPr>
                <w:sz w:val="16"/>
              </w:rPr>
              <w:t>3</w:t>
            </w:r>
          </w:p>
        </w:tc>
        <w:tc>
          <w:tcPr>
            <w:tcW w:type="dxa" w:w="665"/>
            <w:shd w:fill="FAFAFA"/>
          </w:tcPr>
          <w:p>
            <w:pPr>
              <w:jc w:val="center"/>
            </w:pPr>
            <w:r>
              <w:rPr>
                <w:sz w:val="16"/>
              </w:rPr>
              <w:t>3</w:t>
            </w:r>
          </w:p>
        </w:tc>
        <w:tc>
          <w:tcPr>
            <w:tcW w:type="dxa" w:w="665"/>
            <w:shd w:fill="FAFAFA"/>
          </w:tcPr>
          <w:p>
            <w:pPr>
              <w:jc w:val="center"/>
            </w:pPr>
            <w:r>
              <w:rPr>
                <w:sz w:val="16"/>
              </w:rPr>
              <w:t>1</w:t>
            </w:r>
          </w:p>
        </w:tc>
        <w:tc>
          <w:tcPr>
            <w:tcW w:type="dxa" w:w="665"/>
            <w:shd w:fill="FFEBEE"/>
          </w:tcPr>
          <w:p>
            <w:pPr>
              <w:jc w:val="center"/>
            </w:pPr>
            <w:r>
              <w:rPr>
                <w:color w:val="C62828"/>
                <w:sz w:val="16"/>
              </w:rPr>
              <w:t>0</w:t>
            </w:r>
          </w:p>
        </w:tc>
        <w:tc>
          <w:tcPr>
            <w:tcW w:type="dxa" w:w="665"/>
            <w:shd w:fill="FAFAFA"/>
          </w:tcPr>
          <w:p>
            <w:pPr>
              <w:jc w:val="center"/>
            </w:pPr>
            <w:r>
              <w:rPr>
                <w:sz w:val="16"/>
              </w:rPr>
              <w:t>41</w:t>
            </w:r>
          </w:p>
        </w:tc>
        <w:tc>
          <w:tcPr>
            <w:tcW w:type="dxa" w:w="665"/>
            <w:shd w:fill="FAFAFA"/>
          </w:tcPr>
          <w:p>
            <w:pPr>
              <w:jc w:val="center"/>
            </w:pPr>
            <w:r>
              <w:rPr>
                <w:sz w:val="16"/>
              </w:rPr>
              <w:t>25</w:t>
            </w:r>
          </w:p>
        </w:tc>
        <w:tc>
          <w:tcPr>
            <w:tcW w:type="dxa" w:w="665"/>
            <w:shd w:fill="FAFAFA"/>
          </w:tcPr>
          <w:p>
            <w:pPr>
              <w:jc w:val="center"/>
            </w:pPr>
            <w:r>
              <w:rPr>
                <w:sz w:val="16"/>
              </w:rPr>
              <w:t>17</w:t>
            </w:r>
          </w:p>
        </w:tc>
        <w:tc>
          <w:tcPr>
            <w:tcW w:type="dxa" w:w="665"/>
            <w:shd w:fill="E8F5E9"/>
          </w:tcPr>
          <w:p>
            <w:pPr>
              <w:jc w:val="center"/>
            </w:pPr>
            <w:r>
              <w:rPr>
                <w:b/>
                <w:sz w:val="16"/>
              </w:rPr>
              <w:t>228</w:t>
            </w:r>
          </w:p>
        </w:tc>
        <w:tc>
          <w:tcPr>
            <w:tcW w:type="dxa" w:w="665"/>
            <w:shd w:fill="FFF3E0"/>
          </w:tcPr>
          <w:p>
            <w:pPr>
              <w:jc w:val="center"/>
            </w:pPr>
            <w:r>
              <w:rPr>
                <w:b/>
                <w:sz w:val="16"/>
              </w:rPr>
              <w:t>19.0</w:t>
            </w:r>
          </w:p>
        </w:tc>
      </w:tr>
      <w:tr>
        <w:tc>
          <w:tcPr>
            <w:tcW w:type="dxa" w:w="665"/>
            <w:shd w:fill="E3F2FD"/>
          </w:tcPr>
          <w:p>
            <w:pPr>
              <w:jc w:val="center"/>
            </w:pPr>
            <w:r>
              <w:rPr>
                <w:b/>
                <w:sz w:val="16"/>
              </w:rPr>
              <w:t>2022</w:t>
            </w:r>
          </w:p>
        </w:tc>
        <w:tc>
          <w:tcPr>
            <w:tcW w:type="dxa" w:w="665"/>
          </w:tcPr>
          <w:p>
            <w:pPr>
              <w:jc w:val="center"/>
            </w:pPr>
            <w:r>
              <w:rPr>
                <w:sz w:val="16"/>
              </w:rPr>
              <w:t>18</w:t>
            </w:r>
          </w:p>
        </w:tc>
        <w:tc>
          <w:tcPr>
            <w:tcW w:type="dxa" w:w="665"/>
          </w:tcPr>
          <w:p>
            <w:pPr>
              <w:jc w:val="center"/>
            </w:pPr>
            <w:r>
              <w:rPr>
                <w:sz w:val="16"/>
              </w:rPr>
              <w:t>19</w:t>
            </w:r>
          </w:p>
        </w:tc>
        <w:tc>
          <w:tcPr>
            <w:tcW w:type="dxa" w:w="665"/>
          </w:tcPr>
          <w:p>
            <w:pPr>
              <w:jc w:val="center"/>
            </w:pPr>
            <w:r>
              <w:rPr>
                <w:sz w:val="16"/>
              </w:rPr>
              <w:t>20</w:t>
            </w:r>
          </w:p>
        </w:tc>
        <w:tc>
          <w:tcPr>
            <w:tcW w:type="dxa" w:w="665"/>
            <w:shd w:fill="FFEBEE"/>
          </w:tcPr>
          <w:p>
            <w:pPr>
              <w:jc w:val="center"/>
            </w:pPr>
            <w:r>
              <w:rPr>
                <w:color w:val="C62828"/>
                <w:sz w:val="16"/>
              </w:rPr>
              <w:t>0</w:t>
            </w:r>
          </w:p>
        </w:tc>
        <w:tc>
          <w:tcPr>
            <w:tcW w:type="dxa" w:w="665"/>
          </w:tcPr>
          <w:p>
            <w:pPr>
              <w:jc w:val="center"/>
            </w:pPr>
            <w:r>
              <w:rPr>
                <w:sz w:val="16"/>
              </w:rPr>
              <w:t>7</w:t>
            </w:r>
          </w:p>
        </w:tc>
        <w:tc>
          <w:tcPr>
            <w:tcW w:type="dxa" w:w="665"/>
            <w:shd w:fill="FFEBEE"/>
          </w:tcPr>
          <w:p>
            <w:pPr>
              <w:jc w:val="center"/>
            </w:pPr>
            <w:r>
              <w:rPr>
                <w:color w:val="C62828"/>
                <w:sz w:val="16"/>
              </w:rPr>
              <w:t>0</w:t>
            </w:r>
          </w:p>
        </w:tc>
        <w:tc>
          <w:tcPr>
            <w:tcW w:type="dxa" w:w="665"/>
          </w:tcPr>
          <w:p>
            <w:pPr>
              <w:jc w:val="center"/>
            </w:pPr>
            <w:r>
              <w:rPr>
                <w:sz w:val="16"/>
              </w:rPr>
              <w:t>10</w:t>
            </w:r>
          </w:p>
        </w:tc>
        <w:tc>
          <w:tcPr>
            <w:tcW w:type="dxa" w:w="665"/>
            <w:shd w:fill="FFEBEE"/>
          </w:tcPr>
          <w:p>
            <w:pPr>
              <w:jc w:val="center"/>
            </w:pPr>
            <w:r>
              <w:rPr>
                <w:color w:val="C62828"/>
                <w:sz w:val="16"/>
              </w:rPr>
              <w:t>0</w:t>
            </w:r>
          </w:p>
        </w:tc>
        <w:tc>
          <w:tcPr>
            <w:tcW w:type="dxa" w:w="665"/>
          </w:tcPr>
          <w:p>
            <w:pPr>
              <w:jc w:val="center"/>
            </w:pPr>
            <w:r>
              <w:rPr>
                <w:sz w:val="16"/>
              </w:rPr>
              <w:t>33</w:t>
            </w:r>
          </w:p>
        </w:tc>
        <w:tc>
          <w:tcPr>
            <w:tcW w:type="dxa" w:w="665"/>
          </w:tcPr>
          <w:p>
            <w:pPr>
              <w:jc w:val="center"/>
            </w:pPr>
            <w:r>
              <w:rPr>
                <w:sz w:val="16"/>
              </w:rPr>
              <w:t>39</w:t>
            </w:r>
          </w:p>
        </w:tc>
        <w:tc>
          <w:tcPr>
            <w:tcW w:type="dxa" w:w="665"/>
          </w:tcPr>
          <w:p>
            <w:pPr>
              <w:jc w:val="center"/>
            </w:pPr>
            <w:r>
              <w:rPr>
                <w:sz w:val="16"/>
              </w:rPr>
              <w:t>38</w:t>
            </w:r>
          </w:p>
        </w:tc>
        <w:tc>
          <w:tcPr>
            <w:tcW w:type="dxa" w:w="665"/>
          </w:tcPr>
          <w:p>
            <w:pPr>
              <w:jc w:val="center"/>
            </w:pPr>
            <w:r>
              <w:rPr>
                <w:sz w:val="16"/>
              </w:rPr>
              <w:t>27</w:t>
            </w:r>
          </w:p>
        </w:tc>
        <w:tc>
          <w:tcPr>
            <w:tcW w:type="dxa" w:w="665"/>
            <w:shd w:fill="E8F5E9"/>
          </w:tcPr>
          <w:p>
            <w:pPr>
              <w:jc w:val="center"/>
            </w:pPr>
            <w:r>
              <w:rPr>
                <w:b/>
                <w:sz w:val="16"/>
              </w:rPr>
              <w:t>211</w:t>
            </w:r>
          </w:p>
        </w:tc>
        <w:tc>
          <w:tcPr>
            <w:tcW w:type="dxa" w:w="665"/>
            <w:shd w:fill="FFF3E0"/>
          </w:tcPr>
          <w:p>
            <w:pPr>
              <w:jc w:val="center"/>
            </w:pPr>
            <w:r>
              <w:rPr>
                <w:b/>
                <w:sz w:val="16"/>
              </w:rPr>
              <w:t>17.6</w:t>
            </w:r>
          </w:p>
        </w:tc>
      </w:tr>
      <w:tr>
        <w:tc>
          <w:tcPr>
            <w:tcW w:type="dxa" w:w="665"/>
            <w:shd w:fill="E3F2FD"/>
          </w:tcPr>
          <w:p>
            <w:pPr>
              <w:jc w:val="center"/>
            </w:pPr>
            <w:r>
              <w:rPr>
                <w:b/>
                <w:sz w:val="16"/>
              </w:rPr>
              <w:t>2023</w:t>
            </w:r>
          </w:p>
        </w:tc>
        <w:tc>
          <w:tcPr>
            <w:tcW w:type="dxa" w:w="665"/>
            <w:shd w:fill="FAFAFA"/>
          </w:tcPr>
          <w:p>
            <w:pPr>
              <w:jc w:val="center"/>
            </w:pPr>
            <w:r>
              <w:rPr>
                <w:sz w:val="16"/>
              </w:rPr>
              <w:t>28</w:t>
            </w:r>
          </w:p>
        </w:tc>
        <w:tc>
          <w:tcPr>
            <w:tcW w:type="dxa" w:w="665"/>
            <w:shd w:fill="FAFAFA"/>
          </w:tcPr>
          <w:p>
            <w:pPr>
              <w:jc w:val="center"/>
            </w:pPr>
            <w:r>
              <w:rPr>
                <w:sz w:val="16"/>
              </w:rPr>
              <w:t>40</w:t>
            </w:r>
          </w:p>
        </w:tc>
        <w:tc>
          <w:tcPr>
            <w:tcW w:type="dxa" w:w="665"/>
            <w:shd w:fill="FAFAFA"/>
          </w:tcPr>
          <w:p>
            <w:pPr>
              <w:jc w:val="center"/>
            </w:pPr>
            <w:r>
              <w:rPr>
                <w:sz w:val="16"/>
              </w:rPr>
              <w:t>24</w:t>
            </w:r>
          </w:p>
        </w:tc>
        <w:tc>
          <w:tcPr>
            <w:tcW w:type="dxa" w:w="665"/>
            <w:shd w:fill="FAFAFA"/>
          </w:tcPr>
          <w:p>
            <w:pPr>
              <w:jc w:val="center"/>
            </w:pPr>
            <w:r>
              <w:rPr>
                <w:sz w:val="16"/>
              </w:rPr>
              <w:t>5</w:t>
            </w:r>
          </w:p>
        </w:tc>
        <w:tc>
          <w:tcPr>
            <w:tcW w:type="dxa" w:w="665"/>
            <w:shd w:fill="FAFAFA"/>
          </w:tcPr>
          <w:p>
            <w:pPr>
              <w:jc w:val="center"/>
            </w:pPr>
            <w:r>
              <w:rPr>
                <w:sz w:val="16"/>
              </w:rPr>
              <w:t>5</w:t>
            </w:r>
          </w:p>
        </w:tc>
        <w:tc>
          <w:tcPr>
            <w:tcW w:type="dxa" w:w="665"/>
            <w:shd w:fill="FAFAFA"/>
          </w:tcPr>
          <w:p>
            <w:pPr>
              <w:jc w:val="center"/>
            </w:pPr>
            <w:r>
              <w:rPr>
                <w:sz w:val="16"/>
              </w:rPr>
              <w:t>7</w:t>
            </w:r>
          </w:p>
        </w:tc>
        <w:tc>
          <w:tcPr>
            <w:tcW w:type="dxa" w:w="665"/>
            <w:shd w:fill="FAFAFA"/>
          </w:tcPr>
          <w:p>
            <w:pPr>
              <w:jc w:val="center"/>
            </w:pPr>
            <w:r>
              <w:rPr>
                <w:sz w:val="16"/>
              </w:rPr>
              <w:t>6</w:t>
            </w:r>
          </w:p>
        </w:tc>
        <w:tc>
          <w:tcPr>
            <w:tcW w:type="dxa" w:w="665"/>
            <w:shd w:fill="FAFAFA"/>
          </w:tcPr>
          <w:p>
            <w:pPr>
              <w:jc w:val="center"/>
            </w:pPr>
            <w:r>
              <w:rPr>
                <w:sz w:val="16"/>
              </w:rPr>
              <w:t>9</w:t>
            </w:r>
          </w:p>
        </w:tc>
        <w:tc>
          <w:tcPr>
            <w:tcW w:type="dxa" w:w="665"/>
            <w:shd w:fill="FFEBEE"/>
          </w:tcPr>
          <w:p>
            <w:pPr>
              <w:jc w:val="center"/>
            </w:pPr>
            <w:r>
              <w:rPr>
                <w:color w:val="C62828"/>
                <w:sz w:val="16"/>
              </w:rPr>
              <w:t>0</w:t>
            </w:r>
          </w:p>
        </w:tc>
        <w:tc>
          <w:tcPr>
            <w:tcW w:type="dxa" w:w="665"/>
            <w:shd w:fill="FAFAFA"/>
          </w:tcPr>
          <w:p>
            <w:pPr>
              <w:jc w:val="center"/>
            </w:pPr>
            <w:r>
              <w:rPr>
                <w:sz w:val="16"/>
              </w:rPr>
              <w:t>41</w:t>
            </w:r>
          </w:p>
        </w:tc>
        <w:tc>
          <w:tcPr>
            <w:tcW w:type="dxa" w:w="665"/>
            <w:shd w:fill="FAFAFA"/>
          </w:tcPr>
          <w:p>
            <w:pPr>
              <w:jc w:val="center"/>
            </w:pPr>
            <w:r>
              <w:rPr>
                <w:sz w:val="16"/>
              </w:rPr>
              <w:t>37</w:t>
            </w:r>
          </w:p>
        </w:tc>
        <w:tc>
          <w:tcPr>
            <w:tcW w:type="dxa" w:w="665"/>
            <w:shd w:fill="FAFAFA"/>
          </w:tcPr>
          <w:p>
            <w:pPr>
              <w:jc w:val="center"/>
            </w:pPr>
            <w:r>
              <w:rPr>
                <w:sz w:val="16"/>
              </w:rPr>
              <w:t>27</w:t>
            </w:r>
          </w:p>
        </w:tc>
        <w:tc>
          <w:tcPr>
            <w:tcW w:type="dxa" w:w="665"/>
            <w:shd w:fill="E8F5E9"/>
          </w:tcPr>
          <w:p>
            <w:pPr>
              <w:jc w:val="center"/>
            </w:pPr>
            <w:r>
              <w:rPr>
                <w:b/>
                <w:sz w:val="16"/>
              </w:rPr>
              <w:t>229</w:t>
            </w:r>
          </w:p>
        </w:tc>
        <w:tc>
          <w:tcPr>
            <w:tcW w:type="dxa" w:w="665"/>
            <w:shd w:fill="FFF3E0"/>
          </w:tcPr>
          <w:p>
            <w:pPr>
              <w:jc w:val="center"/>
            </w:pPr>
            <w:r>
              <w:rPr>
                <w:b/>
                <w:sz w:val="16"/>
              </w:rPr>
              <w:t>19.1</w:t>
            </w:r>
          </w:p>
        </w:tc>
      </w:tr>
      <w:tr>
        <w:tc>
          <w:tcPr>
            <w:tcW w:type="dxa" w:w="665"/>
            <w:shd w:fill="E3F2FD"/>
          </w:tcPr>
          <w:p>
            <w:pPr>
              <w:jc w:val="center"/>
            </w:pPr>
            <w:r>
              <w:rPr>
                <w:b/>
                <w:sz w:val="16"/>
              </w:rPr>
              <w:t>2024</w:t>
            </w:r>
          </w:p>
        </w:tc>
        <w:tc>
          <w:tcPr>
            <w:tcW w:type="dxa" w:w="665"/>
          </w:tcPr>
          <w:p>
            <w:pPr>
              <w:jc w:val="center"/>
            </w:pPr>
            <w:r>
              <w:rPr>
                <w:sz w:val="16"/>
              </w:rPr>
              <w:t>16</w:t>
            </w:r>
          </w:p>
        </w:tc>
        <w:tc>
          <w:tcPr>
            <w:tcW w:type="dxa" w:w="665"/>
            <w:shd w:fill="E8F5E9"/>
          </w:tcPr>
          <w:p>
            <w:pPr>
              <w:jc w:val="center"/>
            </w:pPr>
            <w:r>
              <w:rPr>
                <w:b/>
                <w:sz w:val="16"/>
              </w:rPr>
              <w:t>56</w:t>
            </w:r>
          </w:p>
        </w:tc>
        <w:tc>
          <w:tcPr>
            <w:tcW w:type="dxa" w:w="665"/>
          </w:tcPr>
          <w:p>
            <w:pPr>
              <w:jc w:val="center"/>
            </w:pPr>
            <w:r>
              <w:rPr>
                <w:sz w:val="16"/>
              </w:rPr>
              <w:t>13</w:t>
            </w:r>
          </w:p>
        </w:tc>
        <w:tc>
          <w:tcPr>
            <w:tcW w:type="dxa" w:w="665"/>
          </w:tcPr>
          <w:p>
            <w:pPr>
              <w:jc w:val="center"/>
            </w:pPr>
            <w:r>
              <w:rPr>
                <w:sz w:val="16"/>
              </w:rPr>
              <w:t>6</w:t>
            </w:r>
          </w:p>
        </w:tc>
        <w:tc>
          <w:tcPr>
            <w:tcW w:type="dxa" w:w="665"/>
          </w:tcPr>
          <w:p>
            <w:pPr>
              <w:jc w:val="center"/>
            </w:pPr>
            <w:r>
              <w:rPr>
                <w:sz w:val="16"/>
              </w:rPr>
              <w:t>3</w:t>
            </w:r>
          </w:p>
        </w:tc>
        <w:tc>
          <w:tcPr>
            <w:tcW w:type="dxa" w:w="665"/>
          </w:tcPr>
          <w:p>
            <w:pPr>
              <w:jc w:val="center"/>
            </w:pPr>
            <w:r>
              <w:rPr>
                <w:sz w:val="16"/>
              </w:rPr>
              <w:t>1</w:t>
            </w:r>
          </w:p>
        </w:tc>
        <w:tc>
          <w:tcPr>
            <w:tcW w:type="dxa" w:w="665"/>
          </w:tcPr>
          <w:p>
            <w:pPr>
              <w:jc w:val="center"/>
            </w:pPr>
            <w:r>
              <w:rPr>
                <w:sz w:val="16"/>
              </w:rPr>
              <w:t>1</w:t>
            </w:r>
          </w:p>
        </w:tc>
        <w:tc>
          <w:tcPr>
            <w:tcW w:type="dxa" w:w="665"/>
          </w:tcPr>
          <w:p>
            <w:pPr>
              <w:jc w:val="center"/>
            </w:pPr>
            <w:r>
              <w:rPr>
                <w:sz w:val="16"/>
              </w:rPr>
              <w:t>9</w:t>
            </w:r>
          </w:p>
        </w:tc>
        <w:tc>
          <w:tcPr>
            <w:tcW w:type="dxa" w:w="665"/>
          </w:tcPr>
          <w:p>
            <w:pPr>
              <w:jc w:val="center"/>
            </w:pPr>
            <w:r>
              <w:rPr>
                <w:sz w:val="16"/>
              </w:rPr>
              <w:t>13</w:t>
            </w:r>
          </w:p>
        </w:tc>
        <w:tc>
          <w:tcPr>
            <w:tcW w:type="dxa" w:w="665"/>
            <w:shd w:fill="E8F5E9"/>
          </w:tcPr>
          <w:p>
            <w:pPr>
              <w:jc w:val="center"/>
            </w:pPr>
            <w:r>
              <w:rPr>
                <w:b/>
                <w:sz w:val="16"/>
              </w:rPr>
              <w:t>67</w:t>
            </w:r>
          </w:p>
        </w:tc>
        <w:tc>
          <w:tcPr>
            <w:tcW w:type="dxa" w:w="665"/>
          </w:tcPr>
          <w:p>
            <w:pPr>
              <w:jc w:val="center"/>
            </w:pPr>
            <w:r>
              <w:rPr>
                <w:sz w:val="16"/>
              </w:rPr>
              <w:t>26</w:t>
            </w:r>
          </w:p>
        </w:tc>
        <w:tc>
          <w:tcPr>
            <w:tcW w:type="dxa" w:w="665"/>
          </w:tcPr>
          <w:p>
            <w:pPr>
              <w:jc w:val="center"/>
            </w:pPr>
            <w:r>
              <w:rPr>
                <w:sz w:val="16"/>
              </w:rPr>
              <w:t>19</w:t>
            </w:r>
          </w:p>
        </w:tc>
        <w:tc>
          <w:tcPr>
            <w:tcW w:type="dxa" w:w="665"/>
            <w:shd w:fill="E8F5E9"/>
          </w:tcPr>
          <w:p>
            <w:pPr>
              <w:jc w:val="center"/>
            </w:pPr>
            <w:r>
              <w:rPr>
                <w:b/>
                <w:sz w:val="16"/>
              </w:rPr>
              <w:t>230</w:t>
            </w:r>
          </w:p>
        </w:tc>
        <w:tc>
          <w:tcPr>
            <w:tcW w:type="dxa" w:w="665"/>
            <w:shd w:fill="FFF3E0"/>
          </w:tcPr>
          <w:p>
            <w:pPr>
              <w:jc w:val="center"/>
            </w:pPr>
            <w:r>
              <w:rPr>
                <w:b/>
                <w:sz w:val="16"/>
              </w:rPr>
              <w:t>19.2</w:t>
            </w:r>
          </w:p>
        </w:tc>
      </w:tr>
      <w:tr>
        <w:tc>
          <w:tcPr>
            <w:tcW w:type="dxa" w:w="665"/>
            <w:shd w:fill="E3F2FD"/>
          </w:tcPr>
          <w:p>
            <w:pPr>
              <w:jc w:val="center"/>
            </w:pPr>
            <w:r>
              <w:rPr>
                <w:b/>
                <w:sz w:val="16"/>
              </w:rPr>
              <w:t>2025</w:t>
            </w:r>
          </w:p>
        </w:tc>
        <w:tc>
          <w:tcPr>
            <w:tcW w:type="dxa" w:w="665"/>
            <w:shd w:fill="FAFAFA"/>
          </w:tcPr>
          <w:p>
            <w:pPr>
              <w:jc w:val="center"/>
            </w:pPr>
            <w:r>
              <w:rPr>
                <w:sz w:val="16"/>
              </w:rPr>
              <w:t>20</w:t>
            </w:r>
          </w:p>
        </w:tc>
        <w:tc>
          <w:tcPr>
            <w:tcW w:type="dxa" w:w="665"/>
            <w:shd w:fill="FAFAFA"/>
          </w:tcPr>
          <w:p>
            <w:pPr>
              <w:jc w:val="center"/>
            </w:pPr>
            <w:r>
              <w:rPr>
                <w:sz w:val="16"/>
              </w:rPr>
              <w:t>11</w:t>
            </w:r>
          </w:p>
        </w:tc>
        <w:tc>
          <w:tcPr>
            <w:tcW w:type="dxa" w:w="665"/>
            <w:shd w:fill="FAFAFA"/>
          </w:tcPr>
          <w:p>
            <w:pPr>
              <w:jc w:val="center"/>
            </w:pPr>
            <w:r>
              <w:rPr>
                <w:sz w:val="16"/>
              </w:rPr>
              <w:t>25</w:t>
            </w:r>
          </w:p>
        </w:tc>
        <w:tc>
          <w:tcPr>
            <w:tcW w:type="dxa" w:w="665"/>
            <w:shd w:fill="FAFAFA"/>
          </w:tcPr>
          <w:p>
            <w:pPr>
              <w:jc w:val="center"/>
            </w:pPr>
            <w:r>
              <w:rPr>
                <w:sz w:val="16"/>
              </w:rPr>
              <w:t>12</w:t>
            </w:r>
          </w:p>
        </w:tc>
        <w:tc>
          <w:tcPr>
            <w:tcW w:type="dxa" w:w="665"/>
            <w:shd w:fill="FAFAFA"/>
          </w:tcPr>
          <w:p>
            <w:pPr>
              <w:jc w:val="center"/>
            </w:pPr>
            <w:r>
              <w:rPr>
                <w:sz w:val="16"/>
              </w:rPr>
              <w:t>4</w:t>
            </w:r>
          </w:p>
        </w:tc>
        <w:tc>
          <w:tcPr>
            <w:tcW w:type="dxa" w:w="665"/>
            <w:shd w:fill="FAFAFA"/>
          </w:tcPr>
          <w:p>
            <w:pPr>
              <w:jc w:val="center"/>
            </w:pPr>
            <w:r>
              <w:rPr>
                <w:sz w:val="16"/>
              </w:rPr>
              <w:t>3</w:t>
            </w:r>
          </w:p>
        </w:tc>
        <w:tc>
          <w:tcPr>
            <w:tcW w:type="dxa" w:w="665"/>
            <w:shd w:fill="FAFAFA"/>
          </w:tcPr>
          <w:p>
            <w:pPr>
              <w:jc w:val="center"/>
            </w:pPr>
            <w:r>
              <w:rPr>
                <w:sz w:val="16"/>
              </w:rPr>
              <w:t>4</w:t>
            </w:r>
          </w:p>
        </w:tc>
        <w:tc>
          <w:tcPr>
            <w:tcW w:type="dxa" w:w="665"/>
            <w:shd w:fill="FAFAFA"/>
          </w:tcPr>
          <w:p>
            <w:pPr>
              <w:jc w:val="center"/>
            </w:pPr>
            <w:r>
              <w:rPr>
                <w:sz w:val="16"/>
              </w:rPr>
              <w:t>16</w:t>
            </w:r>
          </w:p>
        </w:tc>
        <w:tc>
          <w:tcPr>
            <w:tcW w:type="dxa" w:w="665"/>
            <w:shd w:fill="FAFAFA"/>
          </w:tcPr>
          <w:p>
            <w:pPr>
              <w:jc w:val="center"/>
            </w:pPr>
            <w:r>
              <w:rPr>
                <w:sz w:val="16"/>
              </w:rPr>
              <w:t>6</w:t>
            </w:r>
          </w:p>
        </w:tc>
        <w:tc>
          <w:tcPr>
            <w:tcW w:type="dxa" w:w="665"/>
            <w:shd w:fill="E8F5E9"/>
          </w:tcPr>
          <w:p>
            <w:pPr>
              <w:jc w:val="center"/>
            </w:pPr>
            <w:r>
              <w:rPr>
                <w:b/>
                <w:sz w:val="16"/>
              </w:rPr>
              <w:t>82</w:t>
            </w:r>
          </w:p>
        </w:tc>
        <w:tc>
          <w:tcPr>
            <w:tcW w:type="dxa" w:w="665"/>
            <w:shd w:fill="FAFAFA"/>
          </w:tcPr>
          <w:p>
            <w:pPr>
              <w:jc w:val="center"/>
            </w:pPr>
            <w:r>
              <w:rPr>
                <w:sz w:val="16"/>
              </w:rPr>
              <w:t>49</w:t>
            </w:r>
          </w:p>
        </w:tc>
        <w:tc>
          <w:tcPr>
            <w:tcW w:type="dxa" w:w="665"/>
            <w:shd w:fill="FAFAFA"/>
          </w:tcPr>
          <w:p>
            <w:pPr>
              <w:jc w:val="center"/>
            </w:pPr>
            <w:r>
              <w:rPr>
                <w:sz w:val="16"/>
              </w:rPr>
              <w:t>23</w:t>
            </w:r>
          </w:p>
        </w:tc>
        <w:tc>
          <w:tcPr>
            <w:tcW w:type="dxa" w:w="665"/>
            <w:shd w:fill="E8F5E9"/>
          </w:tcPr>
          <w:p>
            <w:pPr>
              <w:jc w:val="center"/>
            </w:pPr>
            <w:r>
              <w:rPr>
                <w:b/>
                <w:sz w:val="16"/>
              </w:rPr>
              <w:t>255</w:t>
            </w:r>
          </w:p>
        </w:tc>
        <w:tc>
          <w:tcPr>
            <w:tcW w:type="dxa" w:w="665"/>
            <w:shd w:fill="FFF3E0"/>
          </w:tcPr>
          <w:p>
            <w:pPr>
              <w:jc w:val="center"/>
            </w:pPr>
            <w:r>
              <w:rPr>
                <w:b/>
                <w:sz w:val="16"/>
              </w:rPr>
              <w:t>21.2</w:t>
            </w:r>
          </w:p>
        </w:tc>
      </w:tr>
      <w:tr>
        <w:tc>
          <w:tcPr>
            <w:tcW w:type="dxa" w:w="665"/>
            <w:shd w:fill="E3F2FD"/>
          </w:tcPr>
          <w:p>
            <w:pPr>
              <w:jc w:val="center"/>
            </w:pPr>
            <w:r>
              <w:rPr>
                <w:b/>
                <w:sz w:val="16"/>
              </w:rPr>
              <w:t>2026</w:t>
            </w:r>
          </w:p>
        </w:tc>
        <w:tc>
          <w:tcPr>
            <w:tcW w:type="dxa" w:w="665"/>
            <w:shd w:fill="E8F5E9"/>
          </w:tcPr>
          <w:p>
            <w:pPr>
              <w:jc w:val="center"/>
            </w:pPr>
            <w:r>
              <w:rPr>
                <w:b/>
                <w:sz w:val="16"/>
              </w:rPr>
              <w:t>50</w:t>
            </w:r>
          </w:p>
        </w:tc>
        <w:tc>
          <w:tcPr>
            <w:tcW w:type="dxa" w:w="665"/>
          </w:tcPr>
          <w:p>
            <w:pPr>
              <w:jc w:val="center"/>
            </w:pPr>
            <w:r>
              <w:rPr>
                <w:sz w:val="16"/>
              </w:rPr>
              <w:t>23</w:t>
            </w:r>
          </w:p>
        </w:tc>
        <w:tc>
          <w:tcPr>
            <w:tcW w:type="dxa" w:w="665"/>
            <w:shd w:fill="E8F5E9"/>
          </w:tcPr>
          <w:p>
            <w:pPr>
              <w:jc w:val="center"/>
            </w:pPr>
            <w:r>
              <w:rPr>
                <w:b/>
                <w:sz w:val="16"/>
              </w:rPr>
              <w:t>62</w:t>
            </w:r>
          </w:p>
        </w:tc>
        <w:tc>
          <w:tcPr>
            <w:tcW w:type="dxa" w:w="665"/>
          </w:tcPr>
          <w:p>
            <w:pPr>
              <w:jc w:val="center"/>
            </w:pPr>
            <w:r>
              <w:rPr>
                <w:sz w:val="16"/>
              </w:rPr>
              <w:t>—</w:t>
            </w:r>
          </w:p>
        </w:tc>
        <w:tc>
          <w:tcPr>
            <w:tcW w:type="dxa" w:w="665"/>
          </w:tcPr>
          <w:p>
            <w:pPr>
              <w:jc w:val="center"/>
            </w:pPr>
            <w:r>
              <w:rPr>
                <w:sz w:val="16"/>
              </w:rPr>
              <w:t>—</w:t>
            </w:r>
          </w:p>
        </w:tc>
        <w:tc>
          <w:tcPr>
            <w:tcW w:type="dxa" w:w="665"/>
          </w:tcPr>
          <w:p>
            <w:pPr>
              <w:jc w:val="center"/>
            </w:pPr>
            <w:r>
              <w:rPr>
                <w:sz w:val="16"/>
              </w:rPr>
              <w:t>—</w:t>
            </w:r>
          </w:p>
        </w:tc>
        <w:tc>
          <w:tcPr>
            <w:tcW w:type="dxa" w:w="665"/>
          </w:tcPr>
          <w:p>
            <w:pPr>
              <w:jc w:val="center"/>
            </w:pPr>
            <w:r>
              <w:rPr>
                <w:sz w:val="16"/>
              </w:rPr>
              <w:t>—</w:t>
            </w:r>
          </w:p>
        </w:tc>
        <w:tc>
          <w:tcPr>
            <w:tcW w:type="dxa" w:w="665"/>
          </w:tcPr>
          <w:p>
            <w:pPr>
              <w:jc w:val="center"/>
            </w:pPr>
            <w:r>
              <w:rPr>
                <w:sz w:val="16"/>
              </w:rPr>
              <w:t>—</w:t>
            </w:r>
          </w:p>
        </w:tc>
        <w:tc>
          <w:tcPr>
            <w:tcW w:type="dxa" w:w="665"/>
          </w:tcPr>
          <w:p>
            <w:pPr>
              <w:jc w:val="center"/>
            </w:pPr>
            <w:r>
              <w:rPr>
                <w:sz w:val="16"/>
              </w:rPr>
              <w:t>—</w:t>
            </w:r>
          </w:p>
        </w:tc>
        <w:tc>
          <w:tcPr>
            <w:tcW w:type="dxa" w:w="665"/>
          </w:tcPr>
          <w:p>
            <w:pPr>
              <w:jc w:val="center"/>
            </w:pPr>
            <w:r>
              <w:rPr>
                <w:sz w:val="16"/>
              </w:rPr>
              <w:t>—</w:t>
            </w:r>
          </w:p>
        </w:tc>
        <w:tc>
          <w:tcPr>
            <w:tcW w:type="dxa" w:w="665"/>
          </w:tcPr>
          <w:p>
            <w:pPr>
              <w:jc w:val="center"/>
            </w:pPr>
            <w:r>
              <w:rPr>
                <w:sz w:val="16"/>
              </w:rPr>
              <w:t>—</w:t>
            </w:r>
          </w:p>
        </w:tc>
        <w:tc>
          <w:tcPr>
            <w:tcW w:type="dxa" w:w="665"/>
          </w:tcPr>
          <w:p>
            <w:pPr>
              <w:jc w:val="center"/>
            </w:pPr>
            <w:r>
              <w:rPr>
                <w:sz w:val="16"/>
              </w:rPr>
              <w:t>—</w:t>
            </w:r>
          </w:p>
        </w:tc>
        <w:tc>
          <w:tcPr>
            <w:tcW w:type="dxa" w:w="665"/>
            <w:shd w:fill="E8F5E9"/>
          </w:tcPr>
          <w:p>
            <w:pPr>
              <w:jc w:val="center"/>
            </w:pPr>
            <w:r>
              <w:rPr>
                <w:b/>
                <w:sz w:val="16"/>
              </w:rPr>
              <w:t>135</w:t>
            </w:r>
          </w:p>
        </w:tc>
        <w:tc>
          <w:tcPr>
            <w:tcW w:type="dxa" w:w="665"/>
            <w:shd w:fill="FFF3E0"/>
          </w:tcPr>
          <w:p>
            <w:pPr>
              <w:jc w:val="center"/>
            </w:pPr>
            <w:r>
              <w:rPr>
                <w:b/>
                <w:sz w:val="16"/>
              </w:rPr>
              <w:t>45.0</w:t>
            </w:r>
          </w:p>
        </w:tc>
      </w:tr>
      <w:tr>
        <w:tc>
          <w:tcPr>
            <w:tcW w:type="dxa" w:w="665"/>
            <w:shd w:fill="1565C0"/>
          </w:tcPr>
          <w:p>
            <w:pPr>
              <w:jc w:val="center"/>
            </w:pPr>
            <w:r>
              <w:rPr>
                <w:b/>
                <w:color w:val="FFFFFF"/>
                <w:sz w:val="16"/>
              </w:rPr>
              <w:t>Avg</w:t>
            </w:r>
          </w:p>
        </w:tc>
        <w:tc>
          <w:tcPr>
            <w:tcW w:type="dxa" w:w="665"/>
            <w:shd w:fill="1565C0"/>
          </w:tcPr>
          <w:p>
            <w:pPr>
              <w:jc w:val="center"/>
            </w:pPr>
            <w:r>
              <w:rPr>
                <w:b/>
                <w:color w:val="FFFFFF"/>
                <w:sz w:val="16"/>
              </w:rPr>
              <w:t>32</w:t>
            </w:r>
          </w:p>
        </w:tc>
        <w:tc>
          <w:tcPr>
            <w:tcW w:type="dxa" w:w="665"/>
            <w:shd w:fill="1565C0"/>
          </w:tcPr>
          <w:p>
            <w:pPr>
              <w:jc w:val="center"/>
            </w:pPr>
            <w:r>
              <w:rPr>
                <w:b/>
                <w:color w:val="FFFFFF"/>
                <w:sz w:val="16"/>
              </w:rPr>
              <w:t>38</w:t>
            </w:r>
          </w:p>
        </w:tc>
        <w:tc>
          <w:tcPr>
            <w:tcW w:type="dxa" w:w="665"/>
            <w:shd w:fill="1565C0"/>
          </w:tcPr>
          <w:p>
            <w:pPr>
              <w:jc w:val="center"/>
            </w:pPr>
            <w:r>
              <w:rPr>
                <w:b/>
                <w:color w:val="FFFFFF"/>
                <w:sz w:val="16"/>
              </w:rPr>
              <w:t>30</w:t>
            </w:r>
          </w:p>
        </w:tc>
        <w:tc>
          <w:tcPr>
            <w:tcW w:type="dxa" w:w="665"/>
            <w:shd w:fill="1565C0"/>
          </w:tcPr>
          <w:p>
            <w:pPr>
              <w:jc w:val="center"/>
            </w:pPr>
            <w:r>
              <w:rPr>
                <w:b/>
                <w:color w:val="FFFFFF"/>
                <w:sz w:val="16"/>
              </w:rPr>
              <w:t>9</w:t>
            </w:r>
          </w:p>
        </w:tc>
        <w:tc>
          <w:tcPr>
            <w:tcW w:type="dxa" w:w="665"/>
            <w:shd w:fill="1565C0"/>
          </w:tcPr>
          <w:p>
            <w:pPr>
              <w:jc w:val="center"/>
            </w:pPr>
            <w:r>
              <w:rPr>
                <w:b/>
                <w:color w:val="FFFFFF"/>
                <w:sz w:val="16"/>
              </w:rPr>
              <w:t>5</w:t>
            </w:r>
          </w:p>
        </w:tc>
        <w:tc>
          <w:tcPr>
            <w:tcW w:type="dxa" w:w="665"/>
            <w:shd w:fill="1565C0"/>
          </w:tcPr>
          <w:p>
            <w:pPr>
              <w:jc w:val="center"/>
            </w:pPr>
            <w:r>
              <w:rPr>
                <w:b/>
                <w:color w:val="FFFFFF"/>
                <w:sz w:val="16"/>
              </w:rPr>
              <w:t>6</w:t>
            </w:r>
          </w:p>
        </w:tc>
        <w:tc>
          <w:tcPr>
            <w:tcW w:type="dxa" w:w="665"/>
            <w:shd w:fill="1565C0"/>
          </w:tcPr>
          <w:p>
            <w:pPr>
              <w:jc w:val="center"/>
            </w:pPr>
            <w:r>
              <w:rPr>
                <w:b/>
                <w:color w:val="FFFFFF"/>
                <w:sz w:val="16"/>
              </w:rPr>
              <w:t>7</w:t>
            </w:r>
          </w:p>
        </w:tc>
        <w:tc>
          <w:tcPr>
            <w:tcW w:type="dxa" w:w="665"/>
            <w:shd w:fill="1565C0"/>
          </w:tcPr>
          <w:p>
            <w:pPr>
              <w:jc w:val="center"/>
            </w:pPr>
            <w:r>
              <w:rPr>
                <w:b/>
                <w:color w:val="FFFFFF"/>
                <w:sz w:val="16"/>
              </w:rPr>
              <w:t>6</w:t>
            </w:r>
          </w:p>
        </w:tc>
        <w:tc>
          <w:tcPr>
            <w:tcW w:type="dxa" w:w="665"/>
            <w:shd w:fill="1565C0"/>
          </w:tcPr>
          <w:p>
            <w:pPr>
              <w:jc w:val="center"/>
            </w:pPr>
            <w:r>
              <w:rPr>
                <w:b/>
                <w:color w:val="FFFFFF"/>
                <w:sz w:val="16"/>
              </w:rPr>
              <w:t>13</w:t>
            </w:r>
          </w:p>
        </w:tc>
        <w:tc>
          <w:tcPr>
            <w:tcW w:type="dxa" w:w="665"/>
            <w:shd w:fill="1565C0"/>
          </w:tcPr>
          <w:p>
            <w:pPr>
              <w:jc w:val="center"/>
            </w:pPr>
            <w:r>
              <w:rPr>
                <w:b/>
                <w:color w:val="FFFFFF"/>
                <w:sz w:val="16"/>
              </w:rPr>
              <w:t>47</w:t>
            </w:r>
          </w:p>
        </w:tc>
        <w:tc>
          <w:tcPr>
            <w:tcW w:type="dxa" w:w="665"/>
            <w:shd w:fill="1565C0"/>
          </w:tcPr>
          <w:p>
            <w:pPr>
              <w:jc w:val="center"/>
            </w:pPr>
            <w:r>
              <w:rPr>
                <w:b/>
                <w:color w:val="FFFFFF"/>
                <w:sz w:val="16"/>
              </w:rPr>
              <w:t>39</w:t>
            </w:r>
          </w:p>
        </w:tc>
        <w:tc>
          <w:tcPr>
            <w:tcW w:type="dxa" w:w="665"/>
            <w:shd w:fill="1565C0"/>
          </w:tcPr>
          <w:p>
            <w:pPr>
              <w:jc w:val="center"/>
            </w:pPr>
            <w:r>
              <w:rPr>
                <w:b/>
                <w:color w:val="FFFFFF"/>
                <w:sz w:val="16"/>
              </w:rPr>
              <w:t>27</w:t>
            </w:r>
          </w:p>
        </w:tc>
        <w:tc>
          <w:tcPr>
            <w:tcW w:type="dxa" w:w="665"/>
            <w:shd w:fill="1565C0"/>
          </w:tcPr>
          <w:p>
            <w:r/>
          </w:p>
        </w:tc>
        <w:tc>
          <w:tcPr>
            <w:tcW w:type="dxa" w:w="665"/>
            <w:shd w:fill="1565C0"/>
          </w:tcPr>
          <w:p>
            <w:r/>
          </w:p>
        </w:tc>
      </w:tr>
    </w:tbl>
    <w:p/>
    <w:p>
      <w:pPr>
        <w:spacing w:after="80"/>
      </w:pPr>
      <w:r>
        <w:rPr>
          <w:b/>
          <w:i w:val="0"/>
          <w:color w:val="0D1B2A"/>
          <w:sz w:val="24"/>
        </w:rPr>
        <w:t>TABLE B — Yearly Summary Statistics</w:t>
      </w:r>
    </w:p>
    <w:tbl>
      <w:tblPr>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25"/>
            <w:shd w:fill="0D1B2A"/>
          </w:tcPr>
          <w:p>
            <w:pPr>
              <w:jc w:val="center"/>
            </w:pPr>
            <w:r>
              <w:rPr>
                <w:b/>
                <w:color w:val="FFFFFF"/>
                <w:sz w:val="17"/>
              </w:rPr>
              <w:t>Year</w:t>
            </w:r>
          </w:p>
        </w:tc>
        <w:tc>
          <w:tcPr>
            <w:tcW w:type="dxa" w:w="1425"/>
            <w:shd w:fill="0D1B2A"/>
          </w:tcPr>
          <w:p>
            <w:pPr>
              <w:jc w:val="center"/>
            </w:pPr>
            <w:r>
              <w:rPr>
                <w:b/>
                <w:color w:val="FFFFFF"/>
                <w:sz w:val="17"/>
              </w:rPr>
              <w:t>Total</w:t>
              <w:br/>
              <w:t>Ships</w:t>
            </w:r>
          </w:p>
        </w:tc>
        <w:tc>
          <w:tcPr>
            <w:tcW w:type="dxa" w:w="1425"/>
            <w:shd w:fill="0D1B2A"/>
          </w:tcPr>
          <w:p>
            <w:pPr>
              <w:jc w:val="center"/>
            </w:pPr>
            <w:r>
              <w:rPr>
                <w:b/>
                <w:color w:val="FFFFFF"/>
                <w:sz w:val="17"/>
              </w:rPr>
              <w:t>Months</w:t>
              <w:br/>
              <w:t>Observed</w:t>
            </w:r>
          </w:p>
        </w:tc>
        <w:tc>
          <w:tcPr>
            <w:tcW w:type="dxa" w:w="1425"/>
            <w:shd w:fill="0D1B2A"/>
          </w:tcPr>
          <w:p>
            <w:pPr>
              <w:jc w:val="center"/>
            </w:pPr>
            <w:r>
              <w:rPr>
                <w:b/>
                <w:color w:val="FFFFFF"/>
                <w:sz w:val="17"/>
              </w:rPr>
              <w:t>Monthly</w:t>
              <w:br/>
              <w:t>Avg</w:t>
            </w:r>
          </w:p>
        </w:tc>
        <w:tc>
          <w:tcPr>
            <w:tcW w:type="dxa" w:w="1425"/>
            <w:shd w:fill="0D1B2A"/>
          </w:tcPr>
          <w:p>
            <w:pPr>
              <w:jc w:val="center"/>
            </w:pPr>
            <w:r>
              <w:rPr>
                <w:b/>
                <w:color w:val="FFFFFF"/>
                <w:sz w:val="17"/>
              </w:rPr>
              <w:t>Monthly</w:t>
              <w:br/>
              <w:t>Median</w:t>
            </w:r>
          </w:p>
        </w:tc>
        <w:tc>
          <w:tcPr>
            <w:tcW w:type="dxa" w:w="1425"/>
            <w:shd w:fill="0D1B2A"/>
          </w:tcPr>
          <w:p>
            <w:pPr>
              <w:jc w:val="center"/>
            </w:pPr>
            <w:r>
              <w:rPr>
                <w:b/>
                <w:color w:val="FFFFFF"/>
                <w:sz w:val="17"/>
              </w:rPr>
              <w:t>Peak</w:t>
              <w:br/>
              <w:t>Month</w:t>
            </w:r>
          </w:p>
        </w:tc>
        <w:tc>
          <w:tcPr>
            <w:tcW w:type="dxa" w:w="1425"/>
            <w:shd w:fill="0D1B2A"/>
          </w:tcPr>
          <w:p>
            <w:pPr>
              <w:jc w:val="center"/>
            </w:pPr>
            <w:r>
              <w:rPr>
                <w:b/>
                <w:color w:val="FFFFFF"/>
                <w:sz w:val="17"/>
              </w:rPr>
              <w:t>Peak</w:t>
              <w:br/>
              <w:t>Count</w:t>
            </w:r>
          </w:p>
        </w:tc>
      </w:tr>
      <w:tr>
        <w:tc>
          <w:tcPr>
            <w:tcW w:type="dxa" w:w="1425"/>
            <w:shd w:fill="E3F2FD"/>
          </w:tcPr>
          <w:p>
            <w:pPr>
              <w:jc w:val="center"/>
            </w:pPr>
            <w:r>
              <w:rPr>
                <w:b/>
                <w:sz w:val="17"/>
              </w:rPr>
              <w:t>2018</w:t>
            </w:r>
          </w:p>
        </w:tc>
        <w:tc>
          <w:tcPr>
            <w:tcW w:type="dxa" w:w="1425"/>
          </w:tcPr>
          <w:p>
            <w:pPr>
              <w:jc w:val="center"/>
            </w:pPr>
            <w:r>
              <w:rPr>
                <w:sz w:val="17"/>
              </w:rPr>
              <w:t>264</w:t>
            </w:r>
          </w:p>
        </w:tc>
        <w:tc>
          <w:tcPr>
            <w:tcW w:type="dxa" w:w="1425"/>
          </w:tcPr>
          <w:p>
            <w:pPr>
              <w:jc w:val="center"/>
            </w:pPr>
            <w:r>
              <w:rPr>
                <w:sz w:val="17"/>
              </w:rPr>
              <w:t>11</w:t>
            </w:r>
          </w:p>
        </w:tc>
        <w:tc>
          <w:tcPr>
            <w:tcW w:type="dxa" w:w="1425"/>
          </w:tcPr>
          <w:p>
            <w:pPr>
              <w:jc w:val="center"/>
            </w:pPr>
            <w:r>
              <w:rPr>
                <w:sz w:val="17"/>
              </w:rPr>
              <w:t>24.0</w:t>
            </w:r>
          </w:p>
        </w:tc>
        <w:tc>
          <w:tcPr>
            <w:tcW w:type="dxa" w:w="1425"/>
          </w:tcPr>
          <w:p>
            <w:pPr>
              <w:jc w:val="center"/>
            </w:pPr>
            <w:r>
              <w:rPr>
                <w:sz w:val="17"/>
              </w:rPr>
              <w:t>22</w:t>
            </w:r>
          </w:p>
        </w:tc>
        <w:tc>
          <w:tcPr>
            <w:tcW w:type="dxa" w:w="1425"/>
          </w:tcPr>
          <w:p>
            <w:pPr>
              <w:jc w:val="center"/>
            </w:pPr>
            <w:r>
              <w:rPr>
                <w:sz w:val="17"/>
              </w:rPr>
              <w:t>Sep</w:t>
            </w:r>
          </w:p>
        </w:tc>
        <w:tc>
          <w:tcPr>
            <w:tcW w:type="dxa" w:w="1425"/>
          </w:tcPr>
          <w:p>
            <w:pPr>
              <w:jc w:val="center"/>
            </w:pPr>
            <w:r>
              <w:rPr>
                <w:sz w:val="17"/>
              </w:rPr>
              <w:t>50</w:t>
            </w:r>
          </w:p>
        </w:tc>
      </w:tr>
      <w:tr>
        <w:tc>
          <w:tcPr>
            <w:tcW w:type="dxa" w:w="1425"/>
            <w:shd w:fill="E3F2FD"/>
          </w:tcPr>
          <w:p>
            <w:pPr>
              <w:jc w:val="center"/>
            </w:pPr>
            <w:r>
              <w:rPr>
                <w:b/>
                <w:sz w:val="17"/>
              </w:rPr>
              <w:t>2019</w:t>
            </w:r>
          </w:p>
        </w:tc>
        <w:tc>
          <w:tcPr>
            <w:tcW w:type="dxa" w:w="1425"/>
            <w:shd w:fill="F5F5F5"/>
          </w:tcPr>
          <w:p>
            <w:pPr>
              <w:jc w:val="center"/>
            </w:pPr>
            <w:r>
              <w:rPr>
                <w:sz w:val="17"/>
              </w:rPr>
              <w:t>303</w:t>
            </w:r>
          </w:p>
        </w:tc>
        <w:tc>
          <w:tcPr>
            <w:tcW w:type="dxa" w:w="1425"/>
            <w:shd w:fill="F5F5F5"/>
          </w:tcPr>
          <w:p>
            <w:pPr>
              <w:jc w:val="center"/>
            </w:pPr>
            <w:r>
              <w:rPr>
                <w:sz w:val="17"/>
              </w:rPr>
              <w:t>12</w:t>
            </w:r>
          </w:p>
        </w:tc>
        <w:tc>
          <w:tcPr>
            <w:tcW w:type="dxa" w:w="1425"/>
            <w:shd w:fill="F5F5F5"/>
          </w:tcPr>
          <w:p>
            <w:pPr>
              <w:jc w:val="center"/>
            </w:pPr>
            <w:r>
              <w:rPr>
                <w:sz w:val="17"/>
              </w:rPr>
              <w:t>25.2</w:t>
            </w:r>
          </w:p>
        </w:tc>
        <w:tc>
          <w:tcPr>
            <w:tcW w:type="dxa" w:w="1425"/>
            <w:shd w:fill="F5F5F5"/>
          </w:tcPr>
          <w:p>
            <w:pPr>
              <w:jc w:val="center"/>
            </w:pPr>
            <w:r>
              <w:rPr>
                <w:sz w:val="17"/>
              </w:rPr>
              <w:t>22</w:t>
            </w:r>
          </w:p>
        </w:tc>
        <w:tc>
          <w:tcPr>
            <w:tcW w:type="dxa" w:w="1425"/>
            <w:shd w:fill="F5F5F5"/>
          </w:tcPr>
          <w:p>
            <w:pPr>
              <w:jc w:val="center"/>
            </w:pPr>
            <w:r>
              <w:rPr>
                <w:sz w:val="17"/>
              </w:rPr>
              <w:t>Feb</w:t>
            </w:r>
          </w:p>
        </w:tc>
        <w:tc>
          <w:tcPr>
            <w:tcW w:type="dxa" w:w="1425"/>
            <w:shd w:fill="F5F5F5"/>
          </w:tcPr>
          <w:p>
            <w:pPr>
              <w:jc w:val="center"/>
            </w:pPr>
            <w:r>
              <w:rPr>
                <w:sz w:val="17"/>
              </w:rPr>
              <w:t>75</w:t>
            </w:r>
          </w:p>
        </w:tc>
      </w:tr>
      <w:tr>
        <w:tc>
          <w:tcPr>
            <w:tcW w:type="dxa" w:w="1425"/>
            <w:shd w:fill="E3F2FD"/>
          </w:tcPr>
          <w:p>
            <w:pPr>
              <w:jc w:val="center"/>
            </w:pPr>
            <w:r>
              <w:rPr>
                <w:b/>
                <w:sz w:val="17"/>
              </w:rPr>
              <w:t>2020</w:t>
            </w:r>
          </w:p>
        </w:tc>
        <w:tc>
          <w:tcPr>
            <w:tcW w:type="dxa" w:w="1425"/>
          </w:tcPr>
          <w:p>
            <w:pPr>
              <w:jc w:val="center"/>
            </w:pPr>
            <w:r>
              <w:rPr>
                <w:sz w:val="17"/>
              </w:rPr>
              <w:t>313</w:t>
            </w:r>
          </w:p>
        </w:tc>
        <w:tc>
          <w:tcPr>
            <w:tcW w:type="dxa" w:w="1425"/>
          </w:tcPr>
          <w:p>
            <w:pPr>
              <w:jc w:val="center"/>
            </w:pPr>
            <w:r>
              <w:rPr>
                <w:sz w:val="17"/>
              </w:rPr>
              <w:t>12</w:t>
            </w:r>
          </w:p>
        </w:tc>
        <w:tc>
          <w:tcPr>
            <w:tcW w:type="dxa" w:w="1425"/>
          </w:tcPr>
          <w:p>
            <w:pPr>
              <w:jc w:val="center"/>
            </w:pPr>
            <w:r>
              <w:rPr>
                <w:sz w:val="17"/>
              </w:rPr>
              <w:t>26.1</w:t>
            </w:r>
          </w:p>
        </w:tc>
        <w:tc>
          <w:tcPr>
            <w:tcW w:type="dxa" w:w="1425"/>
          </w:tcPr>
          <w:p>
            <w:pPr>
              <w:jc w:val="center"/>
            </w:pPr>
            <w:r>
              <w:rPr>
                <w:sz w:val="17"/>
              </w:rPr>
              <w:t>30</w:t>
            </w:r>
          </w:p>
        </w:tc>
        <w:tc>
          <w:tcPr>
            <w:tcW w:type="dxa" w:w="1425"/>
          </w:tcPr>
          <w:p>
            <w:pPr>
              <w:jc w:val="center"/>
            </w:pPr>
            <w:r>
              <w:rPr>
                <w:sz w:val="17"/>
              </w:rPr>
              <w:t>Feb</w:t>
            </w:r>
          </w:p>
        </w:tc>
        <w:tc>
          <w:tcPr>
            <w:tcW w:type="dxa" w:w="1425"/>
          </w:tcPr>
          <w:p>
            <w:pPr>
              <w:jc w:val="center"/>
            </w:pPr>
            <w:r>
              <w:rPr>
                <w:sz w:val="17"/>
              </w:rPr>
              <w:t>59</w:t>
            </w:r>
          </w:p>
        </w:tc>
      </w:tr>
      <w:tr>
        <w:tc>
          <w:tcPr>
            <w:tcW w:type="dxa" w:w="1425"/>
            <w:shd w:fill="E3F2FD"/>
          </w:tcPr>
          <w:p>
            <w:pPr>
              <w:jc w:val="center"/>
            </w:pPr>
            <w:r>
              <w:rPr>
                <w:b/>
                <w:sz w:val="17"/>
              </w:rPr>
              <w:t>2021</w:t>
            </w:r>
          </w:p>
        </w:tc>
        <w:tc>
          <w:tcPr>
            <w:tcW w:type="dxa" w:w="1425"/>
            <w:shd w:fill="F5F5F5"/>
          </w:tcPr>
          <w:p>
            <w:pPr>
              <w:jc w:val="center"/>
            </w:pPr>
            <w:r>
              <w:rPr>
                <w:sz w:val="17"/>
              </w:rPr>
              <w:t>228</w:t>
            </w:r>
          </w:p>
        </w:tc>
        <w:tc>
          <w:tcPr>
            <w:tcW w:type="dxa" w:w="1425"/>
            <w:shd w:fill="F5F5F5"/>
          </w:tcPr>
          <w:p>
            <w:pPr>
              <w:jc w:val="center"/>
            </w:pPr>
            <w:r>
              <w:rPr>
                <w:sz w:val="17"/>
              </w:rPr>
              <w:t>12</w:t>
            </w:r>
          </w:p>
        </w:tc>
        <w:tc>
          <w:tcPr>
            <w:tcW w:type="dxa" w:w="1425"/>
            <w:shd w:fill="F5F5F5"/>
          </w:tcPr>
          <w:p>
            <w:pPr>
              <w:jc w:val="center"/>
            </w:pPr>
            <w:r>
              <w:rPr>
                <w:sz w:val="17"/>
              </w:rPr>
              <w:t>19.0</w:t>
            </w:r>
          </w:p>
        </w:tc>
        <w:tc>
          <w:tcPr>
            <w:tcW w:type="dxa" w:w="1425"/>
            <w:shd w:fill="F5F5F5"/>
          </w:tcPr>
          <w:p>
            <w:pPr>
              <w:jc w:val="center"/>
            </w:pPr>
            <w:r>
              <w:rPr>
                <w:sz w:val="17"/>
              </w:rPr>
              <w:t>14</w:t>
            </w:r>
          </w:p>
        </w:tc>
        <w:tc>
          <w:tcPr>
            <w:tcW w:type="dxa" w:w="1425"/>
            <w:shd w:fill="F5F5F5"/>
          </w:tcPr>
          <w:p>
            <w:pPr>
              <w:jc w:val="center"/>
            </w:pPr>
            <w:r>
              <w:rPr>
                <w:sz w:val="17"/>
              </w:rPr>
              <w:t>Jan</w:t>
            </w:r>
          </w:p>
        </w:tc>
        <w:tc>
          <w:tcPr>
            <w:tcW w:type="dxa" w:w="1425"/>
            <w:shd w:fill="F5F5F5"/>
          </w:tcPr>
          <w:p>
            <w:pPr>
              <w:jc w:val="center"/>
            </w:pPr>
            <w:r>
              <w:rPr>
                <w:sz w:val="17"/>
              </w:rPr>
              <w:t>56</w:t>
            </w:r>
          </w:p>
        </w:tc>
      </w:tr>
      <w:tr>
        <w:tc>
          <w:tcPr>
            <w:tcW w:type="dxa" w:w="1425"/>
            <w:shd w:fill="E3F2FD"/>
          </w:tcPr>
          <w:p>
            <w:pPr>
              <w:jc w:val="center"/>
            </w:pPr>
            <w:r>
              <w:rPr>
                <w:b/>
                <w:sz w:val="17"/>
              </w:rPr>
              <w:t>2022</w:t>
            </w:r>
          </w:p>
        </w:tc>
        <w:tc>
          <w:tcPr>
            <w:tcW w:type="dxa" w:w="1425"/>
          </w:tcPr>
          <w:p>
            <w:pPr>
              <w:jc w:val="center"/>
            </w:pPr>
            <w:r>
              <w:rPr>
                <w:sz w:val="17"/>
              </w:rPr>
              <w:t>211</w:t>
            </w:r>
          </w:p>
        </w:tc>
        <w:tc>
          <w:tcPr>
            <w:tcW w:type="dxa" w:w="1425"/>
          </w:tcPr>
          <w:p>
            <w:pPr>
              <w:jc w:val="center"/>
            </w:pPr>
            <w:r>
              <w:rPr>
                <w:sz w:val="17"/>
              </w:rPr>
              <w:t>12</w:t>
            </w:r>
          </w:p>
        </w:tc>
        <w:tc>
          <w:tcPr>
            <w:tcW w:type="dxa" w:w="1425"/>
          </w:tcPr>
          <w:p>
            <w:pPr>
              <w:jc w:val="center"/>
            </w:pPr>
            <w:r>
              <w:rPr>
                <w:sz w:val="17"/>
              </w:rPr>
              <w:t>17.6</w:t>
            </w:r>
          </w:p>
        </w:tc>
        <w:tc>
          <w:tcPr>
            <w:tcW w:type="dxa" w:w="1425"/>
          </w:tcPr>
          <w:p>
            <w:pPr>
              <w:jc w:val="center"/>
            </w:pPr>
            <w:r>
              <w:rPr>
                <w:sz w:val="17"/>
              </w:rPr>
              <w:t>18</w:t>
            </w:r>
          </w:p>
        </w:tc>
        <w:tc>
          <w:tcPr>
            <w:tcW w:type="dxa" w:w="1425"/>
          </w:tcPr>
          <w:p>
            <w:pPr>
              <w:jc w:val="center"/>
            </w:pPr>
            <w:r>
              <w:rPr>
                <w:sz w:val="17"/>
              </w:rPr>
              <w:t>Oct</w:t>
            </w:r>
          </w:p>
        </w:tc>
        <w:tc>
          <w:tcPr>
            <w:tcW w:type="dxa" w:w="1425"/>
          </w:tcPr>
          <w:p>
            <w:pPr>
              <w:jc w:val="center"/>
            </w:pPr>
            <w:r>
              <w:rPr>
                <w:sz w:val="17"/>
              </w:rPr>
              <w:t>39</w:t>
            </w:r>
          </w:p>
        </w:tc>
      </w:tr>
      <w:tr>
        <w:tc>
          <w:tcPr>
            <w:tcW w:type="dxa" w:w="1425"/>
            <w:shd w:fill="E3F2FD"/>
          </w:tcPr>
          <w:p>
            <w:pPr>
              <w:jc w:val="center"/>
            </w:pPr>
            <w:r>
              <w:rPr>
                <w:b/>
                <w:sz w:val="17"/>
              </w:rPr>
              <w:t>2023</w:t>
            </w:r>
          </w:p>
        </w:tc>
        <w:tc>
          <w:tcPr>
            <w:tcW w:type="dxa" w:w="1425"/>
            <w:shd w:fill="F5F5F5"/>
          </w:tcPr>
          <w:p>
            <w:pPr>
              <w:jc w:val="center"/>
            </w:pPr>
            <w:r>
              <w:rPr>
                <w:sz w:val="17"/>
              </w:rPr>
              <w:t>229</w:t>
            </w:r>
          </w:p>
        </w:tc>
        <w:tc>
          <w:tcPr>
            <w:tcW w:type="dxa" w:w="1425"/>
            <w:shd w:fill="F5F5F5"/>
          </w:tcPr>
          <w:p>
            <w:pPr>
              <w:jc w:val="center"/>
            </w:pPr>
            <w:r>
              <w:rPr>
                <w:sz w:val="17"/>
              </w:rPr>
              <w:t>12</w:t>
            </w:r>
          </w:p>
        </w:tc>
        <w:tc>
          <w:tcPr>
            <w:tcW w:type="dxa" w:w="1425"/>
            <w:shd w:fill="F5F5F5"/>
          </w:tcPr>
          <w:p>
            <w:pPr>
              <w:jc w:val="center"/>
            </w:pPr>
            <w:r>
              <w:rPr>
                <w:sz w:val="17"/>
              </w:rPr>
              <w:t>19.1</w:t>
            </w:r>
          </w:p>
        </w:tc>
        <w:tc>
          <w:tcPr>
            <w:tcW w:type="dxa" w:w="1425"/>
            <w:shd w:fill="F5F5F5"/>
          </w:tcPr>
          <w:p>
            <w:pPr>
              <w:jc w:val="center"/>
            </w:pPr>
            <w:r>
              <w:rPr>
                <w:sz w:val="17"/>
              </w:rPr>
              <w:t>16</w:t>
            </w:r>
          </w:p>
        </w:tc>
        <w:tc>
          <w:tcPr>
            <w:tcW w:type="dxa" w:w="1425"/>
            <w:shd w:fill="F5F5F5"/>
          </w:tcPr>
          <w:p>
            <w:pPr>
              <w:jc w:val="center"/>
            </w:pPr>
            <w:r>
              <w:rPr>
                <w:sz w:val="17"/>
              </w:rPr>
              <w:t>Oct</w:t>
            </w:r>
          </w:p>
        </w:tc>
        <w:tc>
          <w:tcPr>
            <w:tcW w:type="dxa" w:w="1425"/>
            <w:shd w:fill="F5F5F5"/>
          </w:tcPr>
          <w:p>
            <w:pPr>
              <w:jc w:val="center"/>
            </w:pPr>
            <w:r>
              <w:rPr>
                <w:sz w:val="17"/>
              </w:rPr>
              <w:t>41</w:t>
            </w:r>
          </w:p>
        </w:tc>
      </w:tr>
      <w:tr>
        <w:tc>
          <w:tcPr>
            <w:tcW w:type="dxa" w:w="1425"/>
            <w:shd w:fill="E3F2FD"/>
          </w:tcPr>
          <w:p>
            <w:pPr>
              <w:jc w:val="center"/>
            </w:pPr>
            <w:r>
              <w:rPr>
                <w:b/>
                <w:sz w:val="17"/>
              </w:rPr>
              <w:t>2024</w:t>
            </w:r>
          </w:p>
        </w:tc>
        <w:tc>
          <w:tcPr>
            <w:tcW w:type="dxa" w:w="1425"/>
          </w:tcPr>
          <w:p>
            <w:pPr>
              <w:jc w:val="center"/>
            </w:pPr>
            <w:r>
              <w:rPr>
                <w:sz w:val="17"/>
              </w:rPr>
              <w:t>230</w:t>
            </w:r>
          </w:p>
        </w:tc>
        <w:tc>
          <w:tcPr>
            <w:tcW w:type="dxa" w:w="1425"/>
          </w:tcPr>
          <w:p>
            <w:pPr>
              <w:jc w:val="center"/>
            </w:pPr>
            <w:r>
              <w:rPr>
                <w:sz w:val="17"/>
              </w:rPr>
              <w:t>12</w:t>
            </w:r>
          </w:p>
        </w:tc>
        <w:tc>
          <w:tcPr>
            <w:tcW w:type="dxa" w:w="1425"/>
          </w:tcPr>
          <w:p>
            <w:pPr>
              <w:jc w:val="center"/>
            </w:pPr>
            <w:r>
              <w:rPr>
                <w:sz w:val="17"/>
              </w:rPr>
              <w:t>19.2</w:t>
            </w:r>
          </w:p>
        </w:tc>
        <w:tc>
          <w:tcPr>
            <w:tcW w:type="dxa" w:w="1425"/>
          </w:tcPr>
          <w:p>
            <w:pPr>
              <w:jc w:val="center"/>
            </w:pPr>
            <w:r>
              <w:rPr>
                <w:sz w:val="17"/>
              </w:rPr>
              <w:t>13</w:t>
            </w:r>
          </w:p>
        </w:tc>
        <w:tc>
          <w:tcPr>
            <w:tcW w:type="dxa" w:w="1425"/>
          </w:tcPr>
          <w:p>
            <w:pPr>
              <w:jc w:val="center"/>
            </w:pPr>
            <w:r>
              <w:rPr>
                <w:sz w:val="17"/>
              </w:rPr>
              <w:t>Oct</w:t>
            </w:r>
          </w:p>
        </w:tc>
        <w:tc>
          <w:tcPr>
            <w:tcW w:type="dxa" w:w="1425"/>
          </w:tcPr>
          <w:p>
            <w:pPr>
              <w:jc w:val="center"/>
            </w:pPr>
            <w:r>
              <w:rPr>
                <w:sz w:val="17"/>
              </w:rPr>
              <w:t>67</w:t>
            </w:r>
          </w:p>
        </w:tc>
      </w:tr>
      <w:tr>
        <w:tc>
          <w:tcPr>
            <w:tcW w:type="dxa" w:w="1425"/>
            <w:shd w:fill="E3F2FD"/>
          </w:tcPr>
          <w:p>
            <w:pPr>
              <w:jc w:val="center"/>
            </w:pPr>
            <w:r>
              <w:rPr>
                <w:b/>
                <w:sz w:val="17"/>
              </w:rPr>
              <w:t>2025</w:t>
            </w:r>
          </w:p>
        </w:tc>
        <w:tc>
          <w:tcPr>
            <w:tcW w:type="dxa" w:w="1425"/>
            <w:shd w:fill="F5F5F5"/>
          </w:tcPr>
          <w:p>
            <w:pPr>
              <w:jc w:val="center"/>
            </w:pPr>
            <w:r>
              <w:rPr>
                <w:sz w:val="17"/>
              </w:rPr>
              <w:t>255</w:t>
            </w:r>
          </w:p>
        </w:tc>
        <w:tc>
          <w:tcPr>
            <w:tcW w:type="dxa" w:w="1425"/>
            <w:shd w:fill="F5F5F5"/>
          </w:tcPr>
          <w:p>
            <w:pPr>
              <w:jc w:val="center"/>
            </w:pPr>
            <w:r>
              <w:rPr>
                <w:sz w:val="17"/>
              </w:rPr>
              <w:t>12</w:t>
            </w:r>
          </w:p>
        </w:tc>
        <w:tc>
          <w:tcPr>
            <w:tcW w:type="dxa" w:w="1425"/>
            <w:shd w:fill="F5F5F5"/>
          </w:tcPr>
          <w:p>
            <w:pPr>
              <w:jc w:val="center"/>
            </w:pPr>
            <w:r>
              <w:rPr>
                <w:sz w:val="17"/>
              </w:rPr>
              <w:t>21.2</w:t>
            </w:r>
          </w:p>
        </w:tc>
        <w:tc>
          <w:tcPr>
            <w:tcW w:type="dxa" w:w="1425"/>
            <w:shd w:fill="F5F5F5"/>
          </w:tcPr>
          <w:p>
            <w:pPr>
              <w:jc w:val="center"/>
            </w:pPr>
            <w:r>
              <w:rPr>
                <w:sz w:val="17"/>
              </w:rPr>
              <w:t>14</w:t>
            </w:r>
          </w:p>
        </w:tc>
        <w:tc>
          <w:tcPr>
            <w:tcW w:type="dxa" w:w="1425"/>
            <w:shd w:fill="F5F5F5"/>
          </w:tcPr>
          <w:p>
            <w:pPr>
              <w:jc w:val="center"/>
            </w:pPr>
            <w:r>
              <w:rPr>
                <w:sz w:val="17"/>
              </w:rPr>
              <w:t>Oct</w:t>
            </w:r>
          </w:p>
        </w:tc>
        <w:tc>
          <w:tcPr>
            <w:tcW w:type="dxa" w:w="1425"/>
            <w:shd w:fill="F5F5F5"/>
          </w:tcPr>
          <w:p>
            <w:pPr>
              <w:jc w:val="center"/>
            </w:pPr>
            <w:r>
              <w:rPr>
                <w:sz w:val="17"/>
              </w:rPr>
              <w:t>82</w:t>
            </w:r>
          </w:p>
        </w:tc>
      </w:tr>
      <w:tr>
        <w:tc>
          <w:tcPr>
            <w:tcW w:type="dxa" w:w="1425"/>
            <w:shd w:fill="E3F2FD"/>
          </w:tcPr>
          <w:p>
            <w:pPr>
              <w:jc w:val="center"/>
            </w:pPr>
            <w:r>
              <w:rPr>
                <w:b/>
                <w:sz w:val="17"/>
              </w:rPr>
              <w:t>2026</w:t>
            </w:r>
          </w:p>
        </w:tc>
        <w:tc>
          <w:tcPr>
            <w:tcW w:type="dxa" w:w="1425"/>
          </w:tcPr>
          <w:p>
            <w:pPr>
              <w:jc w:val="center"/>
            </w:pPr>
            <w:r>
              <w:rPr>
                <w:sz w:val="17"/>
              </w:rPr>
              <w:t>135</w:t>
            </w:r>
          </w:p>
        </w:tc>
        <w:tc>
          <w:tcPr>
            <w:tcW w:type="dxa" w:w="1425"/>
          </w:tcPr>
          <w:p>
            <w:pPr>
              <w:jc w:val="center"/>
            </w:pPr>
            <w:r>
              <w:rPr>
                <w:sz w:val="17"/>
              </w:rPr>
              <w:t>3</w:t>
            </w:r>
          </w:p>
        </w:tc>
        <w:tc>
          <w:tcPr>
            <w:tcW w:type="dxa" w:w="1425"/>
          </w:tcPr>
          <w:p>
            <w:pPr>
              <w:jc w:val="center"/>
            </w:pPr>
            <w:r>
              <w:rPr>
                <w:sz w:val="17"/>
              </w:rPr>
              <w:t>45.0</w:t>
            </w:r>
          </w:p>
        </w:tc>
        <w:tc>
          <w:tcPr>
            <w:tcW w:type="dxa" w:w="1425"/>
          </w:tcPr>
          <w:p>
            <w:pPr>
              <w:jc w:val="center"/>
            </w:pPr>
            <w:r>
              <w:rPr>
                <w:sz w:val="17"/>
              </w:rPr>
              <w:t>50</w:t>
            </w:r>
          </w:p>
        </w:tc>
        <w:tc>
          <w:tcPr>
            <w:tcW w:type="dxa" w:w="1425"/>
          </w:tcPr>
          <w:p>
            <w:pPr>
              <w:jc w:val="center"/>
            </w:pPr>
            <w:r>
              <w:rPr>
                <w:sz w:val="17"/>
              </w:rPr>
              <w:t>Mar</w:t>
            </w:r>
          </w:p>
        </w:tc>
        <w:tc>
          <w:tcPr>
            <w:tcW w:type="dxa" w:w="1425"/>
          </w:tcPr>
          <w:p>
            <w:pPr>
              <w:jc w:val="center"/>
            </w:pPr>
            <w:r>
              <w:rPr>
                <w:sz w:val="17"/>
              </w:rPr>
              <w:t>62</w:t>
            </w:r>
          </w:p>
        </w:tc>
      </w:tr>
    </w:tbl>
    <w:p/>
    <w:p>
      <w:pPr>
        <w:spacing w:after="80"/>
      </w:pPr>
      <w:r>
        <w:rPr>
          <w:b/>
          <w:i w:val="0"/>
          <w:color w:val="0D1B2A"/>
          <w:sz w:val="24"/>
        </w:rPr>
        <w:t>TABLE C — Seasonal Averages by Quarter (All Years)</w:t>
      </w:r>
    </w:p>
    <w:tbl>
      <w:tblPr>
        <w:tblW w:type="auto" w:w="0"/>
        <w:jc w:val="center"/>
        <w:tblLook w:firstColumn="1" w:firstRow="1" w:lastColumn="0" w:lastRow="0" w:noHBand="0" w:noVBand="1" w:val="04A0"/>
      </w:tblPr>
      <w:tblGrid>
        <w:gridCol w:w="1994"/>
        <w:gridCol w:w="1994"/>
        <w:gridCol w:w="1994"/>
        <w:gridCol w:w="1994"/>
        <w:gridCol w:w="1994"/>
      </w:tblGrid>
      <w:tr>
        <w:tc>
          <w:tcPr>
            <w:tcW w:type="dxa" w:w="1994"/>
            <w:shd w:fill="0D1B2A"/>
          </w:tcPr>
          <w:p>
            <w:pPr>
              <w:jc w:val="center"/>
            </w:pPr>
            <w:r>
              <w:rPr>
                <w:b/>
                <w:color w:val="FFFFFF"/>
                <w:sz w:val="18"/>
              </w:rPr>
              <w:t>Quarter</w:t>
            </w:r>
          </w:p>
        </w:tc>
        <w:tc>
          <w:tcPr>
            <w:tcW w:type="dxa" w:w="1994"/>
            <w:shd w:fill="0D1B2A"/>
          </w:tcPr>
          <w:p>
            <w:pPr>
              <w:jc w:val="center"/>
            </w:pPr>
            <w:r>
              <w:rPr>
                <w:b/>
                <w:color w:val="FFFFFF"/>
                <w:sz w:val="18"/>
              </w:rPr>
              <w:t>Months</w:t>
            </w:r>
          </w:p>
        </w:tc>
        <w:tc>
          <w:tcPr>
            <w:tcW w:type="dxa" w:w="1994"/>
            <w:shd w:fill="0D1B2A"/>
          </w:tcPr>
          <w:p>
            <w:pPr>
              <w:jc w:val="center"/>
            </w:pPr>
            <w:r>
              <w:rPr>
                <w:b/>
                <w:color w:val="FFFFFF"/>
                <w:sz w:val="18"/>
              </w:rPr>
              <w:t>Mean Ships</w:t>
            </w:r>
          </w:p>
        </w:tc>
        <w:tc>
          <w:tcPr>
            <w:tcW w:type="dxa" w:w="1994"/>
            <w:shd w:fill="0D1B2A"/>
          </w:tcPr>
          <w:p>
            <w:pPr>
              <w:jc w:val="center"/>
            </w:pPr>
            <w:r>
              <w:rPr>
                <w:b/>
                <w:color w:val="FFFFFF"/>
                <w:sz w:val="18"/>
              </w:rPr>
              <w:t>Median Ships</w:t>
            </w:r>
          </w:p>
        </w:tc>
        <w:tc>
          <w:tcPr>
            <w:tcW w:type="dxa" w:w="1994"/>
            <w:shd w:fill="0D1B2A"/>
          </w:tcPr>
          <w:p>
            <w:pPr>
              <w:jc w:val="center"/>
            </w:pPr>
            <w:r>
              <w:rPr>
                <w:b/>
                <w:color w:val="FFFFFF"/>
                <w:sz w:val="18"/>
              </w:rPr>
              <w:t>Std Dev</w:t>
            </w:r>
          </w:p>
        </w:tc>
      </w:tr>
      <w:tr>
        <w:tc>
          <w:tcPr>
            <w:tcW w:type="dxa" w:w="1994"/>
            <w:shd w:fill="E3F2FD"/>
          </w:tcPr>
          <w:p>
            <w:pPr>
              <w:jc w:val="center"/>
            </w:pPr>
            <w:r>
              <w:rPr>
                <w:b/>
                <w:sz w:val="18"/>
              </w:rPr>
              <w:t>Q1 (Jan–Mar)</w:t>
            </w:r>
          </w:p>
        </w:tc>
        <w:tc>
          <w:tcPr>
            <w:tcW w:type="dxa" w:w="1994"/>
            <w:shd w:fill="E3F2FD"/>
          </w:tcPr>
          <w:p>
            <w:pPr>
              <w:jc w:val="center"/>
            </w:pPr>
            <w:r>
              <w:rPr>
                <w:sz w:val="18"/>
              </w:rPr>
              <w:t>Jan, Feb, Mar</w:t>
            </w:r>
          </w:p>
        </w:tc>
        <w:tc>
          <w:tcPr>
            <w:tcW w:type="dxa" w:w="1994"/>
            <w:shd w:fill="E3F2FD"/>
          </w:tcPr>
          <w:p>
            <w:pPr>
              <w:jc w:val="center"/>
            </w:pPr>
            <w:r>
              <w:rPr>
                <w:sz w:val="18"/>
              </w:rPr>
              <w:t>33.2</w:t>
            </w:r>
          </w:p>
        </w:tc>
        <w:tc>
          <w:tcPr>
            <w:tcW w:type="dxa" w:w="1994"/>
            <w:shd w:fill="E3F2FD"/>
          </w:tcPr>
          <w:p>
            <w:pPr>
              <w:jc w:val="center"/>
            </w:pPr>
            <w:r>
              <w:rPr>
                <w:sz w:val="18"/>
              </w:rPr>
              <w:t>28</w:t>
            </w:r>
          </w:p>
        </w:tc>
        <w:tc>
          <w:tcPr>
            <w:tcW w:type="dxa" w:w="1994"/>
            <w:shd w:fill="E3F2FD"/>
          </w:tcPr>
          <w:p>
            <w:pPr>
              <w:jc w:val="center"/>
            </w:pPr>
            <w:r>
              <w:rPr>
                <w:sz w:val="18"/>
              </w:rPr>
              <w:t>17.1</w:t>
            </w:r>
          </w:p>
        </w:tc>
      </w:tr>
      <w:tr>
        <w:tc>
          <w:tcPr>
            <w:tcW w:type="dxa" w:w="1994"/>
            <w:shd w:fill="FFF3E0"/>
          </w:tcPr>
          <w:p>
            <w:pPr>
              <w:jc w:val="center"/>
            </w:pPr>
            <w:r>
              <w:rPr>
                <w:b/>
                <w:sz w:val="18"/>
              </w:rPr>
              <w:t>Q2 (Apr–Jun)</w:t>
            </w:r>
          </w:p>
        </w:tc>
        <w:tc>
          <w:tcPr>
            <w:tcW w:type="dxa" w:w="1994"/>
            <w:shd w:fill="FFF3E0"/>
          </w:tcPr>
          <w:p>
            <w:pPr>
              <w:jc w:val="center"/>
            </w:pPr>
            <w:r>
              <w:rPr>
                <w:sz w:val="18"/>
              </w:rPr>
              <w:t>Apr, May, Jun</w:t>
            </w:r>
          </w:p>
        </w:tc>
        <w:tc>
          <w:tcPr>
            <w:tcW w:type="dxa" w:w="1994"/>
            <w:shd w:fill="FFF3E0"/>
          </w:tcPr>
          <w:p>
            <w:pPr>
              <w:jc w:val="center"/>
            </w:pPr>
            <w:r>
              <w:rPr>
                <w:sz w:val="18"/>
              </w:rPr>
              <w:t>6.8</w:t>
            </w:r>
          </w:p>
        </w:tc>
        <w:tc>
          <w:tcPr>
            <w:tcW w:type="dxa" w:w="1994"/>
            <w:shd w:fill="FFF3E0"/>
          </w:tcPr>
          <w:p>
            <w:pPr>
              <w:jc w:val="center"/>
            </w:pPr>
            <w:r>
              <w:rPr>
                <w:sz w:val="18"/>
              </w:rPr>
              <w:t>5</w:t>
            </w:r>
          </w:p>
        </w:tc>
        <w:tc>
          <w:tcPr>
            <w:tcW w:type="dxa" w:w="1994"/>
            <w:shd w:fill="FFF3E0"/>
          </w:tcPr>
          <w:p>
            <w:pPr>
              <w:jc w:val="center"/>
            </w:pPr>
            <w:r>
              <w:rPr>
                <w:sz w:val="18"/>
              </w:rPr>
              <w:t>6.3</w:t>
            </w:r>
          </w:p>
        </w:tc>
      </w:tr>
      <w:tr>
        <w:tc>
          <w:tcPr>
            <w:tcW w:type="dxa" w:w="1994"/>
            <w:shd w:fill="FFEBEE"/>
          </w:tcPr>
          <w:p>
            <w:pPr>
              <w:jc w:val="center"/>
            </w:pPr>
            <w:r>
              <w:rPr>
                <w:b/>
                <w:sz w:val="18"/>
              </w:rPr>
              <w:t>Q3 (Jul–Sep)</w:t>
            </w:r>
          </w:p>
        </w:tc>
        <w:tc>
          <w:tcPr>
            <w:tcW w:type="dxa" w:w="1994"/>
            <w:shd w:fill="FFEBEE"/>
          </w:tcPr>
          <w:p>
            <w:pPr>
              <w:jc w:val="center"/>
            </w:pPr>
            <w:r>
              <w:rPr>
                <w:sz w:val="18"/>
              </w:rPr>
              <w:t>Jul, Aug, Sep</w:t>
            </w:r>
          </w:p>
        </w:tc>
        <w:tc>
          <w:tcPr>
            <w:tcW w:type="dxa" w:w="1994"/>
            <w:shd w:fill="FFEBEE"/>
          </w:tcPr>
          <w:p>
            <w:pPr>
              <w:jc w:val="center"/>
            </w:pPr>
            <w:r>
              <w:rPr>
                <w:sz w:val="18"/>
              </w:rPr>
              <w:t>8.9</w:t>
            </w:r>
          </w:p>
        </w:tc>
        <w:tc>
          <w:tcPr>
            <w:tcW w:type="dxa" w:w="1994"/>
            <w:shd w:fill="FFEBEE"/>
          </w:tcPr>
          <w:p>
            <w:pPr>
              <w:jc w:val="center"/>
            </w:pPr>
            <w:r>
              <w:rPr>
                <w:sz w:val="18"/>
              </w:rPr>
              <w:t>5</w:t>
            </w:r>
          </w:p>
        </w:tc>
        <w:tc>
          <w:tcPr>
            <w:tcW w:type="dxa" w:w="1994"/>
            <w:shd w:fill="FFEBEE"/>
          </w:tcPr>
          <w:p>
            <w:pPr>
              <w:jc w:val="center"/>
            </w:pPr>
            <w:r>
              <w:rPr>
                <w:sz w:val="18"/>
              </w:rPr>
              <w:t>12.3</w:t>
            </w:r>
          </w:p>
        </w:tc>
      </w:tr>
      <w:tr>
        <w:tc>
          <w:tcPr>
            <w:tcW w:type="dxa" w:w="1994"/>
            <w:shd w:fill="E8F5E9"/>
          </w:tcPr>
          <w:p>
            <w:pPr>
              <w:jc w:val="center"/>
            </w:pPr>
            <w:r>
              <w:rPr>
                <w:b/>
                <w:sz w:val="18"/>
              </w:rPr>
              <w:t>Q4 (Oct–Dec)</w:t>
            </w:r>
          </w:p>
        </w:tc>
        <w:tc>
          <w:tcPr>
            <w:tcW w:type="dxa" w:w="1994"/>
            <w:shd w:fill="E8F5E9"/>
          </w:tcPr>
          <w:p>
            <w:pPr>
              <w:jc w:val="center"/>
            </w:pPr>
            <w:r>
              <w:rPr>
                <w:sz w:val="18"/>
              </w:rPr>
              <w:t>Oct, Nov, Dec</w:t>
            </w:r>
          </w:p>
        </w:tc>
        <w:tc>
          <w:tcPr>
            <w:tcW w:type="dxa" w:w="1994"/>
            <w:shd w:fill="E8F5E9"/>
          </w:tcPr>
          <w:p>
            <w:pPr>
              <w:jc w:val="center"/>
            </w:pPr>
            <w:r>
              <w:rPr>
                <w:sz w:val="18"/>
              </w:rPr>
              <w:t>37.6</w:t>
            </w:r>
          </w:p>
        </w:tc>
        <w:tc>
          <w:tcPr>
            <w:tcW w:type="dxa" w:w="1994"/>
            <w:shd w:fill="E8F5E9"/>
          </w:tcPr>
          <w:p>
            <w:pPr>
              <w:jc w:val="center"/>
            </w:pPr>
            <w:r>
              <w:rPr>
                <w:sz w:val="18"/>
              </w:rPr>
              <w:t>36</w:t>
            </w:r>
          </w:p>
        </w:tc>
        <w:tc>
          <w:tcPr>
            <w:tcW w:type="dxa" w:w="1994"/>
            <w:shd w:fill="E8F5E9"/>
          </w:tcPr>
          <w:p>
            <w:pPr>
              <w:jc w:val="center"/>
            </w:pPr>
            <w:r>
              <w:rPr>
                <w:sz w:val="18"/>
              </w:rPr>
              <w:t>15.9</w:t>
            </w:r>
          </w:p>
        </w:tc>
      </w:tr>
    </w:tbl>
    <w:p/>
    <w:p>
      <w:pPr>
        <w:spacing w:after="40"/>
      </w:pPr>
      <w:r>
        <w:rPr>
          <w:b/>
          <w:i w:val="0"/>
          <w:color w:val="212121"/>
          <w:sz w:val="18"/>
        </w:rPr>
        <w:t>Legend:</w:t>
      </w:r>
    </w:p>
    <w:p>
      <w:pPr>
        <w:spacing w:after="120"/>
      </w:pPr>
      <w:r>
        <w:rPr>
          <w:b w:val="0"/>
          <w:i/>
          <w:color w:val="616161"/>
          <w:sz w:val="17"/>
        </w:rPr>
        <w:t>■ Red cells = zero detections (monsoon/cloud cover)  |  ■ Green cells = high activity (≥50 ships)  |  ■ Blue footer = column averages across all years</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