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Hydro One SharePoint</w:t>
        <w:br/>
        <w:t>to Azure Migration</w:t>
      </w:r>
    </w:p>
    <w:p/>
    <w:p>
      <w:pPr>
        <w:jc w:val="center"/>
      </w:pPr>
      <w:r>
        <w:rPr>
          <w:color w:val="505050"/>
          <w:sz w:val="36"/>
        </w:rPr>
        <w:t>Solution Architecture Document</w:t>
      </w:r>
    </w:p>
    <w:p/>
    <w:p>
      <w:pPr>
        <w:jc w:val="center"/>
      </w:pPr>
      <w:r>
        <w:rPr>
          <w:color w:val="787878"/>
          <w:sz w:val="24"/>
        </w:rPr>
        <w:t>Microsoft Azure Data Engineering Team | February 2026</w:t>
      </w:r>
    </w:p>
    <w:p>
      <w:r>
        <w:br w:type="page"/>
      </w:r>
    </w:p>
    <w:p>
      <w:pPr>
        <w:pStyle w:val="Heading1"/>
      </w:pPr>
      <w:r>
        <w:t>1. Executive Summary</w:t>
      </w:r>
    </w:p>
    <w:p>
      <w:r>
        <w:t>This document describes the architecture for migrating approximately 25 TB of documents from Hydro One's SharePoint Online environment to Azure Data Lake Storage Gen2 (ADLS Gen2). The solution uses Azure Data Factory (ADF) as the orchestration engine, with metadata-driven pipelines that provide automated, resumable, and auditable migration capabilities.</w:t>
      </w:r>
    </w:p>
    <w:p>
      <w:r>
        <w:t>The migration is designed to run during off-peak hours to minimize impact on SharePoint performance, with built-in throttle detection and exponential backoff to respect Microsoft 365 service limits.</w:t>
      </w:r>
    </w:p>
    <w:p>
      <w:pPr>
        <w:pStyle w:val="Heading2"/>
      </w:pPr>
      <w:r>
        <w:t>1.1 Key Design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Decision</w:t>
            </w:r>
          </w:p>
        </w:tc>
        <w:tc>
          <w:tcPr>
            <w:tcW w:type="dxa" w:w="2880"/>
          </w:tcPr>
          <w:p>
            <w:r>
              <w:rPr>
                <w:b/>
                <w:sz w:val="20"/>
              </w:rPr>
              <w:t>Choice</w:t>
            </w:r>
          </w:p>
        </w:tc>
        <w:tc>
          <w:tcPr>
            <w:tcW w:type="dxa" w:w="2880"/>
          </w:tcPr>
          <w:p>
            <w:r>
              <w:rPr>
                <w:b/>
                <w:sz w:val="20"/>
              </w:rPr>
              <w:t>Rationale</w:t>
            </w:r>
          </w:p>
        </w:tc>
      </w:tr>
      <w:tr>
        <w:tc>
          <w:tcPr>
            <w:tcW w:type="dxa" w:w="2880"/>
          </w:tcPr>
          <w:p>
            <w:r>
              <w:rPr>
                <w:sz w:val="20"/>
              </w:rPr>
              <w:t>Orchestration Engine</w:t>
            </w:r>
          </w:p>
        </w:tc>
        <w:tc>
          <w:tcPr>
            <w:tcW w:type="dxa" w:w="2880"/>
          </w:tcPr>
          <w:p>
            <w:r>
              <w:rPr>
                <w:sz w:val="20"/>
              </w:rPr>
              <w:t>Azure Data Factory</w:t>
            </w:r>
          </w:p>
        </w:tc>
        <w:tc>
          <w:tcPr>
            <w:tcW w:type="dxa" w:w="2880"/>
          </w:tcPr>
          <w:p>
            <w:r>
              <w:rPr>
                <w:sz w:val="20"/>
              </w:rPr>
              <w:t>Native Azure service, managed infrastructure, built-in SharePoint connectors, visual monitoring</w:t>
            </w:r>
          </w:p>
        </w:tc>
      </w:tr>
      <w:tr>
        <w:tc>
          <w:tcPr>
            <w:tcW w:type="dxa" w:w="2880"/>
          </w:tcPr>
          <w:p>
            <w:r>
              <w:rPr>
                <w:sz w:val="20"/>
              </w:rPr>
              <w:t>Authentication</w:t>
            </w:r>
          </w:p>
        </w:tc>
        <w:tc>
          <w:tcPr>
            <w:tcW w:type="dxa" w:w="2880"/>
          </w:tcPr>
          <w:p>
            <w:r>
              <w:rPr>
                <w:sz w:val="20"/>
              </w:rPr>
              <w:t>Managed Identity + Service Principal</w:t>
            </w:r>
          </w:p>
        </w:tc>
        <w:tc>
          <w:tcPr>
            <w:tcW w:type="dxa" w:w="2880"/>
          </w:tcPr>
          <w:p>
            <w:r>
              <w:rPr>
                <w:sz w:val="20"/>
              </w:rPr>
              <w:t>MI for Azure services (no credentials), SP for SharePoint OAuth2</w:t>
            </w:r>
          </w:p>
        </w:tc>
      </w:tr>
      <w:tr>
        <w:tc>
          <w:tcPr>
            <w:tcW w:type="dxa" w:w="2880"/>
          </w:tcPr>
          <w:p>
            <w:r>
              <w:rPr>
                <w:sz w:val="20"/>
              </w:rPr>
              <w:t>Destination Storage</w:t>
            </w:r>
          </w:p>
        </w:tc>
        <w:tc>
          <w:tcPr>
            <w:tcW w:type="dxa" w:w="2880"/>
          </w:tcPr>
          <w:p>
            <w:r>
              <w:rPr>
                <w:sz w:val="20"/>
              </w:rPr>
              <w:t>ADLS Gen2 (hierarchical namespace)</w:t>
            </w:r>
          </w:p>
        </w:tc>
        <w:tc>
          <w:tcPr>
            <w:tcW w:type="dxa" w:w="2880"/>
          </w:tcPr>
          <w:p>
            <w:r>
              <w:rPr>
                <w:sz w:val="20"/>
              </w:rPr>
              <w:t>Folder-like structure preserves SharePoint hierarchy, optimized for analytics</w:t>
            </w:r>
          </w:p>
        </w:tc>
      </w:tr>
      <w:tr>
        <w:tc>
          <w:tcPr>
            <w:tcW w:type="dxa" w:w="2880"/>
          </w:tcPr>
          <w:p>
            <w:r>
              <w:rPr>
                <w:sz w:val="20"/>
              </w:rPr>
              <w:t>Control Database</w:t>
            </w:r>
          </w:p>
        </w:tc>
        <w:tc>
          <w:tcPr>
            <w:tcW w:type="dxa" w:w="2880"/>
          </w:tcPr>
          <w:p>
            <w:r>
              <w:rPr>
                <w:sz w:val="20"/>
              </w:rPr>
              <w:t>Azure SQL Database</w:t>
            </w:r>
          </w:p>
        </w:tc>
        <w:tc>
          <w:tcPr>
            <w:tcW w:type="dxa" w:w="2880"/>
          </w:tcPr>
          <w:p>
            <w:r>
              <w:rPr>
                <w:sz w:val="20"/>
              </w:rPr>
              <w:t>Relational tracking, transactional updates, rich querying for monitoring</w:t>
            </w:r>
          </w:p>
        </w:tc>
      </w:tr>
      <w:tr>
        <w:tc>
          <w:tcPr>
            <w:tcW w:type="dxa" w:w="2880"/>
          </w:tcPr>
          <w:p>
            <w:r>
              <w:rPr>
                <w:sz w:val="20"/>
              </w:rPr>
              <w:t>Secret Management</w:t>
            </w:r>
          </w:p>
        </w:tc>
        <w:tc>
          <w:tcPr>
            <w:tcW w:type="dxa" w:w="2880"/>
          </w:tcPr>
          <w:p>
            <w:r>
              <w:rPr>
                <w:sz w:val="20"/>
              </w:rPr>
              <w:t>Azure Key Vault</w:t>
            </w:r>
          </w:p>
        </w:tc>
        <w:tc>
          <w:tcPr>
            <w:tcW w:type="dxa" w:w="2880"/>
          </w:tcPr>
          <w:p>
            <w:r>
              <w:rPr>
                <w:sz w:val="20"/>
              </w:rPr>
              <w:t>Centralized, audited, rotatable credentials</w:t>
            </w:r>
          </w:p>
        </w:tc>
      </w:tr>
      <w:tr>
        <w:tc>
          <w:tcPr>
            <w:tcW w:type="dxa" w:w="2880"/>
          </w:tcPr>
          <w:p>
            <w:r>
              <w:rPr>
                <w:sz w:val="20"/>
              </w:rPr>
              <w:t>File Transfer</w:t>
            </w:r>
          </w:p>
        </w:tc>
        <w:tc>
          <w:tcPr>
            <w:tcW w:type="dxa" w:w="2880"/>
          </w:tcPr>
          <w:p>
            <w:r>
              <w:rPr>
                <w:sz w:val="20"/>
              </w:rPr>
              <w:t>Binary copy via HTTP</w:t>
            </w:r>
          </w:p>
        </w:tc>
        <w:tc>
          <w:tcPr>
            <w:tcW w:type="dxa" w:w="2880"/>
          </w:tcPr>
          <w:p>
            <w:r>
              <w:rPr>
                <w:sz w:val="20"/>
              </w:rPr>
              <w:t>Preserves file integrity, no format conversion, streaming (no staging)</w:t>
            </w:r>
          </w:p>
        </w:tc>
      </w:tr>
      <w:tr>
        <w:tc>
          <w:tcPr>
            <w:tcW w:type="dxa" w:w="2880"/>
          </w:tcPr>
          <w:p>
            <w:r>
              <w:rPr>
                <w:sz w:val="20"/>
              </w:rPr>
              <w:t>Error Handling</w:t>
            </w:r>
          </w:p>
        </w:tc>
        <w:tc>
          <w:tcPr>
            <w:tcW w:type="dxa" w:w="2880"/>
          </w:tcPr>
          <w:p>
            <w:r>
              <w:rPr>
                <w:sz w:val="20"/>
              </w:rPr>
              <w:t>Retry with exponential backoff</w:t>
            </w:r>
          </w:p>
        </w:tc>
        <w:tc>
          <w:tcPr>
            <w:tcW w:type="dxa" w:w="2880"/>
          </w:tcPr>
          <w:p>
            <w:r>
              <w:rPr>
                <w:sz w:val="20"/>
              </w:rPr>
              <w:t>Handles transient failures, throttling (HTTP 429), and service outages</w:t>
            </w:r>
          </w:p>
        </w:tc>
      </w:tr>
      <w:tr>
        <w:tc>
          <w:tcPr>
            <w:tcW w:type="dxa" w:w="2880"/>
          </w:tcPr>
          <w:p>
            <w:r>
              <w:rPr>
                <w:sz w:val="20"/>
              </w:rPr>
              <w:t>Validation</w:t>
            </w:r>
          </w:p>
        </w:tc>
        <w:tc>
          <w:tcPr>
            <w:tcW w:type="dxa" w:w="2880"/>
          </w:tcPr>
          <w:p>
            <w:r>
              <w:rPr>
                <w:sz w:val="20"/>
              </w:rPr>
              <w:t>SQL-based count/size comparison</w:t>
            </w:r>
          </w:p>
        </w:tc>
        <w:tc>
          <w:tcPr>
            <w:tcW w:type="dxa" w:w="2880"/>
          </w:tcPr>
          <w:p>
            <w:r>
              <w:rPr>
                <w:sz w:val="20"/>
              </w:rPr>
              <w:t>No additional SharePoint API calls needed for validation</w:t>
            </w:r>
          </w:p>
        </w:tc>
      </w:tr>
    </w:tbl>
    <w:p>
      <w:r>
        <w:br w:type="page"/>
      </w:r>
    </w:p>
    <w:p>
      <w:pPr>
        <w:pStyle w:val="Heading1"/>
      </w:pPr>
      <w:r>
        <w:t>2. Architecture Overview</w:t>
      </w:r>
    </w:p>
    <w:p>
      <w:pPr>
        <w:pStyle w:val="Heading2"/>
      </w:pPr>
      <w:r>
        <w:t>2.1 High-Level Architecture</w:t>
      </w:r>
    </w:p>
    <w:p>
      <w:pPr>
        <w:ind w:left="567"/>
      </w:pPr>
      <w:r>
        <w:rPr>
          <w:rFonts w:ascii="Consolas" w:hAnsi="Consolas"/>
          <w:color w:val="003366"/>
          <w:sz w:val="19"/>
        </w:rPr>
        <w:br/>
        <w:t xml:space="preserve">    +----------------------+                    +-------------------+</w:t>
        <w:br/>
        <w:t xml:space="preserve">    |                      |   REST API (HTTPS)  |                   |</w:t>
        <w:br/>
        <w:t xml:space="preserve">    |  SharePoint Online   | -----------------&gt; |  Azure Data       |</w:t>
        <w:br/>
        <w:t xml:space="preserve">    |  (25 TB Source)      | &lt;----------------- |  Factory          |</w:t>
        <w:br/>
        <w:t xml:space="preserve">    |                      |   OAuth2 Bearer     |  (Orchestration)  |</w:t>
        <w:br/>
        <w:t xml:space="preserve">    +----------------------+                    +--------+----------+</w:t>
        <w:br/>
        <w:t xml:space="preserve">                                                         |</w:t>
        <w:br/>
        <w:t xml:space="preserve">                            +----------------------------+----------------------------+</w:t>
        <w:br/>
        <w:t xml:space="preserve">                            |                            |                            |</w:t>
        <w:br/>
        <w:t xml:space="preserve">                   +--------v---------+         +--------v---------+        +---------v--------+</w:t>
        <w:br/>
        <w:t xml:space="preserve">                   |                  |         |                  |        |                  |</w:t>
        <w:br/>
        <w:t xml:space="preserve">                   |  ADLS Gen2       |         |  Azure SQL DB    |        |  Azure Key Vault |</w:t>
        <w:br/>
        <w:t xml:space="preserve">                   |  (Destination)   |         |  (Control/Audit) |        |  (Secrets)       |</w:t>
        <w:br/>
        <w:t xml:space="preserve">                   |  25 TB storage   |         |  Migration state |        |  Client secret   |</w:t>
        <w:br/>
        <w:t xml:space="preserve">                   |                  |         |                  |        |                  |</w:t>
        <w:br/>
        <w:t xml:space="preserve">                   +------------------+         +------------------+        +------------------+</w:t>
        <w:br/>
        <w:t xml:space="preserve">    </w:t>
      </w:r>
    </w:p>
    <w:p>
      <w:pPr>
        <w:pStyle w:val="Heading2"/>
      </w:pPr>
      <w:r>
        <w:t>2.2 Data Flow</w:t>
      </w:r>
    </w:p>
    <w:p>
      <w:r>
        <w:t>The migration follows a pull-based model:</w:t>
      </w:r>
    </w:p>
    <w:p>
      <w:r>
        <w:t>1. ADF reads the MigrationControl table to identify pending libraries</w:t>
      </w:r>
    </w:p>
    <w:p>
      <w:r>
        <w:t>2. For each library, ADF calls SharePoint REST API to enumerate files in the document library</w:t>
      </w:r>
    </w:p>
    <w:p>
      <w:r>
        <w:t>3. For each file, ADF downloads the binary content via HTTP GET</w:t>
      </w:r>
    </w:p>
    <w:p>
      <w:r>
        <w:t>4. The binary stream is written directly to ADLS Gen2 (no intermediate staging)</w:t>
      </w:r>
    </w:p>
    <w:p>
      <w:r>
        <w:t>5. Each file copy result (success/failure) is logged to the MigrationAuditLog table</w:t>
      </w:r>
    </w:p>
    <w:p>
      <w:r>
        <w:t>6. After all files in a library are processed, the library status is updated to Completed or Failed</w:t>
      </w:r>
    </w:p>
    <w:p>
      <w:r>
        <w:t>7. The validation pipeline compares expected vs actual file counts to verify data integrity</w:t>
      </w:r>
    </w:p>
    <w:p>
      <w:r>
        <w:br w:type="page"/>
      </w:r>
    </w:p>
    <w:p>
      <w:pPr>
        <w:pStyle w:val="Heading1"/>
      </w:pPr>
      <w:r>
        <w:t>3. Component Details</w:t>
      </w:r>
    </w:p>
    <w:p>
      <w:pPr>
        <w:pStyle w:val="Heading2"/>
      </w:pPr>
      <w:r>
        <w:t>3.1 Azure Data Factory</w:t>
      </w:r>
    </w:p>
    <w:p>
      <w:r>
        <w:t>ADF serves as the central orchestration engine. It uses a system-assigned managed identity for passwordless authentication to Azure services (SQL, ADLS, Key Vault). For SharePoint access, it uses an OAuth2 service principal whose credentials are stored in Key Vault.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SKU</w:t>
            </w:r>
          </w:p>
        </w:tc>
        <w:tc>
          <w:tcPr>
            <w:tcW w:type="dxa" w:w="4320"/>
          </w:tcPr>
          <w:p>
            <w:r>
              <w:rPr>
                <w:sz w:val="20"/>
              </w:rPr>
              <w:t>Pay-as-you-go (no dedicated runtime needed)</w:t>
            </w:r>
          </w:p>
        </w:tc>
      </w:tr>
      <w:tr>
        <w:tc>
          <w:tcPr>
            <w:tcW w:type="dxa" w:w="4320"/>
          </w:tcPr>
          <w:p>
            <w:r>
              <w:rPr>
                <w:sz w:val="20"/>
              </w:rPr>
              <w:t>Identity</w:t>
            </w:r>
          </w:p>
        </w:tc>
        <w:tc>
          <w:tcPr>
            <w:tcW w:type="dxa" w:w="4320"/>
          </w:tcPr>
          <w:p>
            <w:r>
              <w:rPr>
                <w:sz w:val="20"/>
              </w:rPr>
              <w:t>System-assigned Managed Identity</w:t>
            </w:r>
          </w:p>
        </w:tc>
      </w:tr>
      <w:tr>
        <w:tc>
          <w:tcPr>
            <w:tcW w:type="dxa" w:w="4320"/>
          </w:tcPr>
          <w:p>
            <w:r>
              <w:rPr>
                <w:sz w:val="20"/>
              </w:rPr>
              <w:t>Linked Services</w:t>
            </w:r>
          </w:p>
        </w:tc>
        <w:tc>
          <w:tcPr>
            <w:tcW w:type="dxa" w:w="4320"/>
          </w:tcPr>
          <w:p>
            <w:r>
              <w:rPr>
                <w:sz w:val="20"/>
              </w:rPr>
              <w:t>5 (Key Vault, SharePoint REST, SharePoint HTTP, ADLS, SQL)</w:t>
            </w:r>
          </w:p>
        </w:tc>
      </w:tr>
      <w:tr>
        <w:tc>
          <w:tcPr>
            <w:tcW w:type="dxa" w:w="4320"/>
          </w:tcPr>
          <w:p>
            <w:r>
              <w:rPr>
                <w:sz w:val="20"/>
              </w:rPr>
              <w:t>Datasets</w:t>
            </w:r>
          </w:p>
        </w:tc>
        <w:tc>
          <w:tcPr>
            <w:tcW w:type="dxa" w:w="4320"/>
          </w:tcPr>
          <w:p>
            <w:r>
              <w:rPr>
                <w:sz w:val="20"/>
              </w:rPr>
              <w:t>5 (SharePoint Binary, ADLS Binary Sink, ADLS Parquet, SQL Control, SQL Audit)</w:t>
            </w:r>
          </w:p>
        </w:tc>
      </w:tr>
      <w:tr>
        <w:tc>
          <w:tcPr>
            <w:tcW w:type="dxa" w:w="4320"/>
          </w:tcPr>
          <w:p>
            <w:r>
              <w:rPr>
                <w:sz w:val="20"/>
              </w:rPr>
              <w:t>Pipelines</w:t>
            </w:r>
          </w:p>
        </w:tc>
        <w:tc>
          <w:tcPr>
            <w:tcW w:type="dxa" w:w="4320"/>
          </w:tcPr>
          <w:p>
            <w:r>
              <w:rPr>
                <w:sz w:val="20"/>
              </w:rPr>
              <w:t>5 (Orchestrator, Single Library, Subfolder, Validation, Incremental Sync)</w:t>
            </w:r>
          </w:p>
        </w:tc>
      </w:tr>
      <w:tr>
        <w:tc>
          <w:tcPr>
            <w:tcW w:type="dxa" w:w="4320"/>
          </w:tcPr>
          <w:p>
            <w:r>
              <w:rPr>
                <w:sz w:val="20"/>
              </w:rPr>
              <w:t>Concurrency</w:t>
            </w:r>
          </w:p>
        </w:tc>
        <w:tc>
          <w:tcPr>
            <w:tcW w:type="dxa" w:w="4320"/>
          </w:tcPr>
          <w:p>
            <w:r>
              <w:rPr>
                <w:sz w:val="20"/>
              </w:rPr>
              <w:t>4 libraries in parallel, 10 files per library</w:t>
            </w:r>
          </w:p>
        </w:tc>
      </w:tr>
    </w:tbl>
    <w:p>
      <w:pPr>
        <w:pStyle w:val="Heading2"/>
      </w:pPr>
      <w:r>
        <w:t>3.2 ADLS Gen2 Storage</w:t>
      </w:r>
    </w:p>
    <w:p>
      <w:r>
        <w:t>Files are stored in a hierarchical folder structure that mirrors the SharePoint site/library layout:</w:t>
      </w:r>
    </w:p>
    <w:p>
      <w:pPr>
        <w:ind w:left="567"/>
      </w:pPr>
      <w:r>
        <w:rPr>
          <w:rFonts w:ascii="Consolas" w:hAnsi="Consolas"/>
          <w:color w:val="003366"/>
          <w:sz w:val="19"/>
        </w:rPr>
        <w:br/>
        <w:t xml:space="preserve">    sharepoint-migration/                    &lt;-- Container</w:t>
        <w:br/>
        <w:t xml:space="preserve">    +-- SiteName1/                           &lt;-- SharePoint Site</w:t>
        <w:br/>
        <w:t xml:space="preserve">    |   +-- Documents/                       &lt;-- Document Library</w:t>
        <w:br/>
        <w:t xml:space="preserve">    |   |   +-- Reports/                     &lt;-- Subfolder</w:t>
        <w:br/>
        <w:t xml:space="preserve">    |   |   |   +-- Q1_Report.pdf            &lt;-- File</w:t>
        <w:br/>
        <w:t xml:space="preserve">    |   |   |   +-- Q2_Report.pdf</w:t>
        <w:br/>
        <w:t xml:space="preserve">    |   |   +-- Policies/</w:t>
        <w:br/>
        <w:t xml:space="preserve">    |   |       +-- Safety_Policy.docx</w:t>
        <w:br/>
        <w:t xml:space="preserve">    |   +-- Shared Documents/</w:t>
        <w:br/>
        <w:t xml:space="preserve">    |       +-- ...</w:t>
        <w:br/>
        <w:t xml:space="preserve">    +-- SiteName2/</w:t>
        <w:br/>
        <w:t xml:space="preserve">        +-- ...</w:t>
        <w:br/>
        <w:t xml:space="preserve">    </w:t>
      </w:r>
    </w:p>
    <w:p>
      <w:pPr>
        <w:pStyle w:val="Heading2"/>
      </w:pPr>
      <w:r>
        <w:t>3.3 Azure SQL Database</w:t>
      </w:r>
    </w:p>
    <w:p>
      <w:r>
        <w:t>Stores all migration state, audit trails, and validation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Purpose</w:t>
            </w:r>
          </w:p>
        </w:tc>
        <w:tc>
          <w:tcPr>
            <w:tcW w:type="dxa" w:w="2880"/>
          </w:tcPr>
          <w:p>
            <w:r>
              <w:rPr>
                <w:b/>
                <w:sz w:val="20"/>
              </w:rPr>
              <w:t>Key Columns</w:t>
            </w:r>
          </w:p>
        </w:tc>
      </w:tr>
      <w:tr>
        <w:tc>
          <w:tcPr>
            <w:tcW w:type="dxa" w:w="2880"/>
          </w:tcPr>
          <w:p>
            <w:r>
              <w:rPr>
                <w:sz w:val="20"/>
              </w:rPr>
              <w:t>MigrationControl</w:t>
            </w:r>
          </w:p>
        </w:tc>
        <w:tc>
          <w:tcPr>
            <w:tcW w:type="dxa" w:w="2880"/>
          </w:tcPr>
          <w:p>
            <w:r>
              <w:rPr>
                <w:sz w:val="20"/>
              </w:rPr>
              <w:t>Tracks each library to migrate</w:t>
            </w:r>
          </w:p>
        </w:tc>
        <w:tc>
          <w:tcPr>
            <w:tcW w:type="dxa" w:w="2880"/>
          </w:tcPr>
          <w:p>
            <w:r>
              <w:rPr>
                <w:sz w:val="20"/>
              </w:rPr>
              <w:t>SiteUrl, LibraryName, Status, FileCount, MigratedFileCount</w:t>
            </w:r>
          </w:p>
        </w:tc>
      </w:tr>
      <w:tr>
        <w:tc>
          <w:tcPr>
            <w:tcW w:type="dxa" w:w="2880"/>
          </w:tcPr>
          <w:p>
            <w:r>
              <w:rPr>
                <w:sz w:val="20"/>
              </w:rPr>
              <w:t>MigrationAuditLog</w:t>
            </w:r>
          </w:p>
        </w:tc>
        <w:tc>
          <w:tcPr>
            <w:tcW w:type="dxa" w:w="2880"/>
          </w:tcPr>
          <w:p>
            <w:r>
              <w:rPr>
                <w:sz w:val="20"/>
              </w:rPr>
              <w:t>Per-file migration audit trail</w:t>
            </w:r>
          </w:p>
        </w:tc>
        <w:tc>
          <w:tcPr>
            <w:tcW w:type="dxa" w:w="2880"/>
          </w:tcPr>
          <w:p>
            <w:r>
              <w:rPr>
                <w:sz w:val="20"/>
              </w:rPr>
              <w:t>FileName, SourcePath, DestinationPath, MigrationStatus, FileSizeBytes</w:t>
            </w:r>
          </w:p>
        </w:tc>
      </w:tr>
      <w:tr>
        <w:tc>
          <w:tcPr>
            <w:tcW w:type="dxa" w:w="2880"/>
          </w:tcPr>
          <w:p>
            <w:r>
              <w:rPr>
                <w:sz w:val="20"/>
              </w:rPr>
              <w:t>BatchLog</w:t>
            </w:r>
          </w:p>
        </w:tc>
        <w:tc>
          <w:tcPr>
            <w:tcW w:type="dxa" w:w="2880"/>
          </w:tcPr>
          <w:p>
            <w:r>
              <w:rPr>
                <w:sz w:val="20"/>
              </w:rPr>
              <w:t>Batch execution tracking</w:t>
            </w:r>
          </w:p>
        </w:tc>
        <w:tc>
          <w:tcPr>
            <w:tcW w:type="dxa" w:w="2880"/>
          </w:tcPr>
          <w:p>
            <w:r>
              <w:rPr>
                <w:sz w:val="20"/>
              </w:rPr>
              <w:t>BatchId, Status, StartTime, EndTime</w:t>
            </w:r>
          </w:p>
        </w:tc>
      </w:tr>
      <w:tr>
        <w:tc>
          <w:tcPr>
            <w:tcW w:type="dxa" w:w="2880"/>
          </w:tcPr>
          <w:p>
            <w:r>
              <w:rPr>
                <w:sz w:val="20"/>
              </w:rPr>
              <w:t>IncrementalWatermark</w:t>
            </w:r>
          </w:p>
        </w:tc>
        <w:tc>
          <w:tcPr>
            <w:tcW w:type="dxa" w:w="2880"/>
          </w:tcPr>
          <w:p>
            <w:r>
              <w:rPr>
                <w:sz w:val="20"/>
              </w:rPr>
              <w:t>Delta sync high watermark</w:t>
            </w:r>
          </w:p>
        </w:tc>
        <w:tc>
          <w:tcPr>
            <w:tcW w:type="dxa" w:w="2880"/>
          </w:tcPr>
          <w:p>
            <w:r>
              <w:rPr>
                <w:sz w:val="20"/>
              </w:rPr>
              <w:t>SiteUrl, LibraryName, LastModifiedDate</w:t>
            </w:r>
          </w:p>
        </w:tc>
      </w:tr>
      <w:tr>
        <w:tc>
          <w:tcPr>
            <w:tcW w:type="dxa" w:w="2880"/>
          </w:tcPr>
          <w:p>
            <w:r>
              <w:rPr>
                <w:sz w:val="20"/>
              </w:rPr>
              <w:t>ValidationLog</w:t>
            </w:r>
          </w:p>
        </w:tc>
        <w:tc>
          <w:tcPr>
            <w:tcW w:type="dxa" w:w="2880"/>
          </w:tcPr>
          <w:p>
            <w:r>
              <w:rPr>
                <w:sz w:val="20"/>
              </w:rPr>
              <w:t>Validation results</w:t>
            </w:r>
          </w:p>
        </w:tc>
        <w:tc>
          <w:tcPr>
            <w:tcW w:type="dxa" w:w="2880"/>
          </w:tcPr>
          <w:p>
            <w:r>
              <w:rPr>
                <w:sz w:val="20"/>
              </w:rPr>
              <w:t>ValidationType, ExpectedValue, ActualValue, IsMatch</w:t>
            </w:r>
          </w:p>
        </w:tc>
      </w:tr>
      <w:tr>
        <w:tc>
          <w:tcPr>
            <w:tcW w:type="dxa" w:w="2880"/>
          </w:tcPr>
          <w:p>
            <w:r>
              <w:rPr>
                <w:sz w:val="20"/>
              </w:rPr>
              <w:t>SyncLog</w:t>
            </w:r>
          </w:p>
        </w:tc>
        <w:tc>
          <w:tcPr>
            <w:tcW w:type="dxa" w:w="2880"/>
          </w:tcPr>
          <w:p>
            <w:r>
              <w:rPr>
                <w:sz w:val="20"/>
              </w:rPr>
              <w:t>Incremental sync tracking</w:t>
            </w:r>
          </w:p>
        </w:tc>
        <w:tc>
          <w:tcPr>
            <w:tcW w:type="dxa" w:w="2880"/>
          </w:tcPr>
          <w:p>
            <w:r>
              <w:rPr>
                <w:sz w:val="20"/>
              </w:rPr>
              <w:t>SyncType, LibrariesProcessed, CompletionTime</w:t>
            </w:r>
          </w:p>
        </w:tc>
      </w:tr>
    </w:tbl>
    <w:p>
      <w:pPr>
        <w:pStyle w:val="Heading2"/>
      </w:pPr>
      <w:r>
        <w:t>3.4 Azure Key Vault</w:t>
      </w:r>
    </w:p>
    <w:p>
      <w:r>
        <w:t>Stores sensitive credentials used by the migration pipelines: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Secret Name</w:t>
            </w:r>
          </w:p>
        </w:tc>
        <w:tc>
          <w:tcPr>
            <w:tcW w:type="dxa" w:w="2880"/>
          </w:tcPr>
          <w:p>
            <w:r>
              <w:rPr>
                <w:b/>
                <w:sz w:val="20"/>
              </w:rPr>
              <w:t>Contains</w:t>
            </w:r>
          </w:p>
        </w:tc>
        <w:tc>
          <w:tcPr>
            <w:tcW w:type="dxa" w:w="2880"/>
          </w:tcPr>
          <w:p>
            <w:r>
              <w:rPr>
                <w:b/>
                <w:sz w:val="20"/>
              </w:rPr>
              <w:t>Used By</w:t>
            </w:r>
          </w:p>
        </w:tc>
      </w:tr>
      <w:tr>
        <w:tc>
          <w:tcPr>
            <w:tcW w:type="dxa" w:w="2880"/>
          </w:tcPr>
          <w:p>
            <w:r>
              <w:rPr>
                <w:sz w:val="20"/>
              </w:rPr>
              <w:t>sharepoint-client-secret</w:t>
            </w:r>
          </w:p>
        </w:tc>
        <w:tc>
          <w:tcPr>
            <w:tcW w:type="dxa" w:w="2880"/>
          </w:tcPr>
          <w:p>
            <w:r>
              <w:rPr>
                <w:sz w:val="20"/>
              </w:rPr>
              <w:t>OAuth2 client secret for SharePoint access</w:t>
            </w:r>
          </w:p>
        </w:tc>
        <w:tc>
          <w:tcPr>
            <w:tcW w:type="dxa" w:w="2880"/>
          </w:tcPr>
          <w:p>
            <w:r>
              <w:rPr>
                <w:sz w:val="20"/>
              </w:rPr>
              <w:t>LS_SharePointOnline_REST</w:t>
            </w:r>
          </w:p>
        </w:tc>
      </w:tr>
      <w:tr>
        <w:tc>
          <w:tcPr>
            <w:tcW w:type="dxa" w:w="2880"/>
          </w:tcPr>
          <w:p>
            <w:r>
              <w:rPr>
                <w:sz w:val="20"/>
              </w:rPr>
              <w:t>sharepoint-client-id</w:t>
            </w:r>
          </w:p>
        </w:tc>
        <w:tc>
          <w:tcPr>
            <w:tcW w:type="dxa" w:w="2880"/>
          </w:tcPr>
          <w:p>
            <w:r>
              <w:rPr>
                <w:sz w:val="20"/>
              </w:rPr>
              <w:t>Azure AD Application (client) ID</w:t>
            </w:r>
          </w:p>
        </w:tc>
        <w:tc>
          <w:tcPr>
            <w:tcW w:type="dxa" w:w="2880"/>
          </w:tcPr>
          <w:p>
            <w:r>
              <w:rPr>
                <w:sz w:val="20"/>
              </w:rPr>
              <w:t>LS_SharePointOnline_REST</w:t>
            </w:r>
          </w:p>
        </w:tc>
      </w:tr>
      <w:tr>
        <w:tc>
          <w:tcPr>
            <w:tcW w:type="dxa" w:w="2880"/>
          </w:tcPr>
          <w:p>
            <w:r>
              <w:rPr>
                <w:sz w:val="20"/>
              </w:rPr>
              <w:t>tenant-id</w:t>
            </w:r>
          </w:p>
        </w:tc>
        <w:tc>
          <w:tcPr>
            <w:tcW w:type="dxa" w:w="2880"/>
          </w:tcPr>
          <w:p>
            <w:r>
              <w:rPr>
                <w:sz w:val="20"/>
              </w:rPr>
              <w:t>Azure AD Tenant ID</w:t>
            </w:r>
          </w:p>
        </w:tc>
        <w:tc>
          <w:tcPr>
            <w:tcW w:type="dxa" w:w="2880"/>
          </w:tcPr>
          <w:p>
            <w:r>
              <w:rPr>
                <w:sz w:val="20"/>
              </w:rPr>
              <w:t>LS_SharePointOnline_REST</w:t>
            </w:r>
          </w:p>
        </w:tc>
      </w:tr>
    </w:tbl>
    <w:p>
      <w:r>
        <w:br w:type="page"/>
      </w:r>
    </w:p>
    <w:p>
      <w:pPr>
        <w:pStyle w:val="Heading1"/>
      </w:pPr>
      <w:r>
        <w:t>4. Pipeline Architecture</w:t>
      </w:r>
    </w:p>
    <w:p>
      <w:pPr>
        <w:pStyle w:val="Heading2"/>
      </w:pPr>
      <w:r>
        <w:t>4.1 Pipeline Hierarchy</w:t>
      </w:r>
    </w:p>
    <w:p>
      <w:pPr>
        <w:ind w:left="567"/>
      </w:pPr>
      <w:r>
        <w:rPr>
          <w:rFonts w:ascii="Consolas" w:hAnsi="Consolas"/>
          <w:color w:val="003366"/>
          <w:sz w:val="19"/>
        </w:rPr>
        <w:br/>
        <w:t xml:space="preserve">    PL_Master_Migration_Orchestrator              &lt;-- Entry point</w:t>
        <w:br/>
        <w:t xml:space="preserve">        |</w:t>
        <w:br/>
        <w:t xml:space="preserve">        +-- Reads MigrationControl table (Pending/Failed libraries)</w:t>
        <w:br/>
        <w:t xml:space="preserve">        +-- Filters to BatchSize</w:t>
        <w:br/>
        <w:t xml:space="preserve">        +-- ForEach Library (parallel, batch=4)</w:t>
        <w:br/>
        <w:t xml:space="preserve">             |</w:t>
        <w:br/>
        <w:t xml:space="preserve">             +-- PL_Migrate_Single_Library        &lt;-- Per-library migration</w:t>
        <w:br/>
        <w:t xml:space="preserve">                  |</w:t>
        <w:br/>
        <w:t xml:space="preserve">                  +-- Updates status to InProgress</w:t>
        <w:br/>
        <w:t xml:space="preserve">                  +-- Enumerates root files via SharePoint REST API</w:t>
        <w:br/>
        <w:t xml:space="preserve">                  +-- ForEach Root File (parallel, batch=10)</w:t>
        <w:br/>
        <w:t xml:space="preserve">                  |    +-- Binary copy: SharePoint -&gt; ADLS</w:t>
        <w:br/>
        <w:t xml:space="preserve">                  |    +-- Log success/failure to audit table</w:t>
        <w:br/>
        <w:t xml:space="preserve">                  |    +-- Detect and handle HTTP 429 throttling</w:t>
        <w:br/>
        <w:t xml:space="preserve">                  |</w:t>
        <w:br/>
        <w:t xml:space="preserve">                  +-- Enumerates subfolders via SharePoint REST API</w:t>
        <w:br/>
        <w:t xml:space="preserve">                  +-- ForEach Subfolder</w:t>
        <w:br/>
        <w:t xml:space="preserve">                       |</w:t>
        <w:br/>
        <w:t xml:space="preserve">                       +-- PL_Process_Subfolder   &lt;-- Per-folder processing</w:t>
        <w:br/>
        <w:t xml:space="preserve">                            +-- Enumerate files in subfolder</w:t>
        <w:br/>
        <w:t xml:space="preserve">                            +-- ForEach File (parallel, batch=10)</w:t>
        <w:br/>
        <w:t xml:space="preserve">                                 +-- Binary copy: SharePoint -&gt; ADLS</w:t>
        <w:br/>
        <w:t xml:space="preserve">                                 +-- Log success/failure</w:t>
        <w:br/>
        <w:br/>
        <w:t xml:space="preserve">    PL_Validation                                 &lt;-- Post-migration</w:t>
        <w:br/>
        <w:t xml:space="preserve">        +-- Reads completed libraries from control table</w:t>
        <w:br/>
        <w:t xml:space="preserve">        +-- Compares expected vs actual file counts</w:t>
        <w:br/>
        <w:t xml:space="preserve">        +-- Marks as Validated or Discrepancy</w:t>
        <w:br/>
        <w:br/>
        <w:t xml:space="preserve">    PL_Incremental_Sync                           &lt;-- Ongoing</w:t>
        <w:br/>
        <w:t xml:space="preserve">        +-- Reads validated libraries with sync enabled</w:t>
        <w:br/>
        <w:t xml:space="preserve">        +-- Queries SharePoint for files modified since last watermark</w:t>
        <w:br/>
        <w:t xml:space="preserve">        +-- Copies only changed files</w:t>
        <w:br/>
        <w:t xml:space="preserve">        +-- Updates watermark</w:t>
        <w:br/>
        <w:t xml:space="preserve">    </w:t>
      </w:r>
    </w:p>
    <w:p>
      <w:pPr>
        <w:pStyle w:val="Heading2"/>
      </w:pPr>
      <w:r>
        <w:t>4.2 Pipeline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Pipeline</w:t>
            </w:r>
          </w:p>
        </w:tc>
        <w:tc>
          <w:tcPr>
            <w:tcW w:type="dxa" w:w="2160"/>
          </w:tcPr>
          <w:p>
            <w:r>
              <w:rPr>
                <w:b/>
                <w:sz w:val="20"/>
              </w:rPr>
              <w:t>Purpose</w:t>
            </w:r>
          </w:p>
        </w:tc>
        <w:tc>
          <w:tcPr>
            <w:tcW w:type="dxa" w:w="2160"/>
          </w:tcPr>
          <w:p>
            <w:r>
              <w:rPr>
                <w:b/>
                <w:sz w:val="20"/>
              </w:rPr>
              <w:t>Trigger</w:t>
            </w:r>
          </w:p>
        </w:tc>
        <w:tc>
          <w:tcPr>
            <w:tcW w:type="dxa" w:w="2160"/>
          </w:tcPr>
          <w:p>
            <w:r>
              <w:rPr>
                <w:b/>
                <w:sz w:val="20"/>
              </w:rPr>
              <w:t>Parallelism</w:t>
            </w:r>
          </w:p>
        </w:tc>
      </w:tr>
      <w:tr>
        <w:tc>
          <w:tcPr>
            <w:tcW w:type="dxa" w:w="2160"/>
          </w:tcPr>
          <w:p>
            <w:r>
              <w:rPr>
                <w:sz w:val="20"/>
              </w:rPr>
              <w:t>PL_Master_Migration_Orchestrator</w:t>
            </w:r>
          </w:p>
        </w:tc>
        <w:tc>
          <w:tcPr>
            <w:tcW w:type="dxa" w:w="2160"/>
          </w:tcPr>
          <w:p>
            <w:r>
              <w:rPr>
                <w:sz w:val="20"/>
              </w:rPr>
              <w:t>Top-level batch orchestrator</w:t>
            </w:r>
          </w:p>
        </w:tc>
        <w:tc>
          <w:tcPr>
            <w:tcW w:type="dxa" w:w="2160"/>
          </w:tcPr>
          <w:p>
            <w:r>
              <w:rPr>
                <w:sz w:val="20"/>
              </w:rPr>
              <w:t>Manual / Scheduled</w:t>
            </w:r>
          </w:p>
        </w:tc>
        <w:tc>
          <w:tcPr>
            <w:tcW w:type="dxa" w:w="2160"/>
          </w:tcPr>
          <w:p>
            <w:r>
              <w:rPr>
                <w:sz w:val="20"/>
              </w:rPr>
              <w:t>4 libraries</w:t>
            </w:r>
          </w:p>
        </w:tc>
      </w:tr>
      <w:tr>
        <w:tc>
          <w:tcPr>
            <w:tcW w:type="dxa" w:w="2160"/>
          </w:tcPr>
          <w:p>
            <w:r>
              <w:rPr>
                <w:sz w:val="20"/>
              </w:rPr>
              <w:t>PL_Migrate_Single_Library</w:t>
            </w:r>
          </w:p>
        </w:tc>
        <w:tc>
          <w:tcPr>
            <w:tcW w:type="dxa" w:w="2160"/>
          </w:tcPr>
          <w:p>
            <w:r>
              <w:rPr>
                <w:sz w:val="20"/>
              </w:rPr>
              <w:t>Migrate all files from one library</w:t>
            </w:r>
          </w:p>
        </w:tc>
        <w:tc>
          <w:tcPr>
            <w:tcW w:type="dxa" w:w="2160"/>
          </w:tcPr>
          <w:p>
            <w:r>
              <w:rPr>
                <w:sz w:val="20"/>
              </w:rPr>
              <w:t>Called by Orchestrator</w:t>
            </w:r>
          </w:p>
        </w:tc>
        <w:tc>
          <w:tcPr>
            <w:tcW w:type="dxa" w:w="2160"/>
          </w:tcPr>
          <w:p>
            <w:r>
              <w:rPr>
                <w:sz w:val="20"/>
              </w:rPr>
              <w:t>10 files</w:t>
            </w:r>
          </w:p>
        </w:tc>
      </w:tr>
      <w:tr>
        <w:tc>
          <w:tcPr>
            <w:tcW w:type="dxa" w:w="2160"/>
          </w:tcPr>
          <w:p>
            <w:r>
              <w:rPr>
                <w:sz w:val="20"/>
              </w:rPr>
              <w:t>PL_Process_Subfolder</w:t>
            </w:r>
          </w:p>
        </w:tc>
        <w:tc>
          <w:tcPr>
            <w:tcW w:type="dxa" w:w="2160"/>
          </w:tcPr>
          <w:p>
            <w:r>
              <w:rPr>
                <w:sz w:val="20"/>
              </w:rPr>
              <w:t>Process files in one subfolder</w:t>
            </w:r>
          </w:p>
        </w:tc>
        <w:tc>
          <w:tcPr>
            <w:tcW w:type="dxa" w:w="2160"/>
          </w:tcPr>
          <w:p>
            <w:r>
              <w:rPr>
                <w:sz w:val="20"/>
              </w:rPr>
              <w:t>Called by Single Library</w:t>
            </w:r>
          </w:p>
        </w:tc>
        <w:tc>
          <w:tcPr>
            <w:tcW w:type="dxa" w:w="2160"/>
          </w:tcPr>
          <w:p>
            <w:r>
              <w:rPr>
                <w:sz w:val="20"/>
              </w:rPr>
              <w:t>10 files</w:t>
            </w:r>
          </w:p>
        </w:tc>
      </w:tr>
      <w:tr>
        <w:tc>
          <w:tcPr>
            <w:tcW w:type="dxa" w:w="2160"/>
          </w:tcPr>
          <w:p>
            <w:r>
              <w:rPr>
                <w:sz w:val="20"/>
              </w:rPr>
              <w:t>PL_Validation</w:t>
            </w:r>
          </w:p>
        </w:tc>
        <w:tc>
          <w:tcPr>
            <w:tcW w:type="dxa" w:w="2160"/>
          </w:tcPr>
          <w:p>
            <w:r>
              <w:rPr>
                <w:sz w:val="20"/>
              </w:rPr>
              <w:t>Validate migration completeness</w:t>
            </w:r>
          </w:p>
        </w:tc>
        <w:tc>
          <w:tcPr>
            <w:tcW w:type="dxa" w:w="2160"/>
          </w:tcPr>
          <w:p>
            <w:r>
              <w:rPr>
                <w:sz w:val="20"/>
              </w:rPr>
              <w:t>Manual (post-migration)</w:t>
            </w:r>
          </w:p>
        </w:tc>
        <w:tc>
          <w:tcPr>
            <w:tcW w:type="dxa" w:w="2160"/>
          </w:tcPr>
          <w:p>
            <w:r>
              <w:rPr>
                <w:sz w:val="20"/>
              </w:rPr>
              <w:t>5 libraries</w:t>
            </w:r>
          </w:p>
        </w:tc>
      </w:tr>
      <w:tr>
        <w:tc>
          <w:tcPr>
            <w:tcW w:type="dxa" w:w="2160"/>
          </w:tcPr>
          <w:p>
            <w:r>
              <w:rPr>
                <w:sz w:val="20"/>
              </w:rPr>
              <w:t>PL_Incremental_Sync</w:t>
            </w:r>
          </w:p>
        </w:tc>
        <w:tc>
          <w:tcPr>
            <w:tcW w:type="dxa" w:w="2160"/>
          </w:tcPr>
          <w:p>
            <w:r>
              <w:rPr>
                <w:sz w:val="20"/>
              </w:rPr>
              <w:t>Ongoing delta sync</w:t>
            </w:r>
          </w:p>
        </w:tc>
        <w:tc>
          <w:tcPr>
            <w:tcW w:type="dxa" w:w="2160"/>
          </w:tcPr>
          <w:p>
            <w:r>
              <w:rPr>
                <w:sz w:val="20"/>
              </w:rPr>
              <w:t>Tumbling window (6 hrs)</w:t>
            </w:r>
          </w:p>
        </w:tc>
        <w:tc>
          <w:tcPr>
            <w:tcW w:type="dxa" w:w="2160"/>
          </w:tcPr>
          <w:p>
            <w:r>
              <w:rPr>
                <w:sz w:val="20"/>
              </w:rPr>
              <w:t>4 libraries</w:t>
            </w:r>
          </w:p>
        </w:tc>
      </w:tr>
    </w:tbl>
    <w:p>
      <w:r>
        <w:br w:type="page"/>
      </w:r>
    </w:p>
    <w:p>
      <w:pPr>
        <w:pStyle w:val="Heading1"/>
      </w:pPr>
      <w:r>
        <w:t>5. Authentication &amp; Security</w:t>
      </w:r>
    </w:p>
    <w:p>
      <w:pPr>
        <w:pStyle w:val="Heading2"/>
      </w:pPr>
      <w:r>
        <w:t>5.1 Authentication Flows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Connection</w:t>
            </w:r>
          </w:p>
        </w:tc>
        <w:tc>
          <w:tcPr>
            <w:tcW w:type="dxa" w:w="2880"/>
          </w:tcPr>
          <w:p>
            <w:r>
              <w:rPr>
                <w:b/>
                <w:sz w:val="20"/>
              </w:rPr>
              <w:t>Authentication Method</w:t>
            </w:r>
          </w:p>
        </w:tc>
        <w:tc>
          <w:tcPr>
            <w:tcW w:type="dxa" w:w="2880"/>
          </w:tcPr>
          <w:p>
            <w:r>
              <w:rPr>
                <w:b/>
                <w:sz w:val="20"/>
              </w:rPr>
              <w:t>Credential Storage</w:t>
            </w:r>
          </w:p>
        </w:tc>
      </w:tr>
      <w:tr>
        <w:tc>
          <w:tcPr>
            <w:tcW w:type="dxa" w:w="2880"/>
          </w:tcPr>
          <w:p>
            <w:r>
              <w:rPr>
                <w:sz w:val="20"/>
              </w:rPr>
              <w:t>ADF -&gt; ADLS Gen2</w:t>
            </w:r>
          </w:p>
        </w:tc>
        <w:tc>
          <w:tcPr>
            <w:tcW w:type="dxa" w:w="2880"/>
          </w:tcPr>
          <w:p>
            <w:r>
              <w:rPr>
                <w:sz w:val="20"/>
              </w:rPr>
              <w:t>Managed Identity</w:t>
            </w:r>
          </w:p>
        </w:tc>
        <w:tc>
          <w:tcPr>
            <w:tcW w:type="dxa" w:w="2880"/>
          </w:tcPr>
          <w:p>
            <w:r>
              <w:rPr>
                <w:sz w:val="20"/>
              </w:rPr>
              <w:t>None (Azure AD token)</w:t>
            </w:r>
          </w:p>
        </w:tc>
      </w:tr>
      <w:tr>
        <w:tc>
          <w:tcPr>
            <w:tcW w:type="dxa" w:w="2880"/>
          </w:tcPr>
          <w:p>
            <w:r>
              <w:rPr>
                <w:sz w:val="20"/>
              </w:rPr>
              <w:t>ADF -&gt; Azure SQL</w:t>
            </w:r>
          </w:p>
        </w:tc>
        <w:tc>
          <w:tcPr>
            <w:tcW w:type="dxa" w:w="2880"/>
          </w:tcPr>
          <w:p>
            <w:r>
              <w:rPr>
                <w:sz w:val="20"/>
              </w:rPr>
              <w:t>Managed Identity</w:t>
            </w:r>
          </w:p>
        </w:tc>
        <w:tc>
          <w:tcPr>
            <w:tcW w:type="dxa" w:w="2880"/>
          </w:tcPr>
          <w:p>
            <w:r>
              <w:rPr>
                <w:sz w:val="20"/>
              </w:rPr>
              <w:t>None (Azure AD token)</w:t>
            </w:r>
          </w:p>
        </w:tc>
      </w:tr>
      <w:tr>
        <w:tc>
          <w:tcPr>
            <w:tcW w:type="dxa" w:w="2880"/>
          </w:tcPr>
          <w:p>
            <w:r>
              <w:rPr>
                <w:sz w:val="20"/>
              </w:rPr>
              <w:t>ADF -&gt; Key Vault</w:t>
            </w:r>
          </w:p>
        </w:tc>
        <w:tc>
          <w:tcPr>
            <w:tcW w:type="dxa" w:w="2880"/>
          </w:tcPr>
          <w:p>
            <w:r>
              <w:rPr>
                <w:sz w:val="20"/>
              </w:rPr>
              <w:t>Managed Identity</w:t>
            </w:r>
          </w:p>
        </w:tc>
        <w:tc>
          <w:tcPr>
            <w:tcW w:type="dxa" w:w="2880"/>
          </w:tcPr>
          <w:p>
            <w:r>
              <w:rPr>
                <w:sz w:val="20"/>
              </w:rPr>
              <w:t>None (Azure AD token)</w:t>
            </w:r>
          </w:p>
        </w:tc>
      </w:tr>
      <w:tr>
        <w:tc>
          <w:tcPr>
            <w:tcW w:type="dxa" w:w="2880"/>
          </w:tcPr>
          <w:p>
            <w:r>
              <w:rPr>
                <w:sz w:val="20"/>
              </w:rPr>
              <w:t>ADF -&gt; SharePoint (REST)</w:t>
            </w:r>
          </w:p>
        </w:tc>
        <w:tc>
          <w:tcPr>
            <w:tcW w:type="dxa" w:w="2880"/>
          </w:tcPr>
          <w:p>
            <w:r>
              <w:rPr>
                <w:sz w:val="20"/>
              </w:rPr>
              <w:t>OAuth2 Client Credentials</w:t>
            </w:r>
          </w:p>
        </w:tc>
        <w:tc>
          <w:tcPr>
            <w:tcW w:type="dxa" w:w="2880"/>
          </w:tcPr>
          <w:p>
            <w:r>
              <w:rPr>
                <w:sz w:val="20"/>
              </w:rPr>
              <w:t>Key Vault (client secret)</w:t>
            </w:r>
          </w:p>
        </w:tc>
      </w:tr>
      <w:tr>
        <w:tc>
          <w:tcPr>
            <w:tcW w:type="dxa" w:w="2880"/>
          </w:tcPr>
          <w:p>
            <w:r>
              <w:rPr>
                <w:sz w:val="20"/>
              </w:rPr>
              <w:t>ADF -&gt; SharePoint (HTTP)</w:t>
            </w:r>
          </w:p>
        </w:tc>
        <w:tc>
          <w:tcPr>
            <w:tcW w:type="dxa" w:w="2880"/>
          </w:tcPr>
          <w:p>
            <w:r>
              <w:rPr>
                <w:sz w:val="20"/>
              </w:rPr>
              <w:t>MSI / Bearer Token</w:t>
            </w:r>
          </w:p>
        </w:tc>
        <w:tc>
          <w:tcPr>
            <w:tcW w:type="dxa" w:w="2880"/>
          </w:tcPr>
          <w:p>
            <w:r>
              <w:rPr>
                <w:sz w:val="20"/>
              </w:rPr>
              <w:t>Pipeline-level token injection</w:t>
            </w:r>
          </w:p>
        </w:tc>
      </w:tr>
    </w:tbl>
    <w:p>
      <w:pPr>
        <w:pStyle w:val="Heading2"/>
      </w:pPr>
      <w:r>
        <w:t>5.2 OAuth2 Flow for SharePoint</w:t>
      </w:r>
    </w:p>
    <w:p>
      <w:pPr>
        <w:ind w:left="567"/>
      </w:pPr>
      <w:r>
        <w:rPr>
          <w:rFonts w:ascii="Consolas" w:hAnsi="Consolas"/>
          <w:color w:val="003366"/>
          <w:sz w:val="19"/>
        </w:rPr>
        <w:br/>
        <w:t xml:space="preserve">    1. ADF Managed Identity authenticates to Key Vault</w:t>
        <w:br/>
        <w:t xml:space="preserve">    2. Retrieves client-id and client-secret from Key Vault</w:t>
        <w:br/>
        <w:t xml:space="preserve">    3. Sends POST to Azure AD token endpoint:</w:t>
        <w:br/>
        <w:t xml:space="preserve">       POST https://accounts.accesscontrol.windows.net/{tenant}/tokens/OAuth/2</w:t>
        <w:br/>
        <w:t xml:space="preserve">       Body: grant_type=client_credentials&amp;client_id={id}&amp;client_secret={secret}&amp;resource=00000003-0000-0ff1-ce00-000000000000/{tenant}.sharepoint.com@{tenant-id}</w:t>
        <w:br/>
        <w:t xml:space="preserve">    4. Receives Bearer access token</w:t>
        <w:br/>
        <w:t xml:space="preserve">    5. Uses token in Authorization header for SharePoint REST API calls</w:t>
        <w:br/>
        <w:t xml:space="preserve">    </w:t>
      </w:r>
    </w:p>
    <w:p>
      <w:pPr>
        <w:pStyle w:val="Heading2"/>
      </w:pPr>
      <w:r>
        <w:t>5.3 Security Principles</w:t>
      </w:r>
    </w:p>
    <w:p>
      <w:pPr>
        <w:pStyle w:val="ListBullet"/>
      </w:pPr>
      <w:r>
        <w:t>No credentials stored in code or pipeline definitions — all secrets in Key Vault</w:t>
      </w:r>
    </w:p>
    <w:p>
      <w:pPr>
        <w:pStyle w:val="ListBullet"/>
      </w:pPr>
      <w:r>
        <w:t>Managed Identity used wherever possible (eliminates credential management)</w:t>
      </w:r>
    </w:p>
    <w:p>
      <w:pPr>
        <w:pStyle w:val="ListBullet"/>
      </w:pPr>
      <w:r>
        <w:t>SharePoint access is READ-ONLY — no modifications to source data</w:t>
      </w:r>
    </w:p>
    <w:p>
      <w:pPr>
        <w:pStyle w:val="ListBullet"/>
      </w:pPr>
      <w:r>
        <w:t>SQL Database uses Azure AD only authentication (no SQL passwords)</w:t>
      </w:r>
    </w:p>
    <w:p>
      <w:pPr>
        <w:pStyle w:val="ListBullet"/>
      </w:pPr>
      <w:r>
        <w:t>Key Vault uses access policies with least-privilege (get/list only for ADF)</w:t>
      </w:r>
    </w:p>
    <w:p>
      <w:pPr>
        <w:pStyle w:val="ListBullet"/>
      </w:pPr>
      <w:r>
        <w:t>ADLS uses role-based access (Storage Blob Data Contributor for ADF)</w:t>
      </w:r>
    </w:p>
    <w:p>
      <w:pPr>
        <w:pStyle w:val="ListBullet"/>
      </w:pPr>
      <w:r>
        <w:t>All data transfer over HTTPS (TLS 1.2+)</w:t>
      </w:r>
    </w:p>
    <w:p>
      <w:r>
        <w:br w:type="page"/>
      </w:r>
    </w:p>
    <w:p>
      <w:pPr>
        <w:pStyle w:val="Heading1"/>
      </w:pPr>
      <w:r>
        <w:t>6. Throttling &amp; Performance Management</w:t>
      </w:r>
    </w:p>
    <w:p>
      <w:pPr>
        <w:pStyle w:val="Heading2"/>
      </w:pPr>
      <w:r>
        <w:t>6.1 SharePoint Online Limits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Limit Type</w:t>
            </w:r>
          </w:p>
        </w:tc>
        <w:tc>
          <w:tcPr>
            <w:tcW w:type="dxa" w:w="2880"/>
          </w:tcPr>
          <w:p>
            <w:r>
              <w:rPr>
                <w:b/>
                <w:sz w:val="20"/>
              </w:rPr>
              <w:t>Threshold</w:t>
            </w:r>
          </w:p>
        </w:tc>
        <w:tc>
          <w:tcPr>
            <w:tcW w:type="dxa" w:w="2880"/>
          </w:tcPr>
          <w:p>
            <w:r>
              <w:rPr>
                <w:b/>
                <w:sz w:val="20"/>
              </w:rPr>
              <w:t>ADF Response</w:t>
            </w:r>
          </w:p>
        </w:tc>
      </w:tr>
      <w:tr>
        <w:tc>
          <w:tcPr>
            <w:tcW w:type="dxa" w:w="2880"/>
          </w:tcPr>
          <w:p>
            <w:r>
              <w:rPr>
                <w:sz w:val="20"/>
              </w:rPr>
              <w:t>Requests/minute</w:t>
            </w:r>
          </w:p>
        </w:tc>
        <w:tc>
          <w:tcPr>
            <w:tcW w:type="dxa" w:w="2880"/>
          </w:tcPr>
          <w:p>
            <w:r>
              <w:rPr>
                <w:sz w:val="20"/>
              </w:rPr>
              <w:t>~600</w:t>
            </w:r>
          </w:p>
        </w:tc>
        <w:tc>
          <w:tcPr>
            <w:tcW w:type="dxa" w:w="2880"/>
          </w:tcPr>
          <w:p>
            <w:r>
              <w:rPr>
                <w:sz w:val="20"/>
              </w:rPr>
              <w:t>HTTP 429 triggers wait + retry</w:t>
            </w:r>
          </w:p>
        </w:tc>
      </w:tr>
      <w:tr>
        <w:tc>
          <w:tcPr>
            <w:tcW w:type="dxa" w:w="2880"/>
          </w:tcPr>
          <w:p>
            <w:r>
              <w:rPr>
                <w:sz w:val="20"/>
              </w:rPr>
              <w:t>Concurrent connections</w:t>
            </w:r>
          </w:p>
        </w:tc>
        <w:tc>
          <w:tcPr>
            <w:tcW w:type="dxa" w:w="2880"/>
          </w:tcPr>
          <w:p>
            <w:r>
              <w:rPr>
                <w:sz w:val="20"/>
              </w:rPr>
              <w:t>~10-15</w:t>
            </w:r>
          </w:p>
        </w:tc>
        <w:tc>
          <w:tcPr>
            <w:tcW w:type="dxa" w:w="2880"/>
          </w:tcPr>
          <w:p>
            <w:r>
              <w:rPr>
                <w:sz w:val="20"/>
              </w:rPr>
              <w:t>ForEach batchCount limits concurrency</w:t>
            </w:r>
          </w:p>
        </w:tc>
      </w:tr>
      <w:tr>
        <w:tc>
          <w:tcPr>
            <w:tcW w:type="dxa" w:w="2880"/>
          </w:tcPr>
          <w:p>
            <w:r>
              <w:rPr>
                <w:sz w:val="20"/>
              </w:rPr>
              <w:t>File download bandwidth</w:t>
            </w:r>
          </w:p>
        </w:tc>
        <w:tc>
          <w:tcPr>
            <w:tcW w:type="dxa" w:w="2880"/>
          </w:tcPr>
          <w:p>
            <w:r>
              <w:rPr>
                <w:sz w:val="20"/>
              </w:rPr>
              <w:t>Variable</w:t>
            </w:r>
          </w:p>
        </w:tc>
        <w:tc>
          <w:tcPr>
            <w:tcW w:type="dxa" w:w="2880"/>
          </w:tcPr>
          <w:p>
            <w:r>
              <w:rPr>
                <w:sz w:val="20"/>
              </w:rPr>
              <w:t>Streaming (no buffering)</w:t>
            </w:r>
          </w:p>
        </w:tc>
      </w:tr>
      <w:tr>
        <w:tc>
          <w:tcPr>
            <w:tcW w:type="dxa" w:w="2880"/>
          </w:tcPr>
          <w:p>
            <w:r>
              <w:rPr>
                <w:sz w:val="20"/>
              </w:rPr>
              <w:t>Retry-After header</w:t>
            </w:r>
          </w:p>
        </w:tc>
        <w:tc>
          <w:tcPr>
            <w:tcW w:type="dxa" w:w="2880"/>
          </w:tcPr>
          <w:p>
            <w:r>
              <w:rPr>
                <w:sz w:val="20"/>
              </w:rPr>
              <w:t>1-300 seconds</w:t>
            </w:r>
          </w:p>
        </w:tc>
        <w:tc>
          <w:tcPr>
            <w:tcW w:type="dxa" w:w="2880"/>
          </w:tcPr>
          <w:p>
            <w:r>
              <w:rPr>
                <w:sz w:val="20"/>
              </w:rPr>
              <w:t>Pipeline waits for specified duration</w:t>
            </w:r>
          </w:p>
        </w:tc>
      </w:tr>
    </w:tbl>
    <w:p>
      <w:pPr>
        <w:pStyle w:val="Heading2"/>
      </w:pPr>
      <w:r>
        <w:t>6.2 Throttle Detection Strategy</w:t>
      </w:r>
    </w:p>
    <w:p>
      <w:pPr>
        <w:ind w:left="567"/>
      </w:pPr>
      <w:r>
        <w:rPr>
          <w:rFonts w:ascii="Consolas" w:hAnsi="Consolas"/>
          <w:color w:val="003366"/>
          <w:sz w:val="19"/>
        </w:rPr>
        <w:br/>
        <w:t xml:space="preserve">    File Copy Activity</w:t>
        <w:br/>
        <w:t xml:space="preserve">         |</w:t>
        <w:br/>
        <w:t xml:space="preserve">         +-- Success? --&gt; Log to audit table, continue</w:t>
        <w:br/>
        <w:t xml:space="preserve">         |</w:t>
        <w:br/>
        <w:t xml:space="preserve">         +-- HTTP 429? --&gt; Wait (ThrottleWaitSeconds parameter, default 120s)</w:t>
        <w:br/>
        <w:t xml:space="preserve">         |                      |</w:t>
        <w:br/>
        <w:t xml:space="preserve">         |                      +-- Retry (up to 3 attempts)</w:t>
        <w:br/>
        <w:t xml:space="preserve">         |</w:t>
        <w:br/>
        <w:t xml:space="preserve">         +-- HTTP 401/403? --&gt; Log error, skip file</w:t>
        <w:br/>
        <w:t xml:space="preserve">         |</w:t>
        <w:br/>
        <w:t xml:space="preserve">         +-- HTTP 404? --&gt; Log as expected (file deleted at source), skip</w:t>
        <w:br/>
        <w:t xml:space="preserve">         |</w:t>
        <w:br/>
        <w:t xml:space="preserve">         +-- Timeout? --&gt; Retry with extended timeout</w:t>
        <w:br/>
        <w:t xml:space="preserve">         |</w:t>
        <w:br/>
        <w:t xml:space="preserve">         +-- Other error? --&gt; Log error, increment retry count</w:t>
        <w:br/>
        <w:t xml:space="preserve">    </w:t>
      </w:r>
    </w:p>
    <w:p>
      <w:pPr>
        <w:pStyle w:val="Heading2"/>
      </w:pPr>
      <w:r>
        <w:t>6.3 Recommended Scheduling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Time Window (EST)</w:t>
            </w:r>
          </w:p>
        </w:tc>
        <w:tc>
          <w:tcPr>
            <w:tcW w:type="dxa" w:w="2160"/>
          </w:tcPr>
          <w:p>
            <w:r>
              <w:rPr>
                <w:b/>
                <w:sz w:val="20"/>
              </w:rPr>
              <w:t>Activity</w:t>
            </w:r>
          </w:p>
        </w:tc>
        <w:tc>
          <w:tcPr>
            <w:tcW w:type="dxa" w:w="2160"/>
          </w:tcPr>
          <w:p>
            <w:r>
              <w:rPr>
                <w:b/>
                <w:sz w:val="20"/>
              </w:rPr>
              <w:t>Parallelism</w:t>
            </w:r>
          </w:p>
        </w:tc>
        <w:tc>
          <w:tcPr>
            <w:tcW w:type="dxa" w:w="2160"/>
          </w:tcPr>
          <w:p>
            <w:r>
              <w:rPr>
                <w:b/>
                <w:sz w:val="20"/>
              </w:rPr>
              <w:t>Rationale</w:t>
            </w:r>
          </w:p>
        </w:tc>
      </w:tr>
      <w:tr>
        <w:tc>
          <w:tcPr>
            <w:tcW w:type="dxa" w:w="2160"/>
          </w:tcPr>
          <w:p>
            <w:r>
              <w:rPr>
                <w:sz w:val="20"/>
              </w:rPr>
              <w:t>6 AM - 6 PM</w:t>
            </w:r>
          </w:p>
        </w:tc>
        <w:tc>
          <w:tcPr>
            <w:tcW w:type="dxa" w:w="2160"/>
          </w:tcPr>
          <w:p>
            <w:r>
              <w:rPr>
                <w:sz w:val="20"/>
              </w:rPr>
              <w:t>Minimal / None</w:t>
            </w:r>
          </w:p>
        </w:tc>
        <w:tc>
          <w:tcPr>
            <w:tcW w:type="dxa" w:w="2160"/>
          </w:tcPr>
          <w:p>
            <w:r>
              <w:rPr>
                <w:sz w:val="20"/>
              </w:rPr>
              <w:t>1-2 libraries</w:t>
            </w:r>
          </w:p>
        </w:tc>
        <w:tc>
          <w:tcPr>
            <w:tcW w:type="dxa" w:w="2160"/>
          </w:tcPr>
          <w:p>
            <w:r>
              <w:rPr>
                <w:sz w:val="20"/>
              </w:rPr>
              <w:t>Business hours, avoid impacting users</w:t>
            </w:r>
          </w:p>
        </w:tc>
      </w:tr>
      <w:tr>
        <w:tc>
          <w:tcPr>
            <w:tcW w:type="dxa" w:w="2160"/>
          </w:tcPr>
          <w:p>
            <w:r>
              <w:rPr>
                <w:sz w:val="20"/>
              </w:rPr>
              <w:t>6 PM - 10 PM</w:t>
            </w:r>
          </w:p>
        </w:tc>
        <w:tc>
          <w:tcPr>
            <w:tcW w:type="dxa" w:w="2160"/>
          </w:tcPr>
          <w:p>
            <w:r>
              <w:rPr>
                <w:sz w:val="20"/>
              </w:rPr>
              <w:t>Moderate</w:t>
            </w:r>
          </w:p>
        </w:tc>
        <w:tc>
          <w:tcPr>
            <w:tcW w:type="dxa" w:w="2160"/>
          </w:tcPr>
          <w:p>
            <w:r>
              <w:rPr>
                <w:sz w:val="20"/>
              </w:rPr>
              <w:t>4 libraries</w:t>
            </w:r>
          </w:p>
        </w:tc>
        <w:tc>
          <w:tcPr>
            <w:tcW w:type="dxa" w:w="2160"/>
          </w:tcPr>
          <w:p>
            <w:r>
              <w:rPr>
                <w:sz w:val="20"/>
              </w:rPr>
              <w:t>Reduced user activity</w:t>
            </w:r>
          </w:p>
        </w:tc>
      </w:tr>
      <w:tr>
        <w:tc>
          <w:tcPr>
            <w:tcW w:type="dxa" w:w="2160"/>
          </w:tcPr>
          <w:p>
            <w:r>
              <w:rPr>
                <w:sz w:val="20"/>
              </w:rPr>
              <w:t>10 PM - 6 AM</w:t>
            </w:r>
          </w:p>
        </w:tc>
        <w:tc>
          <w:tcPr>
            <w:tcW w:type="dxa" w:w="2160"/>
          </w:tcPr>
          <w:p>
            <w:r>
              <w:rPr>
                <w:sz w:val="20"/>
              </w:rPr>
              <w:t>Maximum</w:t>
            </w:r>
          </w:p>
        </w:tc>
        <w:tc>
          <w:tcPr>
            <w:tcW w:type="dxa" w:w="2160"/>
          </w:tcPr>
          <w:p>
            <w:r>
              <w:rPr>
                <w:sz w:val="20"/>
              </w:rPr>
              <w:t>4 libraries</w:t>
            </w:r>
          </w:p>
        </w:tc>
        <w:tc>
          <w:tcPr>
            <w:tcW w:type="dxa" w:w="2160"/>
          </w:tcPr>
          <w:p>
            <w:r>
              <w:rPr>
                <w:sz w:val="20"/>
              </w:rPr>
              <w:t>Off-peak, lowest throttling risk</w:t>
            </w:r>
          </w:p>
        </w:tc>
      </w:tr>
      <w:tr>
        <w:tc>
          <w:tcPr>
            <w:tcW w:type="dxa" w:w="2160"/>
          </w:tcPr>
          <w:p>
            <w:r>
              <w:rPr>
                <w:sz w:val="20"/>
              </w:rPr>
              <w:t>Weekends</w:t>
            </w:r>
          </w:p>
        </w:tc>
        <w:tc>
          <w:tcPr>
            <w:tcW w:type="dxa" w:w="2160"/>
          </w:tcPr>
          <w:p>
            <w:r>
              <w:rPr>
                <w:sz w:val="20"/>
              </w:rPr>
              <w:t>Maximum</w:t>
            </w:r>
          </w:p>
        </w:tc>
        <w:tc>
          <w:tcPr>
            <w:tcW w:type="dxa" w:w="2160"/>
          </w:tcPr>
          <w:p>
            <w:r>
              <w:rPr>
                <w:sz w:val="20"/>
              </w:rPr>
              <w:t>4 libraries</w:t>
            </w:r>
          </w:p>
        </w:tc>
        <w:tc>
          <w:tcPr>
            <w:tcW w:type="dxa" w:w="2160"/>
          </w:tcPr>
          <w:p>
            <w:r>
              <w:rPr>
                <w:sz w:val="20"/>
              </w:rPr>
              <w:t>Minimal user activity</w:t>
            </w:r>
          </w:p>
        </w:tc>
      </w:tr>
    </w:tbl>
    <w:p>
      <w:r>
        <w:br w:type="page"/>
      </w:r>
    </w:p>
    <w:p>
      <w:pPr>
        <w:pStyle w:val="Heading1"/>
      </w:pPr>
      <w:r>
        <w:t>7. Monitoring &amp; Observability</w:t>
      </w:r>
    </w:p>
    <w:p>
      <w:pPr>
        <w:pStyle w:val="Heading2"/>
      </w:pPr>
      <w:r>
        <w:t>7.1 Monitoring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Tool</w:t>
            </w:r>
          </w:p>
        </w:tc>
        <w:tc>
          <w:tcPr>
            <w:tcW w:type="dxa" w:w="2880"/>
          </w:tcPr>
          <w:p>
            <w:r>
              <w:rPr>
                <w:b/>
                <w:sz w:val="20"/>
              </w:rPr>
              <w:t>What It Shows</w:t>
            </w:r>
          </w:p>
        </w:tc>
      </w:tr>
      <w:tr>
        <w:tc>
          <w:tcPr>
            <w:tcW w:type="dxa" w:w="2880"/>
          </w:tcPr>
          <w:p>
            <w:r>
              <w:rPr>
                <w:sz w:val="20"/>
              </w:rPr>
              <w:t>Pipeline Level</w:t>
            </w:r>
          </w:p>
        </w:tc>
        <w:tc>
          <w:tcPr>
            <w:tcW w:type="dxa" w:w="2880"/>
          </w:tcPr>
          <w:p>
            <w:r>
              <w:rPr>
                <w:sz w:val="20"/>
              </w:rPr>
              <w:t>ADF Monitor</w:t>
            </w:r>
          </w:p>
        </w:tc>
        <w:tc>
          <w:tcPr>
            <w:tcW w:type="dxa" w:w="2880"/>
          </w:tcPr>
          <w:p>
            <w:r>
              <w:rPr>
                <w:sz w:val="20"/>
              </w:rPr>
              <w:t>Pipeline runs, activity status, durations, errors</w:t>
            </w:r>
          </w:p>
        </w:tc>
      </w:tr>
      <w:tr>
        <w:tc>
          <w:tcPr>
            <w:tcW w:type="dxa" w:w="2880"/>
          </w:tcPr>
          <w:p>
            <w:r>
              <w:rPr>
                <w:sz w:val="20"/>
              </w:rPr>
              <w:t>File Level</w:t>
            </w:r>
          </w:p>
        </w:tc>
        <w:tc>
          <w:tcPr>
            <w:tcW w:type="dxa" w:w="2880"/>
          </w:tcPr>
          <w:p>
            <w:r>
              <w:rPr>
                <w:sz w:val="20"/>
              </w:rPr>
              <w:t>SQL MigrationAuditLog</w:t>
            </w:r>
          </w:p>
        </w:tc>
        <w:tc>
          <w:tcPr>
            <w:tcW w:type="dxa" w:w="2880"/>
          </w:tcPr>
          <w:p>
            <w:r>
              <w:rPr>
                <w:sz w:val="20"/>
              </w:rPr>
              <w:t>Per-file status, sizes, error codes, timestamps</w:t>
            </w:r>
          </w:p>
        </w:tc>
      </w:tr>
      <w:tr>
        <w:tc>
          <w:tcPr>
            <w:tcW w:type="dxa" w:w="2880"/>
          </w:tcPr>
          <w:p>
            <w:r>
              <w:rPr>
                <w:sz w:val="20"/>
              </w:rPr>
              <w:t>Library Level</w:t>
            </w:r>
          </w:p>
        </w:tc>
        <w:tc>
          <w:tcPr>
            <w:tcW w:type="dxa" w:w="2880"/>
          </w:tcPr>
          <w:p>
            <w:r>
              <w:rPr>
                <w:sz w:val="20"/>
              </w:rPr>
              <w:t>SQL MigrationControl</w:t>
            </w:r>
          </w:p>
        </w:tc>
        <w:tc>
          <w:tcPr>
            <w:tcW w:type="dxa" w:w="2880"/>
          </w:tcPr>
          <w:p>
            <w:r>
              <w:rPr>
                <w:sz w:val="20"/>
              </w:rPr>
              <w:t>Library status, file counts, validation status</w:t>
            </w:r>
          </w:p>
        </w:tc>
      </w:tr>
      <w:tr>
        <w:tc>
          <w:tcPr>
            <w:tcW w:type="dxa" w:w="2880"/>
          </w:tcPr>
          <w:p>
            <w:r>
              <w:rPr>
                <w:sz w:val="20"/>
              </w:rPr>
              <w:t>Batch Level</w:t>
            </w:r>
          </w:p>
        </w:tc>
        <w:tc>
          <w:tcPr>
            <w:tcW w:type="dxa" w:w="2880"/>
          </w:tcPr>
          <w:p>
            <w:r>
              <w:rPr>
                <w:sz w:val="20"/>
              </w:rPr>
              <w:t>SQL BatchLog</w:t>
            </w:r>
          </w:p>
        </w:tc>
        <w:tc>
          <w:tcPr>
            <w:tcW w:type="dxa" w:w="2880"/>
          </w:tcPr>
          <w:p>
            <w:r>
              <w:rPr>
                <w:sz w:val="20"/>
              </w:rPr>
              <w:t>Batch start/end, libraries completed/failed</w:t>
            </w:r>
          </w:p>
        </w:tc>
      </w:tr>
      <w:tr>
        <w:tc>
          <w:tcPr>
            <w:tcW w:type="dxa" w:w="2880"/>
          </w:tcPr>
          <w:p>
            <w:r>
              <w:rPr>
                <w:sz w:val="20"/>
              </w:rPr>
              <w:t>Throttling</w:t>
            </w:r>
          </w:p>
        </w:tc>
        <w:tc>
          <w:tcPr>
            <w:tcW w:type="dxa" w:w="2880"/>
          </w:tcPr>
          <w:p>
            <w:r>
              <w:rPr>
                <w:sz w:val="20"/>
              </w:rPr>
              <w:t>SQL AuditLog (ErrorCode=429)</w:t>
            </w:r>
          </w:p>
        </w:tc>
        <w:tc>
          <w:tcPr>
            <w:tcW w:type="dxa" w:w="2880"/>
          </w:tcPr>
          <w:p>
            <w:r>
              <w:rPr>
                <w:sz w:val="20"/>
              </w:rPr>
              <w:t>Throttle frequency by hour/day</w:t>
            </w:r>
          </w:p>
        </w:tc>
      </w:tr>
      <w:tr>
        <w:tc>
          <w:tcPr>
            <w:tcW w:type="dxa" w:w="2880"/>
          </w:tcPr>
          <w:p>
            <w:r>
              <w:rPr>
                <w:sz w:val="20"/>
              </w:rPr>
              <w:t>Throughput</w:t>
            </w:r>
          </w:p>
        </w:tc>
        <w:tc>
          <w:tcPr>
            <w:tcW w:type="dxa" w:w="2880"/>
          </w:tcPr>
          <w:p>
            <w:r>
              <w:rPr>
                <w:sz w:val="20"/>
              </w:rPr>
              <w:t>SQL AuditLog aggregation</w:t>
            </w:r>
          </w:p>
        </w:tc>
        <w:tc>
          <w:tcPr>
            <w:tcW w:type="dxa" w:w="2880"/>
          </w:tcPr>
          <w:p>
            <w:r>
              <w:rPr>
                <w:sz w:val="20"/>
              </w:rPr>
              <w:t>GB/hour, files/hour</w:t>
            </w:r>
          </w:p>
        </w:tc>
      </w:tr>
    </w:tbl>
    <w:p>
      <w:pPr>
        <w:pStyle w:val="Heading2"/>
      </w:pPr>
      <w:r>
        <w:t>7.2 Key Metrics</w:t>
      </w:r>
    </w:p>
    <w:p>
      <w:pPr>
        <w:pStyle w:val="ListBullet"/>
      </w:pPr>
      <w:r>
        <w:t>Migration Progress: % of libraries completed, TB migrated vs total</w:t>
      </w:r>
    </w:p>
    <w:p>
      <w:pPr>
        <w:pStyle w:val="ListBullet"/>
      </w:pPr>
      <w:r>
        <w:t>Throughput: GB/hour, files/hour (should sustain 50-100 GB/hour off-peak)</w:t>
      </w:r>
    </w:p>
    <w:p>
      <w:pPr>
        <w:pStyle w:val="ListBullet"/>
      </w:pPr>
      <w:r>
        <w:t>Error Rate: % of files failed, by error type (429, 401, 404, timeout)</w:t>
      </w:r>
    </w:p>
    <w:p>
      <w:pPr>
        <w:pStyle w:val="ListBullet"/>
      </w:pPr>
      <w:r>
        <w:t>Throttle Frequency: 429 errors per hour (target: &lt; 10/hour)</w:t>
      </w:r>
    </w:p>
    <w:p>
      <w:pPr>
        <w:pStyle w:val="ListBullet"/>
      </w:pPr>
      <w:r>
        <w:t>Retry Rate: files requiring retry (target: &lt; 5%)</w:t>
      </w:r>
    </w:p>
    <w:p>
      <w:pPr>
        <w:pStyle w:val="ListBullet"/>
      </w:pPr>
      <w:r>
        <w:t>Validation Pass Rate: % of libraries passing validation (target: 100%)</w:t>
      </w:r>
    </w:p>
    <w:p>
      <w:r>
        <w:br w:type="page"/>
      </w:r>
    </w:p>
    <w:p>
      <w:pPr>
        <w:pStyle w:val="Heading1"/>
      </w:pPr>
      <w:r>
        <w:t>8. Disaster Recovery &amp; Rollback</w:t>
      </w:r>
    </w:p>
    <w:p>
      <w:r>
        <w:t>The migration is designed to be safe, resumable, and fully reversible: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Principle</w:t>
            </w:r>
          </w:p>
        </w:tc>
        <w:tc>
          <w:tcPr>
            <w:tcW w:type="dxa" w:w="4320"/>
          </w:tcPr>
          <w:p>
            <w:r>
              <w:rPr>
                <w:b/>
                <w:sz w:val="20"/>
              </w:rPr>
              <w:t>Implementation</w:t>
            </w:r>
          </w:p>
        </w:tc>
      </w:tr>
      <w:tr>
        <w:tc>
          <w:tcPr>
            <w:tcW w:type="dxa" w:w="4320"/>
          </w:tcPr>
          <w:p>
            <w:r>
              <w:rPr>
                <w:sz w:val="20"/>
              </w:rPr>
              <w:t>Source is read-only</w:t>
            </w:r>
          </w:p>
        </w:tc>
        <w:tc>
          <w:tcPr>
            <w:tcW w:type="dxa" w:w="4320"/>
          </w:tcPr>
          <w:p>
            <w:r>
              <w:rPr>
                <w:sz w:val="20"/>
              </w:rPr>
              <w:t>SharePoint data is never modified during migration</w:t>
            </w:r>
          </w:p>
        </w:tc>
      </w:tr>
      <w:tr>
        <w:tc>
          <w:tcPr>
            <w:tcW w:type="dxa" w:w="4320"/>
          </w:tcPr>
          <w:p>
            <w:r>
              <w:rPr>
                <w:sz w:val="20"/>
              </w:rPr>
              <w:t>Idempotent operations</w:t>
            </w:r>
          </w:p>
        </w:tc>
        <w:tc>
          <w:tcPr>
            <w:tcW w:type="dxa" w:w="4320"/>
          </w:tcPr>
          <w:p>
            <w:r>
              <w:rPr>
                <w:sz w:val="20"/>
              </w:rPr>
              <w:t>Re-running a pipeline overwrites destination (same result)</w:t>
            </w:r>
          </w:p>
        </w:tc>
      </w:tr>
      <w:tr>
        <w:tc>
          <w:tcPr>
            <w:tcW w:type="dxa" w:w="4320"/>
          </w:tcPr>
          <w:p>
            <w:r>
              <w:rPr>
                <w:sz w:val="20"/>
              </w:rPr>
              <w:t>Resumable</w:t>
            </w:r>
          </w:p>
        </w:tc>
        <w:tc>
          <w:tcPr>
            <w:tcW w:type="dxa" w:w="4320"/>
          </w:tcPr>
          <w:p>
            <w:r>
              <w:rPr>
                <w:sz w:val="20"/>
              </w:rPr>
              <w:t>Failed libraries can be reset to Pending and re-processed</w:t>
            </w:r>
          </w:p>
        </w:tc>
      </w:tr>
      <w:tr>
        <w:tc>
          <w:tcPr>
            <w:tcW w:type="dxa" w:w="4320"/>
          </w:tcPr>
          <w:p>
            <w:r>
              <w:rPr>
                <w:sz w:val="20"/>
              </w:rPr>
              <w:t>Audited</w:t>
            </w:r>
          </w:p>
        </w:tc>
        <w:tc>
          <w:tcPr>
            <w:tcW w:type="dxa" w:w="4320"/>
          </w:tcPr>
          <w:p>
            <w:r>
              <w:rPr>
                <w:sz w:val="20"/>
              </w:rPr>
              <w:t>Every file copy is logged with source path, status, and error details</w:t>
            </w:r>
          </w:p>
        </w:tc>
      </w:tr>
      <w:tr>
        <w:tc>
          <w:tcPr>
            <w:tcW w:type="dxa" w:w="4320"/>
          </w:tcPr>
          <w:p>
            <w:r>
              <w:rPr>
                <w:sz w:val="20"/>
              </w:rPr>
              <w:t>Rollback = no action</w:t>
            </w:r>
          </w:p>
        </w:tc>
        <w:tc>
          <w:tcPr>
            <w:tcW w:type="dxa" w:w="4320"/>
          </w:tcPr>
          <w:p>
            <w:r>
              <w:rPr>
                <w:sz w:val="20"/>
              </w:rPr>
              <w:t>Since source is unchanged, rollback means continuing to use SharePoint</w:t>
            </w:r>
          </w:p>
        </w:tc>
      </w:tr>
    </w:tbl>
    <w:p/>
    <w:p>
      <w:pPr>
        <w:pStyle w:val="Heading2"/>
      </w:pPr>
      <w:r>
        <w:t>8.1 Recovery Scenarios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Recovery Action</w:t>
            </w:r>
          </w:p>
        </w:tc>
        <w:tc>
          <w:tcPr>
            <w:tcW w:type="dxa" w:w="2880"/>
          </w:tcPr>
          <w:p>
            <w:r>
              <w:rPr>
                <w:b/>
                <w:sz w:val="20"/>
              </w:rPr>
              <w:t>Data Loss Risk</w:t>
            </w:r>
          </w:p>
        </w:tc>
      </w:tr>
      <w:tr>
        <w:tc>
          <w:tcPr>
            <w:tcW w:type="dxa" w:w="2880"/>
          </w:tcPr>
          <w:p>
            <w:r>
              <w:rPr>
                <w:sz w:val="20"/>
              </w:rPr>
              <w:t>Pipeline fails mid-batch</w:t>
            </w:r>
          </w:p>
        </w:tc>
        <w:tc>
          <w:tcPr>
            <w:tcW w:type="dxa" w:w="2880"/>
          </w:tcPr>
          <w:p>
            <w:r>
              <w:rPr>
                <w:sz w:val="20"/>
              </w:rPr>
              <w:t>Reset failed libraries to Pending, re-run</w:t>
            </w:r>
          </w:p>
        </w:tc>
        <w:tc>
          <w:tcPr>
            <w:tcW w:type="dxa" w:w="2880"/>
          </w:tcPr>
          <w:p>
            <w:r>
              <w:rPr>
                <w:sz w:val="20"/>
              </w:rPr>
              <w:t>None (source unchanged)</w:t>
            </w:r>
          </w:p>
        </w:tc>
      </w:tr>
      <w:tr>
        <w:tc>
          <w:tcPr>
            <w:tcW w:type="dxa" w:w="2880"/>
          </w:tcPr>
          <w:p>
            <w:r>
              <w:rPr>
                <w:sz w:val="20"/>
              </w:rPr>
              <w:t>Credential expires</w:t>
            </w:r>
          </w:p>
        </w:tc>
        <w:tc>
          <w:tcPr>
            <w:tcW w:type="dxa" w:w="2880"/>
          </w:tcPr>
          <w:p>
            <w:r>
              <w:rPr>
                <w:sz w:val="20"/>
              </w:rPr>
              <w:t>Regenerate secret, update Key Vault, re-run</w:t>
            </w:r>
          </w:p>
        </w:tc>
        <w:tc>
          <w:tcPr>
            <w:tcW w:type="dxa" w:w="2880"/>
          </w:tcPr>
          <w:p>
            <w:r>
              <w:rPr>
                <w:sz w:val="20"/>
              </w:rPr>
              <w:t>None</w:t>
            </w:r>
          </w:p>
        </w:tc>
      </w:tr>
      <w:tr>
        <w:tc>
          <w:tcPr>
            <w:tcW w:type="dxa" w:w="2880"/>
          </w:tcPr>
          <w:p>
            <w:r>
              <w:rPr>
                <w:sz w:val="20"/>
              </w:rPr>
              <w:t>ADLS data corrupted</w:t>
            </w:r>
          </w:p>
        </w:tc>
        <w:tc>
          <w:tcPr>
            <w:tcW w:type="dxa" w:w="2880"/>
          </w:tcPr>
          <w:p>
            <w:r>
              <w:rPr>
                <w:sz w:val="20"/>
              </w:rPr>
              <w:t>Delete container, reset control table, re-migrate</w:t>
            </w:r>
          </w:p>
        </w:tc>
        <w:tc>
          <w:tcPr>
            <w:tcW w:type="dxa" w:w="2880"/>
          </w:tcPr>
          <w:p>
            <w:r>
              <w:rPr>
                <w:sz w:val="20"/>
              </w:rPr>
              <w:t>None (source is authoritative)</w:t>
            </w:r>
          </w:p>
        </w:tc>
      </w:tr>
      <w:tr>
        <w:tc>
          <w:tcPr>
            <w:tcW w:type="dxa" w:w="2880"/>
          </w:tcPr>
          <w:p>
            <w:r>
              <w:rPr>
                <w:sz w:val="20"/>
              </w:rPr>
              <w:t>SQL database lost</w:t>
            </w:r>
          </w:p>
        </w:tc>
        <w:tc>
          <w:tcPr>
            <w:tcW w:type="dxa" w:w="2880"/>
          </w:tcPr>
          <w:p>
            <w:r>
              <w:rPr>
                <w:sz w:val="20"/>
              </w:rPr>
              <w:t>Restore from backup, or re-create tables and re-migrate</w:t>
            </w:r>
          </w:p>
        </w:tc>
        <w:tc>
          <w:tcPr>
            <w:tcW w:type="dxa" w:w="2880"/>
          </w:tcPr>
          <w:p>
            <w:r>
              <w:rPr>
                <w:sz w:val="20"/>
              </w:rPr>
              <w:t>Audit history lost</w:t>
            </w:r>
          </w:p>
        </w:tc>
      </w:tr>
      <w:tr>
        <w:tc>
          <w:tcPr>
            <w:tcW w:type="dxa" w:w="2880"/>
          </w:tcPr>
          <w:p>
            <w:r>
              <w:rPr>
                <w:sz w:val="20"/>
              </w:rPr>
              <w:t>Full rollback</w:t>
            </w:r>
          </w:p>
        </w:tc>
        <w:tc>
          <w:tcPr>
            <w:tcW w:type="dxa" w:w="2880"/>
          </w:tcPr>
          <w:p>
            <w:r>
              <w:rPr>
                <w:sz w:val="20"/>
              </w:rPr>
              <w:t>Stop triggers, continue using SharePoint</w:t>
            </w:r>
          </w:p>
        </w:tc>
        <w:tc>
          <w:tcPr>
            <w:tcW w:type="dxa" w:w="2880"/>
          </w:tcPr>
          <w:p>
            <w:r>
              <w:rPr>
                <w:sz w:val="20"/>
              </w:rPr>
              <w:t>None</w:t>
            </w:r>
          </w:p>
        </w:tc>
      </w:tr>
    </w:tbl>
    <w:p>
      <w:r>
        <w:br w:type="page"/>
      </w:r>
    </w:p>
    <w:p>
      <w:pPr>
        <w:pStyle w:val="Heading1"/>
      </w:pPr>
      <w:r>
        <w:t>9. Cost Estimation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Resource</w:t>
            </w:r>
          </w:p>
        </w:tc>
        <w:tc>
          <w:tcPr>
            <w:tcW w:type="dxa" w:w="2160"/>
          </w:tcPr>
          <w:p>
            <w:r>
              <w:rPr>
                <w:b/>
                <w:sz w:val="20"/>
              </w:rPr>
              <w:t>SKU/Tier</w:t>
            </w:r>
          </w:p>
        </w:tc>
        <w:tc>
          <w:tcPr>
            <w:tcW w:type="dxa" w:w="2160"/>
          </w:tcPr>
          <w:p>
            <w:r>
              <w:rPr>
                <w:b/>
                <w:sz w:val="20"/>
              </w:rPr>
              <w:t>Monthly Cost (CAD)</w:t>
            </w:r>
          </w:p>
        </w:tc>
        <w:tc>
          <w:tcPr>
            <w:tcW w:type="dxa" w:w="2160"/>
          </w:tcPr>
          <w:p>
            <w:r>
              <w:rPr>
                <w:b/>
                <w:sz w:val="20"/>
              </w:rPr>
              <w:t>Notes</w:t>
            </w:r>
          </w:p>
        </w:tc>
      </w:tr>
      <w:tr>
        <w:tc>
          <w:tcPr>
            <w:tcW w:type="dxa" w:w="2160"/>
          </w:tcPr>
          <w:p>
            <w:r>
              <w:rPr>
                <w:sz w:val="20"/>
              </w:rPr>
              <w:t>ADLS Gen2 (25 TB, Hot)</w:t>
            </w:r>
          </w:p>
        </w:tc>
        <w:tc>
          <w:tcPr>
            <w:tcW w:type="dxa" w:w="2160"/>
          </w:tcPr>
          <w:p>
            <w:r>
              <w:rPr>
                <w:sz w:val="20"/>
              </w:rPr>
              <w:t>Standard LRS</w:t>
            </w:r>
          </w:p>
        </w:tc>
        <w:tc>
          <w:tcPr>
            <w:tcW w:type="dxa" w:w="2160"/>
          </w:tcPr>
          <w:p>
            <w:r>
              <w:rPr>
                <w:sz w:val="20"/>
              </w:rPr>
              <w:t>$650-800</w:t>
            </w:r>
          </w:p>
        </w:tc>
        <w:tc>
          <w:tcPr>
            <w:tcW w:type="dxa" w:w="2160"/>
          </w:tcPr>
          <w:p>
            <w:r>
              <w:rPr>
                <w:sz w:val="20"/>
              </w:rPr>
              <w:t>Includes storage + transactions</w:t>
            </w:r>
          </w:p>
        </w:tc>
      </w:tr>
      <w:tr>
        <w:tc>
          <w:tcPr>
            <w:tcW w:type="dxa" w:w="2160"/>
          </w:tcPr>
          <w:p>
            <w:r>
              <w:rPr>
                <w:sz w:val="20"/>
              </w:rPr>
              <w:t>Azure SQL Database</w:t>
            </w:r>
          </w:p>
        </w:tc>
        <w:tc>
          <w:tcPr>
            <w:tcW w:type="dxa" w:w="2160"/>
          </w:tcPr>
          <w:p>
            <w:r>
              <w:rPr>
                <w:sz w:val="20"/>
              </w:rPr>
              <w:t>S1 (20 DTU)</w:t>
            </w:r>
          </w:p>
        </w:tc>
        <w:tc>
          <w:tcPr>
            <w:tcW w:type="dxa" w:w="2160"/>
          </w:tcPr>
          <w:p>
            <w:r>
              <w:rPr>
                <w:sz w:val="20"/>
              </w:rPr>
              <w:t>$40</w:t>
            </w:r>
          </w:p>
        </w:tc>
        <w:tc>
          <w:tcPr>
            <w:tcW w:type="dxa" w:w="2160"/>
          </w:tcPr>
          <w:p>
            <w:r>
              <w:rPr>
                <w:sz w:val="20"/>
              </w:rPr>
              <w:t>Sufficient for control/audit tables</w:t>
            </w:r>
          </w:p>
        </w:tc>
      </w:tr>
      <w:tr>
        <w:tc>
          <w:tcPr>
            <w:tcW w:type="dxa" w:w="2160"/>
          </w:tcPr>
          <w:p>
            <w:r>
              <w:rPr>
                <w:sz w:val="20"/>
              </w:rPr>
              <w:t>Azure Data Factory</w:t>
            </w:r>
          </w:p>
        </w:tc>
        <w:tc>
          <w:tcPr>
            <w:tcW w:type="dxa" w:w="2160"/>
          </w:tcPr>
          <w:p>
            <w:r>
              <w:rPr>
                <w:sz w:val="20"/>
              </w:rPr>
              <w:t>Pay-as-you-go</w:t>
            </w:r>
          </w:p>
        </w:tc>
        <w:tc>
          <w:tcPr>
            <w:tcW w:type="dxa" w:w="2160"/>
          </w:tcPr>
          <w:p>
            <w:r>
              <w:rPr>
                <w:sz w:val="20"/>
              </w:rPr>
              <w:t>$65-260</w:t>
            </w:r>
          </w:p>
        </w:tc>
        <w:tc>
          <w:tcPr>
            <w:tcW w:type="dxa" w:w="2160"/>
          </w:tcPr>
          <w:p>
            <w:r>
              <w:rPr>
                <w:sz w:val="20"/>
              </w:rPr>
              <w:t>Depends on activity volume</w:t>
            </w:r>
          </w:p>
        </w:tc>
      </w:tr>
      <w:tr>
        <w:tc>
          <w:tcPr>
            <w:tcW w:type="dxa" w:w="2160"/>
          </w:tcPr>
          <w:p>
            <w:r>
              <w:rPr>
                <w:sz w:val="20"/>
              </w:rPr>
              <w:t>Azure Key Vault</w:t>
            </w:r>
          </w:p>
        </w:tc>
        <w:tc>
          <w:tcPr>
            <w:tcW w:type="dxa" w:w="2160"/>
          </w:tcPr>
          <w:p>
            <w:r>
              <w:rPr>
                <w:sz w:val="20"/>
              </w:rPr>
              <w:t>Standard</w:t>
            </w:r>
          </w:p>
        </w:tc>
        <w:tc>
          <w:tcPr>
            <w:tcW w:type="dxa" w:w="2160"/>
          </w:tcPr>
          <w:p>
            <w:r>
              <w:rPr>
                <w:sz w:val="20"/>
              </w:rPr>
              <w:t>$7</w:t>
            </w:r>
          </w:p>
        </w:tc>
        <w:tc>
          <w:tcPr>
            <w:tcW w:type="dxa" w:w="2160"/>
          </w:tcPr>
          <w:p>
            <w:r>
              <w:rPr>
                <w:sz w:val="20"/>
              </w:rPr>
              <w:t>Minimal secret operations</w:t>
            </w:r>
          </w:p>
        </w:tc>
      </w:tr>
      <w:tr>
        <w:tc>
          <w:tcPr>
            <w:tcW w:type="dxa" w:w="2160"/>
          </w:tcPr>
          <w:p>
            <w:r>
              <w:rPr>
                <w:sz w:val="20"/>
              </w:rPr>
              <w:t>Total</w:t>
            </w:r>
          </w:p>
        </w:tc>
        <w:tc>
          <w:tcPr>
            <w:tcW w:type="dxa" w:w="2160"/>
          </w:tcPr>
          <w:p>
            <w:r>
              <w:rPr>
                <w:sz w:val="20"/>
              </w:rPr>
            </w:r>
          </w:p>
        </w:tc>
        <w:tc>
          <w:tcPr>
            <w:tcW w:type="dxa" w:w="2160"/>
          </w:tcPr>
          <w:p>
            <w:r>
              <w:rPr>
                <w:sz w:val="20"/>
              </w:rPr>
              <w:t>$762-1,107/month</w:t>
            </w:r>
          </w:p>
        </w:tc>
        <w:tc>
          <w:tcPr>
            <w:tcW w:type="dxa" w:w="2160"/>
          </w:tcPr>
          <w:p>
            <w:r>
              <w:rPr>
                <w:sz w:val="20"/>
              </w:rPr>
            </w:r>
          </w:p>
        </w:tc>
      </w:tr>
    </w:tbl>
    <w:p>
      <w:r>
        <w:rPr>
          <w:b/>
          <w:color w:val="006400"/>
        </w:rPr>
        <w:t xml:space="preserve">Note: </w:t>
      </w:r>
      <w:r>
        <w:t>Costs are estimates based on Canada Central pricing. Actual costs may vary.</w:t>
      </w:r>
    </w:p>
    <w:p>
      <w:pPr>
        <w:pStyle w:val="Heading1"/>
      </w:pPr>
      <w:r>
        <w:t>10. Deployment Environments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Environment</w:t>
            </w:r>
          </w:p>
        </w:tc>
        <w:tc>
          <w:tcPr>
            <w:tcW w:type="dxa" w:w="2160"/>
          </w:tcPr>
          <w:p>
            <w:r>
              <w:rPr>
                <w:b/>
                <w:sz w:val="20"/>
              </w:rPr>
              <w:t>Purpose</w:t>
            </w:r>
          </w:p>
        </w:tc>
        <w:tc>
          <w:tcPr>
            <w:tcW w:type="dxa" w:w="2160"/>
          </w:tcPr>
          <w:p>
            <w:r>
              <w:rPr>
                <w:b/>
                <w:sz w:val="20"/>
              </w:rPr>
              <w:t>Region</w:t>
            </w:r>
          </w:p>
        </w:tc>
        <w:tc>
          <w:tcPr>
            <w:tcW w:type="dxa" w:w="2160"/>
          </w:tcPr>
          <w:p>
            <w:r>
              <w:rPr>
                <w:b/>
                <w:sz w:val="20"/>
              </w:rPr>
              <w:t>Naming Pattern</w:t>
            </w:r>
          </w:p>
        </w:tc>
      </w:tr>
      <w:tr>
        <w:tc>
          <w:tcPr>
            <w:tcW w:type="dxa" w:w="2160"/>
          </w:tcPr>
          <w:p>
            <w:r>
              <w:rPr>
                <w:sz w:val="20"/>
              </w:rPr>
              <w:t>dev</w:t>
            </w:r>
          </w:p>
        </w:tc>
        <w:tc>
          <w:tcPr>
            <w:tcW w:type="dxa" w:w="2160"/>
          </w:tcPr>
          <w:p>
            <w:r>
              <w:rPr>
                <w:sz w:val="20"/>
              </w:rPr>
              <w:t>Development and initial testing</w:t>
            </w:r>
          </w:p>
        </w:tc>
        <w:tc>
          <w:tcPr>
            <w:tcW w:type="dxa" w:w="2160"/>
          </w:tcPr>
          <w:p>
            <w:r>
              <w:rPr>
                <w:sz w:val="20"/>
              </w:rPr>
              <w:t>Canada Central</w:t>
            </w:r>
          </w:p>
        </w:tc>
        <w:tc>
          <w:tcPr>
            <w:tcW w:type="dxa" w:w="2160"/>
          </w:tcPr>
          <w:p>
            <w:r>
              <w:rPr>
                <w:sz w:val="20"/>
              </w:rPr>
              <w:t>rg-hydroone-migration-dev</w:t>
            </w:r>
          </w:p>
        </w:tc>
      </w:tr>
      <w:tr>
        <w:tc>
          <w:tcPr>
            <w:tcW w:type="dxa" w:w="2160"/>
          </w:tcPr>
          <w:p>
            <w:r>
              <w:rPr>
                <w:sz w:val="20"/>
              </w:rPr>
              <w:t>test</w:t>
            </w:r>
          </w:p>
        </w:tc>
        <w:tc>
          <w:tcPr>
            <w:tcW w:type="dxa" w:w="2160"/>
          </w:tcPr>
          <w:p>
            <w:r>
              <w:rPr>
                <w:sz w:val="20"/>
              </w:rPr>
              <w:t>Pre-production validation</w:t>
            </w:r>
          </w:p>
        </w:tc>
        <w:tc>
          <w:tcPr>
            <w:tcW w:type="dxa" w:w="2160"/>
          </w:tcPr>
          <w:p>
            <w:r>
              <w:rPr>
                <w:sz w:val="20"/>
              </w:rPr>
              <w:t>Canada Central</w:t>
            </w:r>
          </w:p>
        </w:tc>
        <w:tc>
          <w:tcPr>
            <w:tcW w:type="dxa" w:w="2160"/>
          </w:tcPr>
          <w:p>
            <w:r>
              <w:rPr>
                <w:sz w:val="20"/>
              </w:rPr>
              <w:t>rg-hydroone-migration-test</w:t>
            </w:r>
          </w:p>
        </w:tc>
      </w:tr>
      <w:tr>
        <w:tc>
          <w:tcPr>
            <w:tcW w:type="dxa" w:w="2160"/>
          </w:tcPr>
          <w:p>
            <w:r>
              <w:rPr>
                <w:sz w:val="20"/>
              </w:rPr>
              <w:t>prod</w:t>
            </w:r>
          </w:p>
        </w:tc>
        <w:tc>
          <w:tcPr>
            <w:tcW w:type="dxa" w:w="2160"/>
          </w:tcPr>
          <w:p>
            <w:r>
              <w:rPr>
                <w:sz w:val="20"/>
              </w:rPr>
              <w:t>Production migration</w:t>
            </w:r>
          </w:p>
        </w:tc>
        <w:tc>
          <w:tcPr>
            <w:tcW w:type="dxa" w:w="2160"/>
          </w:tcPr>
          <w:p>
            <w:r>
              <w:rPr>
                <w:sz w:val="20"/>
              </w:rPr>
              <w:t>Canada Central</w:t>
            </w:r>
          </w:p>
        </w:tc>
        <w:tc>
          <w:tcPr>
            <w:tcW w:type="dxa" w:w="2160"/>
          </w:tcPr>
          <w:p>
            <w:r>
              <w:rPr>
                <w:sz w:val="20"/>
              </w:rPr>
              <w:t>rg-hydroone-migration-prod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