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0"/>
        </w:rPr>
        <w:t>ARCHITECTURAL DESIGN &amp; PROJECT IMPLEMENTATION REPORT</w:t>
      </w:r>
    </w:p>
    <w:p>
      <w:pPr>
        <w:spacing w:after="360"/>
      </w:pPr>
      <w:r>
        <w:rPr>
          <w:color w:val="7F8C8D"/>
          <w:sz w:val="20"/>
        </w:rPr>
        <w:t>Project Title: Production-Grade SEC Filing Intelligence Engine</w:t>
        <w:br/>
        <w:t>System Architecture Layer: Hybrid Lexical-Semantic RAG Platform with Local Disk Caching</w:t>
        <w:br/>
        <w:t>Document Classification: Technical Portfolios &amp; Verification Record</w:t>
      </w:r>
    </w:p>
    <w:p>
      <w:pPr>
        <w:keepNext/>
        <w:spacing w:before="440" w:after="200"/>
      </w:pPr>
      <w:r>
        <w:rPr>
          <w:rFonts w:ascii="Arial" w:hAnsi="Arial"/>
          <w:b/>
          <w:color w:val="1B365D"/>
          <w:sz w:val="30"/>
        </w:rPr>
        <w:t>1. Executive Summary &amp; Business Problem Statement</w:t>
      </w:r>
    </w:p>
    <w:p>
      <w:pPr>
        <w:keepNext/>
        <w:spacing w:before="320" w:after="160"/>
      </w:pPr>
      <w:r>
        <w:rPr>
          <w:rFonts w:ascii="Arial" w:hAnsi="Arial"/>
          <w:b/>
          <w:color w:val="4A90E2"/>
          <w:sz w:val="25"/>
        </w:rPr>
        <w:t>1.1 The Enterprise Problem</w:t>
      </w:r>
    </w:p>
    <w:p>
      <w:r>
        <w:t>In equity research, quantitative analysis, and regulatory compliance, extracting precise information from corporate disclosures is a massive bottleneck. The U.S. Securities and Exchange Commission (SEC) requires public companies to file annual reports (Form 10-K) that frequently exceed 200 to 300 pages of dense financial narrative and intricate data grids.</w:t>
      </w:r>
    </w:p>
    <w:p>
      <w:r>
        <w:t>When financial analysts attempt to review these reports, they face significant friction:</w:t>
      </w:r>
    </w:p>
    <w:p>
      <w:pPr>
        <w:pStyle w:val="ListBullet"/>
      </w:pPr>
      <w:r>
        <w:rPr>
          <w:b/>
        </w:rPr>
        <w:t xml:space="preserve">The Noise-to-Signal Dilemma: </w:t>
      </w:r>
      <w:r>
        <w:t>SEC filings are filled with structured database metadata (raw XBRL taxonomy charts, corporate registries, legal boilerplate, and tracking links). This data provides zero analytical value but creates immense text clutter.</w:t>
      </w:r>
    </w:p>
    <w:p>
      <w:pPr>
        <w:pStyle w:val="ListBullet"/>
      </w:pPr>
      <w:r>
        <w:rPr>
          <w:b/>
        </w:rPr>
        <w:t xml:space="preserve">Context Saturation in Commercial LLMs: </w:t>
      </w:r>
      <w:r>
        <w:t>Standard practice involves copy-pasting text directly into general-purpose AI chat tools. However, feeding long documents into a model causes it to lose focus over long text spreads, spikes API token costs, and slows down response times.</w:t>
      </w:r>
    </w:p>
    <w:p>
      <w:pPr>
        <w:pStyle w:val="ListBullet"/>
      </w:pPr>
      <w:r>
        <w:rPr>
          <w:b/>
        </w:rPr>
        <w:t xml:space="preserve">The Risk of Plausible Hallucinations: </w:t>
      </w:r>
      <w:r>
        <w:t>In finance, a single misplaced decimal or misattributed fiscal year can ruin a valuation model or a compliance report. Standard out-of-the-box LLMs lack strict source anchoring, meaning they regularly invent or miscalculate numbers when working without local context constraints.</w:t>
      </w:r>
    </w:p>
    <w:p>
      <w:pPr>
        <w:pStyle w:val="ListBullet"/>
      </w:pPr>
      <w:r>
        <w:rPr>
          <w:b/>
        </w:rPr>
        <w:t xml:space="preserve">The Missing Audit Trail: </w:t>
      </w:r>
      <w:r>
        <w:t>Generative summaries often lack clear citations. An analyst cannot rely on a summary unless they can quickly verify it against the original, unedited paragraph in the official regulatory filing.</w:t>
      </w:r>
    </w:p>
    <w:p>
      <w:pPr>
        <w:keepNext/>
        <w:spacing w:before="320" w:after="160"/>
      </w:pPr>
      <w:r>
        <w:rPr>
          <w:rFonts w:ascii="Arial" w:hAnsi="Arial"/>
          <w:b/>
          <w:color w:val="4A90E2"/>
          <w:sz w:val="25"/>
        </w:rPr>
        <w:t>1.2 Motivation &amp; Design Philosophy</w:t>
      </w:r>
    </w:p>
    <w:p>
      <w:r>
        <w:t>This project was built to solve these problems by creating a lightweight, localized Retrieval-Augmented Generation (RAG) system. The core design philosophy focuses on absolute dependency minimization.</w:t>
      </w:r>
    </w:p>
    <w:p>
      <w:r>
        <w:t>Instead of relying on heavy, abstracted AI frameworks like LangChain or LlamaIndex—which frequently introduce bloated code, slow execution times, and complex dependency issues—this engine is built from scratch using raw Python, optimized mathematics via NumPy, and native API clients. This ensures the codebase remains transparent, modular, fast, and incredibly easy to maintain or port into any production enterprise workspace.</w:t>
      </w:r>
    </w:p>
    <w:p>
      <w:pPr>
        <w:keepNext/>
        <w:spacing w:before="440" w:after="200"/>
      </w:pPr>
      <w:r>
        <w:rPr>
          <w:rFonts w:ascii="Arial" w:hAnsi="Arial"/>
          <w:b/>
          <w:color w:val="1B365D"/>
          <w:sz w:val="30"/>
        </w:rPr>
        <w:t>2. Structural Specifications &amp; Tech Stack Analysis</w:t>
      </w:r>
    </w:p>
    <w:p>
      <w:r>
        <w:t>The platform is built on an open-source data science and machine learning stack. Each component was chosen to maximize local performance, reduce processing latency, and keep data processing entirely within the developer's local runtime memory.</w:t>
      </w:r>
    </w:p>
    <w:tbl>
      <w:tblPr>
        <w:tblW w:type="auto" w:w="0"/>
        <w:jc w:val="center"/>
        <w:tblLook w:firstColumn="1" w:firstRow="1" w:lastColumn="0" w:lastRow="0" w:noHBand="0" w:noVBand="1" w:val="04A0"/>
        <w:tblBorders>
          <w:top w:val="single" w:sz="6" w:space="0" w:color="CFD8DC"/>
          <w:bottom w:val="single" w:sz="6" w:space="0" w:color="CFD8DC"/>
          <w:left w:val="none"/>
          <w:right w:val="none"/>
          <w:insideH w:val="single" w:sz="4" w:space="0" w:color="ECEFF1"/>
          <w:insideV w:val="none"/>
        </w:tblBorders>
      </w:tblPr>
      <w:tblGrid>
        <w:gridCol w:w="3120"/>
        <w:gridCol w:w="3120"/>
        <w:gridCol w:w="3120"/>
      </w:tblGrid>
      <w:tr>
        <w:tc>
          <w:tcPr>
            <w:tcW w:type="dxa" w:w="2592"/>
            <w:shd w:fill="ECEFF1"/>
            <w:tcMar>
              <w:top w:w="140" w:type="dxa"/>
              <w:bottom w:w="140" w:type="dxa"/>
              <w:left w:w="140" w:type="dxa"/>
              <w:right w:w="140" w:type="dxa"/>
            </w:tcMar>
          </w:tcPr>
          <w:p>
            <w:r>
              <w:rPr>
                <w:b/>
                <w:color w:val="1B365D"/>
                <w:sz w:val="20"/>
              </w:rPr>
              <w:t>Component / Library</w:t>
            </w:r>
          </w:p>
        </w:tc>
        <w:tc>
          <w:tcPr>
            <w:tcW w:type="dxa" w:w="2304"/>
            <w:shd w:fill="ECEFF1"/>
            <w:tcMar>
              <w:top w:w="140" w:type="dxa"/>
              <w:bottom w:w="140" w:type="dxa"/>
              <w:left w:w="140" w:type="dxa"/>
              <w:right w:w="140" w:type="dxa"/>
            </w:tcMar>
          </w:tcPr>
          <w:p>
            <w:r>
              <w:rPr>
                <w:b/>
                <w:color w:val="1B365D"/>
                <w:sz w:val="20"/>
              </w:rPr>
              <w:t>Operational Role</w:t>
            </w:r>
          </w:p>
        </w:tc>
        <w:tc>
          <w:tcPr>
            <w:tcW w:type="dxa" w:w="4464"/>
            <w:shd w:fill="ECEFF1"/>
            <w:tcMar>
              <w:top w:w="140" w:type="dxa"/>
              <w:bottom w:w="140" w:type="dxa"/>
              <w:left w:w="140" w:type="dxa"/>
              <w:right w:w="140" w:type="dxa"/>
            </w:tcMar>
          </w:tcPr>
          <w:p>
            <w:r>
              <w:rPr>
                <w:b/>
                <w:color w:val="1B365D"/>
                <w:sz w:val="20"/>
              </w:rPr>
              <w:t>Engineering Justification &amp; Mechanics</w:t>
            </w:r>
          </w:p>
        </w:tc>
      </w:tr>
      <w:tr>
        <w:tc>
          <w:tcPr>
            <w:tcW w:type="dxa" w:w="2592"/>
            <w:tcMar>
              <w:top w:w="100" w:type="dxa"/>
              <w:bottom w:w="100" w:type="dxa"/>
              <w:left w:w="140" w:type="dxa"/>
              <w:right w:w="140" w:type="dxa"/>
            </w:tcMar>
          </w:tcPr>
          <w:p>
            <w:pPr>
              <w:spacing w:line="276" w:lineRule="auto" w:after="40"/>
            </w:pPr>
            <w:r>
              <w:rPr>
                <w:b/>
                <w:sz w:val="19"/>
              </w:rPr>
              <w:t>Streamlit</w:t>
            </w:r>
          </w:p>
        </w:tc>
        <w:tc>
          <w:tcPr>
            <w:tcW w:type="dxa" w:w="2304"/>
            <w:tcMar>
              <w:top w:w="100" w:type="dxa"/>
              <w:bottom w:w="100" w:type="dxa"/>
              <w:left w:w="140" w:type="dxa"/>
              <w:right w:w="140" w:type="dxa"/>
            </w:tcMar>
          </w:tcPr>
          <w:p>
            <w:pPr>
              <w:spacing w:line="276" w:lineRule="auto" w:after="40"/>
            </w:pPr>
            <w:r>
              <w:rPr>
                <w:sz w:val="19"/>
              </w:rPr>
              <w:t>User Interface &amp; State Architecture</w:t>
            </w:r>
          </w:p>
        </w:tc>
        <w:tc>
          <w:tcPr>
            <w:tcW w:type="dxa" w:w="4464"/>
            <w:tcMar>
              <w:top w:w="100" w:type="dxa"/>
              <w:bottom w:w="100" w:type="dxa"/>
              <w:left w:w="140" w:type="dxa"/>
              <w:right w:w="140" w:type="dxa"/>
            </w:tcMar>
          </w:tcPr>
          <w:p>
            <w:pPr>
              <w:spacing w:line="276" w:lineRule="auto" w:after="40"/>
            </w:pPr>
            <w:r>
              <w:rPr>
                <w:sz w:val="19"/>
              </w:rPr>
              <w:t>Handles the browser rendering layer. It provides an elegant, reactive, side-by-side analytical split-screen view on localhost:8501 without requiring complex JavaScript frameworks (like React or Vue) or manual CSS flexbox tracking.</w:t>
            </w:r>
          </w:p>
        </w:tc>
      </w:tr>
      <w:tr>
        <w:tc>
          <w:tcPr>
            <w:tcW w:type="dxa" w:w="2592"/>
            <w:tcMar>
              <w:top w:w="100" w:type="dxa"/>
              <w:bottom w:w="100" w:type="dxa"/>
              <w:left w:w="140" w:type="dxa"/>
              <w:right w:w="140" w:type="dxa"/>
            </w:tcMar>
          </w:tcPr>
          <w:p>
            <w:pPr>
              <w:spacing w:line="276" w:lineRule="auto" w:after="40"/>
            </w:pPr>
            <w:r>
              <w:rPr>
                <w:b/>
                <w:sz w:val="19"/>
              </w:rPr>
              <w:t>SentenceTransformers</w:t>
              <w:br/>
              <w:t>(all-MiniLM-L6-v2)</w:t>
            </w:r>
          </w:p>
        </w:tc>
        <w:tc>
          <w:tcPr>
            <w:tcW w:type="dxa" w:w="2304"/>
            <w:tcMar>
              <w:top w:w="100" w:type="dxa"/>
              <w:bottom w:w="100" w:type="dxa"/>
              <w:left w:w="140" w:type="dxa"/>
              <w:right w:w="140" w:type="dxa"/>
            </w:tcMar>
          </w:tcPr>
          <w:p>
            <w:pPr>
              <w:spacing w:line="276" w:lineRule="auto" w:after="40"/>
            </w:pPr>
            <w:r>
              <w:rPr>
                <w:sz w:val="19"/>
              </w:rPr>
              <w:t>Dense Semantic Embedding Generation</w:t>
            </w:r>
          </w:p>
        </w:tc>
        <w:tc>
          <w:tcPr>
            <w:tcW w:type="dxa" w:w="4464"/>
            <w:tcMar>
              <w:top w:w="100" w:type="dxa"/>
              <w:bottom w:w="100" w:type="dxa"/>
              <w:left w:w="140" w:type="dxa"/>
              <w:right w:w="140" w:type="dxa"/>
            </w:tcMar>
          </w:tcPr>
          <w:p>
            <w:pPr>
              <w:spacing w:line="276" w:lineRule="auto" w:after="40"/>
            </w:pPr>
            <w:r>
              <w:rPr>
                <w:sz w:val="19"/>
              </w:rPr>
              <w:t>A fast, highly optimized 384-dimensional model. It evaluates sentences and paragraphs as spatial coordinate vectors, capturing abstract financial concepts (e.g., matching 'supply shortages' with 'logistical headwinds') that simple keyword matching would miss.</w:t>
            </w:r>
          </w:p>
        </w:tc>
      </w:tr>
      <w:tr>
        <w:tc>
          <w:tcPr>
            <w:tcW w:type="dxa" w:w="2592"/>
            <w:tcMar>
              <w:top w:w="100" w:type="dxa"/>
              <w:bottom w:w="100" w:type="dxa"/>
              <w:left w:w="140" w:type="dxa"/>
              <w:right w:w="140" w:type="dxa"/>
            </w:tcMar>
          </w:tcPr>
          <w:p>
            <w:pPr>
              <w:spacing w:line="276" w:lineRule="auto" w:after="40"/>
            </w:pPr>
            <w:r>
              <w:rPr>
                <w:b/>
                <w:sz w:val="19"/>
              </w:rPr>
              <w:t>Rank-BM25</w:t>
              <w:br/>
              <w:t>(BM25Okapi)</w:t>
            </w:r>
          </w:p>
        </w:tc>
        <w:tc>
          <w:tcPr>
            <w:tcW w:type="dxa" w:w="2304"/>
            <w:tcMar>
              <w:top w:w="100" w:type="dxa"/>
              <w:bottom w:w="100" w:type="dxa"/>
              <w:left w:w="140" w:type="dxa"/>
              <w:right w:w="140" w:type="dxa"/>
            </w:tcMar>
          </w:tcPr>
          <w:p>
            <w:pPr>
              <w:spacing w:line="276" w:lineRule="auto" w:after="40"/>
            </w:pPr>
            <w:r>
              <w:rPr>
                <w:sz w:val="19"/>
              </w:rPr>
              <w:t>Sparse Lexical Token Engine</w:t>
            </w:r>
          </w:p>
        </w:tc>
        <w:tc>
          <w:tcPr>
            <w:tcW w:type="dxa" w:w="4464"/>
            <w:tcMar>
              <w:top w:w="100" w:type="dxa"/>
              <w:bottom w:w="100" w:type="dxa"/>
              <w:left w:w="140" w:type="dxa"/>
              <w:right w:w="140" w:type="dxa"/>
            </w:tcMar>
          </w:tcPr>
          <w:p>
            <w:pPr>
              <w:spacing w:line="276" w:lineRule="auto" w:after="40"/>
            </w:pPr>
            <w:r>
              <w:rPr>
                <w:sz w:val="19"/>
              </w:rPr>
              <w:t>Implements an advanced word-frequency weighting algorithm. While semantic vectors understand broad concepts, they struggle with exact numeric codes. BM25 ensures specific financial targets (e.g., '1.375% Notes due 2024') are immediately matched.</w:t>
            </w:r>
          </w:p>
        </w:tc>
      </w:tr>
      <w:tr>
        <w:tc>
          <w:tcPr>
            <w:tcW w:type="dxa" w:w="2592"/>
            <w:tcMar>
              <w:top w:w="100" w:type="dxa"/>
              <w:bottom w:w="100" w:type="dxa"/>
              <w:left w:w="140" w:type="dxa"/>
              <w:right w:w="140" w:type="dxa"/>
            </w:tcMar>
          </w:tcPr>
          <w:p>
            <w:pPr>
              <w:spacing w:line="276" w:lineRule="auto" w:after="40"/>
            </w:pPr>
            <w:r>
              <w:rPr>
                <w:b/>
                <w:sz w:val="19"/>
              </w:rPr>
              <w:t>NumPy</w:t>
            </w:r>
          </w:p>
        </w:tc>
        <w:tc>
          <w:tcPr>
            <w:tcW w:type="dxa" w:w="2304"/>
            <w:tcMar>
              <w:top w:w="100" w:type="dxa"/>
              <w:bottom w:w="100" w:type="dxa"/>
              <w:left w:w="140" w:type="dxa"/>
              <w:right w:w="140" w:type="dxa"/>
            </w:tcMar>
          </w:tcPr>
          <w:p>
            <w:pPr>
              <w:spacing w:line="276" w:lineRule="auto" w:after="40"/>
            </w:pPr>
            <w:r>
              <w:rPr>
                <w:sz w:val="19"/>
              </w:rPr>
              <w:t>Mathematical Score Fusion Vector Core</w:t>
            </w:r>
          </w:p>
        </w:tc>
        <w:tc>
          <w:tcPr>
            <w:tcW w:type="dxa" w:w="4464"/>
            <w:tcMar>
              <w:top w:w="100" w:type="dxa"/>
              <w:bottom w:w="100" w:type="dxa"/>
              <w:left w:w="140" w:type="dxa"/>
              <w:right w:w="140" w:type="dxa"/>
            </w:tcMar>
          </w:tcPr>
          <w:p>
            <w:pPr>
              <w:spacing w:line="276" w:lineRule="auto" w:after="40"/>
            </w:pPr>
            <w:r>
              <w:rPr>
                <w:sz w:val="19"/>
              </w:rPr>
              <w:t>Replaces heavy vector database servers. It executes fast, low-level C-arrays to handle matrix dot-products and Euclidean norm calculations directly in your computer's short-term RAM.</w:t>
            </w:r>
          </w:p>
        </w:tc>
      </w:tr>
      <w:tr>
        <w:tc>
          <w:tcPr>
            <w:tcW w:type="dxa" w:w="2592"/>
            <w:tcMar>
              <w:top w:w="100" w:type="dxa"/>
              <w:bottom w:w="100" w:type="dxa"/>
              <w:left w:w="140" w:type="dxa"/>
              <w:right w:w="140" w:type="dxa"/>
            </w:tcMar>
          </w:tcPr>
          <w:p>
            <w:pPr>
              <w:spacing w:line="276" w:lineRule="auto" w:after="40"/>
            </w:pPr>
            <w:r>
              <w:rPr>
                <w:b/>
                <w:sz w:val="19"/>
              </w:rPr>
              <w:t>BeautifulSoup4 &amp;</w:t>
              <w:br/>
              <w:t>html2text</w:t>
            </w:r>
          </w:p>
        </w:tc>
        <w:tc>
          <w:tcPr>
            <w:tcW w:type="dxa" w:w="2304"/>
            <w:tcMar>
              <w:top w:w="100" w:type="dxa"/>
              <w:bottom w:w="100" w:type="dxa"/>
              <w:left w:w="140" w:type="dxa"/>
              <w:right w:w="140" w:type="dxa"/>
            </w:tcMar>
          </w:tcPr>
          <w:p>
            <w:pPr>
              <w:spacing w:line="276" w:lineRule="auto" w:after="40"/>
            </w:pPr>
            <w:r>
              <w:rPr>
                <w:sz w:val="19"/>
              </w:rPr>
              <w:t>Layout-Aware Data Cleansing Layer</w:t>
            </w:r>
          </w:p>
        </w:tc>
        <w:tc>
          <w:tcPr>
            <w:tcW w:type="dxa" w:w="4464"/>
            <w:tcMar>
              <w:top w:w="100" w:type="dxa"/>
              <w:bottom w:w="100" w:type="dxa"/>
              <w:left w:w="140" w:type="dxa"/>
              <w:right w:w="140" w:type="dxa"/>
            </w:tcMar>
          </w:tcPr>
          <w:p>
            <w:pPr>
              <w:spacing w:line="276" w:lineRule="auto" w:after="40"/>
            </w:pPr>
            <w:r>
              <w:rPr>
                <w:sz w:val="19"/>
              </w:rPr>
              <w:t>BS4 strips out raw HTML tags, embedded CSS styles, scripts, and non-narrative components. html2text converts the remaining layout into clean Markdown text, preserving the alignment of financial data grids.</w:t>
            </w:r>
          </w:p>
        </w:tc>
      </w:tr>
      <w:tr>
        <w:tc>
          <w:tcPr>
            <w:tcW w:type="dxa" w:w="2592"/>
            <w:tcMar>
              <w:top w:w="100" w:type="dxa"/>
              <w:bottom w:w="100" w:type="dxa"/>
              <w:left w:w="140" w:type="dxa"/>
              <w:right w:w="140" w:type="dxa"/>
            </w:tcMar>
          </w:tcPr>
          <w:p>
            <w:pPr>
              <w:spacing w:line="276" w:lineRule="auto" w:after="40"/>
            </w:pPr>
            <w:r>
              <w:rPr>
                <w:b/>
                <w:sz w:val="19"/>
              </w:rPr>
              <w:t>Google GenAI</w:t>
              <w:br/>
              <w:t>(gemini-3.5-flash)</w:t>
            </w:r>
          </w:p>
        </w:tc>
        <w:tc>
          <w:tcPr>
            <w:tcW w:type="dxa" w:w="2304"/>
            <w:tcMar>
              <w:top w:w="100" w:type="dxa"/>
              <w:bottom w:w="100" w:type="dxa"/>
              <w:left w:w="140" w:type="dxa"/>
              <w:right w:w="140" w:type="dxa"/>
            </w:tcMar>
          </w:tcPr>
          <w:p>
            <w:pPr>
              <w:spacing w:line="276" w:lineRule="auto" w:after="40"/>
            </w:pPr>
            <w:r>
              <w:rPr>
                <w:sz w:val="19"/>
              </w:rPr>
              <w:t>Advanced Synthesis &amp; Risk Evaluation</w:t>
            </w:r>
          </w:p>
        </w:tc>
        <w:tc>
          <w:tcPr>
            <w:tcW w:type="dxa" w:w="4464"/>
            <w:tcMar>
              <w:top w:w="100" w:type="dxa"/>
              <w:bottom w:w="100" w:type="dxa"/>
              <w:left w:w="140" w:type="dxa"/>
              <w:right w:w="140" w:type="dxa"/>
            </w:tcMar>
          </w:tcPr>
          <w:p>
            <w:pPr>
              <w:spacing w:line="276" w:lineRule="auto" w:after="40"/>
            </w:pPr>
            <w:r>
              <w:rPr>
                <w:sz w:val="19"/>
              </w:rPr>
              <w:t>Serves as our reasoning layer. By setting a very low model temperature ($0.15$), we lock down the model's creativity, forcing it to write summaries and generate risk scores based only on the exact context blocks retrieved locally.</w:t>
            </w:r>
          </w:p>
        </w:tc>
      </w:tr>
      <w:tr>
        <w:tc>
          <w:tcPr>
            <w:tcW w:type="dxa" w:w="2592"/>
            <w:tcMar>
              <w:top w:w="100" w:type="dxa"/>
              <w:bottom w:w="100" w:type="dxa"/>
              <w:left w:w="140" w:type="dxa"/>
              <w:right w:w="140" w:type="dxa"/>
            </w:tcMar>
          </w:tcPr>
          <w:p>
            <w:pPr>
              <w:spacing w:line="276" w:lineRule="auto" w:after="40"/>
            </w:pPr>
            <w:r>
              <w:rPr>
                <w:b/>
                <w:sz w:val="19"/>
              </w:rPr>
              <w:t>Pickle &amp; JSON</w:t>
            </w:r>
          </w:p>
        </w:tc>
        <w:tc>
          <w:tcPr>
            <w:tcW w:type="dxa" w:w="2304"/>
            <w:tcMar>
              <w:top w:w="100" w:type="dxa"/>
              <w:bottom w:w="100" w:type="dxa"/>
              <w:left w:w="140" w:type="dxa"/>
              <w:right w:w="140" w:type="dxa"/>
            </w:tcMar>
          </w:tcPr>
          <w:p>
            <w:pPr>
              <w:spacing w:line="276" w:lineRule="auto" w:after="40"/>
            </w:pPr>
            <w:r>
              <w:rPr>
                <w:sz w:val="19"/>
              </w:rPr>
              <w:t>Local Persistent Storage Vault</w:t>
            </w:r>
          </w:p>
        </w:tc>
        <w:tc>
          <w:tcPr>
            <w:tcW w:type="dxa" w:w="4464"/>
            <w:tcMar>
              <w:top w:w="100" w:type="dxa"/>
              <w:bottom w:w="100" w:type="dxa"/>
              <w:left w:w="140" w:type="dxa"/>
              <w:right w:w="140" w:type="dxa"/>
            </w:tcMar>
          </w:tcPr>
          <w:p>
            <w:pPr>
              <w:spacing w:line="276" w:lineRule="auto" w:after="40"/>
            </w:pPr>
            <w:r>
              <w:rPr>
                <w:sz w:val="19"/>
              </w:rPr>
              <w:t>JSON stores raw text fragments permanently to eliminate repetitive internet scraping. pickle serializes complex Python objects (like pre-calculated embedding vectors) directly onto the hard drive.</w:t>
            </w:r>
          </w:p>
        </w:tc>
      </w:tr>
    </w:tbl>
    <w:p>
      <w:pPr>
        <w:spacing w:after="240"/>
      </w:pPr>
    </w:p>
    <w:p>
      <w:pPr>
        <w:keepNext/>
        <w:spacing w:before="440" w:after="200"/>
      </w:pPr>
      <w:r>
        <w:rPr>
          <w:rFonts w:ascii="Arial" w:hAnsi="Arial"/>
          <w:b/>
          <w:color w:val="1B365D"/>
          <w:sz w:val="30"/>
        </w:rPr>
        <w:t>3. Engineering Methodology &amp; Mathematical Core</w:t>
      </w:r>
    </w:p>
    <w:p>
      <w:r>
        <w:t>The system is built as a clean, multi-stage pipeline. It handles everything from initial data download to text chunking, mathematical retrieval, and final analysis generation.</w:t>
      </w:r>
    </w:p>
    <w:p>
      <w:pPr>
        <w:spacing w:before="120" w:after="280"/>
        <w:jc w:val="center"/>
      </w:pPr>
      <w:r>
        <w:rPr>
          <w:rFonts w:ascii="Courier New" w:hAnsi="Courier New"/>
          <w:color w:val="34495E"/>
          <w:sz w:val="19"/>
        </w:rPr>
        <w:t>[Raw SEC Link] ➔ [Parser / XBRL Scrub] ➔ [Recursive Chunking] ➔ [Disk Storage Caching]</w:t>
        <w:br/>
        <w:t xml:space="preserve">                                                                        │</w:t>
        <w:br/>
        <w:t>[Gemini Report] 🔀 [Unified Prompt Context] 🔀 [Top-4 Hybrid Fusion] 🔀 [Local Search Engine]</w:t>
      </w:r>
    </w:p>
    <w:p>
      <w:pPr>
        <w:keepNext/>
        <w:spacing w:before="320" w:after="160"/>
      </w:pPr>
      <w:r>
        <w:rPr>
          <w:rFonts w:ascii="Arial" w:hAnsi="Arial"/>
          <w:b/>
          <w:color w:val="4A90E2"/>
          <w:sz w:val="25"/>
        </w:rPr>
        <w:t>3.1 Advanced Data Ingestion Pipeline</w:t>
      </w:r>
    </w:p>
    <w:p>
      <w:r>
        <w:rPr>
          <w:b/>
        </w:rPr>
        <w:t xml:space="preserve">• Compliance Network Requests: </w:t>
      </w:r>
      <w:r>
        <w:t>The system initiates a download request to the SEC EDGAR system. To prevent the SEC's automated firewalls from blocking our connection, the script injects a custom identity header (User-Agent: ResearchAgent analyst@firm.com), strictly adhering to federal data clearance regulations.</w:t>
      </w:r>
    </w:p>
    <w:p>
      <w:r>
        <w:rPr>
          <w:b/>
        </w:rPr>
        <w:t xml:space="preserve">• Text Cleansing &amp; Metadata Stripping: </w:t>
      </w:r>
      <w:r>
        <w:t>Once downloaded, the raw layout goes through an advanced regex and structural parsing engine. It identifies and strips away meaningless metadata—such as tracking links, financial reporting codes (e.g., us-gaap:*), and meaningless 10-digit database lines—keeping the text clean and saving valuable model token space.</w:t>
      </w:r>
    </w:p>
    <w:p>
      <w:r>
        <w:rPr>
          <w:b/>
        </w:rPr>
        <w:t xml:space="preserve">• Recursive Paragraph-Aware Chunking: </w:t>
      </w:r>
      <w:r>
        <w:t>Long text documents are split into manageable pieces. If an isolated text block exceeds our safety limit of 600 tokens, a rolling parser breaks the text down by tracking paragraph gaps (\n\n), preventing sentences from getting cut off mid-thought.</w:t>
      </w:r>
    </w:p>
    <w:p>
      <w:r>
        <w:rPr>
          <w:b/>
        </w:rPr>
        <w:t xml:space="preserve">• Dual-Path Mathematical Indexing: </w:t>
      </w:r>
      <w:r>
        <w:t>Clean text fragments are simultaneously processed through two separate search layers:</w:t>
        <w:br/>
        <w:t xml:space="preserve">  - The Sparse Layer: The text is broken into lowercase words and indexed in a localized BM25 engine.</w:t>
        <w:br/>
        <w:t xml:space="preserve">  - The Dense Layer: The text fragments are converted into mathematical coordinates by the transformer model.</w:t>
      </w:r>
    </w:p>
    <w:p>
      <w:r>
        <w:rPr>
          <w:b/>
        </w:rPr>
        <w:t xml:space="preserve">• Disk Serialization and Caching: </w:t>
      </w:r>
      <w:r>
        <w:t>The resulting text lists and vector arrays are saved permanently to your machine inside the local_vault/ folder using Python's json and pickle engines. On future runs, the app loads these files instantly from your hard drive, bypassing the internet completely.</w:t>
      </w:r>
    </w:p>
    <w:p>
      <w:pPr>
        <w:keepNext/>
        <w:spacing w:before="320" w:after="160"/>
      </w:pPr>
      <w:r>
        <w:rPr>
          <w:rFonts w:ascii="Arial" w:hAnsi="Arial"/>
          <w:b/>
          <w:color w:val="4A90E2"/>
          <w:sz w:val="25"/>
        </w:rPr>
        <w:t>3.2 The Scoring Engine (Hybrid Score Fusion Matrix)</w:t>
      </w:r>
    </w:p>
    <w:p>
      <w:r>
        <w:t>When an analyst types a question into the search box, the engine runs a synchronized search across both indices. This combines broad conceptual understanding with exact keyword matching. The math behind this search works like this:</w:t>
      </w:r>
    </w:p>
    <w:p>
      <w:r>
        <w:t>First, it calculates the Cosine Similarity between the user's question and the dense vector database:</w:t>
      </w:r>
    </w:p>
    <w:p>
      <w:pPr>
        <w:jc w:val="center"/>
      </w:pPr>
      <w:r>
        <w:rPr>
          <w:rFonts w:ascii="Courier New" w:hAnsi="Courier New"/>
        </w:rPr>
        <w:t>Semantic Score = (E · q) / (||E|| ||q||)</w:t>
      </w:r>
    </w:p>
    <w:p>
      <w:r>
        <w:t>Where E represents the compiled local embedding matrix and q represents the encoded user query vector.</w:t>
      </w:r>
    </w:p>
    <w:p>
      <w:r>
        <w:t>Second, it pulls the raw, statistical keyword match values from the BM25 engine and normalizes them against the top result:</w:t>
      </w:r>
    </w:p>
    <w:p>
      <w:pPr>
        <w:jc w:val="center"/>
      </w:pPr>
      <w:r>
        <w:rPr>
          <w:rFonts w:ascii="Courier New" w:hAnsi="Courier New"/>
        </w:rPr>
        <w:t>Normalized BM25 Score = S_BM25 / max(S_BM25)</w:t>
      </w:r>
    </w:p>
    <w:p>
      <w:r>
        <w:t>Finally, it blends both scores together using a 50/50 score fusion matrix to calculate the absolute rank of every text block:</w:t>
      </w:r>
    </w:p>
    <w:p>
      <w:pPr>
        <w:jc w:val="center"/>
      </w:pPr>
      <w:r>
        <w:rPr>
          <w:rFonts w:ascii="Courier New" w:hAnsi="Courier New"/>
        </w:rPr>
        <w:t>Final Hybrid Score = (0.5 × Semantic Score) + (0.5 × Normalized BM25 Score)</w:t>
      </w:r>
    </w:p>
    <w:p>
      <w:r>
        <w:t>The engine sorts these final scores and passes the top 4 most relevant text blocks directly to the LLM context container.</w:t>
      </w:r>
    </w:p>
    <w:p>
      <w:pPr>
        <w:keepNext/>
        <w:spacing w:before="440" w:after="200"/>
      </w:pPr>
      <w:r>
        <w:rPr>
          <w:rFonts w:ascii="Arial" w:hAnsi="Arial"/>
          <w:b/>
          <w:color w:val="1B365D"/>
          <w:sz w:val="30"/>
        </w:rPr>
        <w:t>4. Business Execution, Practical Insights &amp; Future Roadmap</w:t>
      </w:r>
    </w:p>
    <w:p>
      <w:pPr>
        <w:keepNext/>
        <w:spacing w:before="320" w:after="160"/>
      </w:pPr>
      <w:r>
        <w:rPr>
          <w:rFonts w:ascii="Arial" w:hAnsi="Arial"/>
          <w:b/>
          <w:color w:val="4A90E2"/>
          <w:sz w:val="25"/>
        </w:rPr>
        <w:t>4.1 Real-World Uses &amp; Analytical Insights</w:t>
      </w:r>
    </w:p>
    <w:p>
      <w:r>
        <w:rPr>
          <w:b/>
        </w:rPr>
        <w:t xml:space="preserve">• Year-over-Year Comparative Analysis: </w:t>
      </w:r>
      <w:r>
        <w:t>By selecting multiple years simultaneously (e.g., Apple's 10-K from 2023 and 2024), analysts can immediately track changes in revenue streams, product sales, or shifting long-term debt liabilities.</w:t>
      </w:r>
    </w:p>
    <w:p>
      <w:r>
        <w:rPr>
          <w:b/>
        </w:rPr>
        <w:t xml:space="preserve">• Automated Corporate Risk Profiling: </w:t>
      </w:r>
      <w:r>
        <w:t>The engine reads the complex disclosures inside the "Risk Factors" sections of filings, evaluates operational variables, and outputs an objective risk rating score (1-10) with a professional narrative justification.</w:t>
      </w:r>
    </w:p>
    <w:p>
      <w:r>
        <w:rPr>
          <w:b/>
        </w:rPr>
        <w:t xml:space="preserve">• Audit-Ready Fact Verification: </w:t>
      </w:r>
      <w:r>
        <w:t>By using a side-by-side display layout, the app prints the final AI analysis right next to the raw, unedited source blocks. This allows senior decision-makers to cross-verify every claim instantly.</w:t>
      </w:r>
    </w:p>
    <w:p>
      <w:pPr>
        <w:keepNext/>
        <w:spacing w:before="320" w:after="160"/>
      </w:pPr>
      <w:r>
        <w:rPr>
          <w:rFonts w:ascii="Arial" w:hAnsi="Arial"/>
          <w:b/>
          <w:color w:val="4A90E2"/>
          <w:sz w:val="25"/>
        </w:rPr>
        <w:t>4.2 Security &amp; Portfolio Preparation Checklist</w:t>
      </w:r>
    </w:p>
    <w:p>
      <w:r>
        <w:t>To safely back up this code on GitHub or show it to a potential employer, you must keep your private API keys hidden. Hardcoding private keys directly into code files is dangerous and can lead to your keys being stolen or revoked. Instead, the application should look for an Environment Variable at runtime.</w:t>
      </w:r>
    </w:p>
    <w:p>
      <w:pPr>
        <w:spacing w:before="120" w:after="200"/>
        <w:ind w:left="432"/>
      </w:pPr>
      <w:r>
        <w:rPr>
          <w:rFonts w:ascii="Courier New" w:hAnsi="Courier New"/>
          <w:color w:val="2C3E50"/>
          <w:sz w:val="19"/>
        </w:rPr>
        <w:t># Fallback logic prevents exposing private parameters to public code repositories</w:t>
        <w:br/>
        <w:t>if "GEMINI_API_KEY" not in os.environ:</w:t>
        <w:br/>
        <w:t xml:space="preserve">    os.environ["GEMINI_API_KEY"] = ""  # Keep this string empty for GitHub safety</w:t>
      </w:r>
    </w:p>
    <w:p>
      <w:r>
        <w:t>When running the dashboard locally on your machine, you can pass your API key securely through your terminal line before running your Streamlit command:</w:t>
      </w:r>
    </w:p>
    <w:p>
      <w:pPr>
        <w:spacing w:before="120" w:after="280"/>
        <w:ind w:left="432"/>
      </w:pPr>
      <w:r>
        <w:rPr>
          <w:rFonts w:ascii="Courier New" w:hAnsi="Courier New"/>
          <w:color w:val="1B365D"/>
          <w:sz w:val="19"/>
        </w:rPr>
        <w:t>$env:GEMINI_API_KEY="AIzaSyYourKeyHere"; uv run streamlit run app.py</w:t>
      </w:r>
    </w:p>
    <w:p>
      <w:pPr>
        <w:keepNext/>
        <w:spacing w:before="320" w:after="160"/>
      </w:pPr>
      <w:r>
        <w:rPr>
          <w:rFonts w:ascii="Arial" w:hAnsi="Arial"/>
          <w:b/>
          <w:color w:val="4A90E2"/>
          <w:sz w:val="25"/>
        </w:rPr>
        <w:t>4.3 Future Development Roadmap</w:t>
      </w:r>
    </w:p>
    <w:p>
      <w:r>
        <w:t>1. Migration to a Dedicated Vector Database (ChromaDB or Qdrant): Swapping the raw NumPy array stack for a local database server will enable advanced metadata filtering and instant searches across thousands of filings simultaneously.</w:t>
        <w:br/>
        <w:t>2. Asynchronous Multi-Threaded Ingestion: Upgrading the document parser to use asynchronous workers will allow the engine to fetch and index multi-company filing portfolios simultaneously without running into network speed limits.</w:t>
        <w:br/>
        <w:t>3. Dynamic Financial Charting Integration: Adding data visualization libraries like Plotly will allow the platform to extract numbers from financial tables and automatically plot performance trends right inside the user interface.</w:t>
      </w:r>
    </w:p>
    <w:p>
      <w:pPr>
        <w:keepNext/>
        <w:spacing w:before="440" w:after="200"/>
      </w:pPr>
      <w:r>
        <w:rPr>
          <w:rFonts w:ascii="Arial" w:hAnsi="Arial"/>
          <w:b/>
          <w:color w:val="1B365D"/>
          <w:sz w:val="30"/>
        </w:rPr>
        <w:t>5. References &amp; Academic Foundations</w:t>
      </w:r>
    </w:p>
    <w:p>
      <w:r>
        <w:t>• U.S. Securities and Exchange Commission (SEC): EDGAR Public Data Access, Structural Filing Rules, and Throttling Specifications. Official Government Guidelines.</w:t>
        <w:br/>
        <w:t>• Robertson, S., &amp; Zaragoza, H. (2009): The Probabilistic Relevance Framework: BM25 and Beyond. Foundations and Trends in Information Retrieval.</w:t>
        <w:br/>
        <w:t>• Reimers, N., &amp; Gurevych, I. (2019): Sentence-BERT: Sentence Embeddings using Siamese BERT-Networks. Association for Computational Linguistics (EMNLP).</w:t>
        <w:br/>
        <w:t>• Google Cloud Architecture Documentation (2025): Context Window Mapping and Low-Temperature Constraint Models for the Gemini Developer Endpoint.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200"/>
    </w:pPr>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