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AI-Driven Decision Intelligence for IPL Player Auction Analytics and Team Strategy </w:t>
      </w:r>
      <w:r>
        <w:rPr/>
        <w:t>Optimization</w:t>
      </w:r>
    </w:p>
    <w:p>
      <w:pPr>
        <w:pStyle w:val="Heading1"/>
        <w:rPr>
          <w:b w:val="0"/>
          <w:position w:val="8"/>
          <w:sz w:val="15"/>
        </w:rPr>
      </w:pPr>
      <w:r>
        <w:rPr/>
        <w:t>Anurag</w:t>
      </w:r>
      <w:r>
        <w:rPr>
          <w:spacing w:val="23"/>
        </w:rPr>
        <w:t> </w:t>
      </w:r>
      <w:r>
        <w:rPr/>
        <w:t>Kamble</w:t>
      </w:r>
      <w:r>
        <w:rPr>
          <w:b w:val="0"/>
          <w:position w:val="8"/>
          <w:sz w:val="15"/>
        </w:rPr>
        <w:t>1</w:t>
      </w:r>
      <w:r>
        <w:rPr>
          <w:b w:val="0"/>
        </w:rPr>
        <w:t>,</w:t>
      </w:r>
      <w:r>
        <w:rPr>
          <w:b w:val="0"/>
          <w:spacing w:val="17"/>
        </w:rPr>
        <w:t> </w:t>
      </w:r>
      <w:r>
        <w:rPr/>
        <w:t>Shruti</w:t>
      </w:r>
      <w:r>
        <w:rPr>
          <w:spacing w:val="23"/>
        </w:rPr>
        <w:t> </w:t>
      </w:r>
      <w:r>
        <w:rPr/>
        <w:t>Suryawanshi</w:t>
      </w:r>
      <w:r>
        <w:rPr>
          <w:b w:val="0"/>
          <w:position w:val="8"/>
          <w:sz w:val="15"/>
        </w:rPr>
        <w:t>2</w:t>
      </w:r>
      <w:r>
        <w:rPr>
          <w:b w:val="0"/>
        </w:rPr>
        <w:t>,</w:t>
      </w:r>
      <w:r>
        <w:rPr>
          <w:b w:val="0"/>
          <w:spacing w:val="17"/>
        </w:rPr>
        <w:t> </w:t>
      </w:r>
      <w:r>
        <w:rPr/>
        <w:t>Omkumar</w:t>
      </w:r>
      <w:r>
        <w:rPr>
          <w:spacing w:val="23"/>
        </w:rPr>
        <w:t> </w:t>
      </w:r>
      <w:r>
        <w:rPr/>
        <w:t>Sirmalwad</w:t>
      </w:r>
      <w:r>
        <w:rPr>
          <w:b w:val="0"/>
          <w:position w:val="8"/>
          <w:sz w:val="15"/>
        </w:rPr>
        <w:t>3</w:t>
      </w:r>
      <w:r>
        <w:rPr>
          <w:b w:val="0"/>
        </w:rPr>
        <w:t>,</w:t>
      </w:r>
      <w:r>
        <w:rPr>
          <w:b w:val="0"/>
          <w:spacing w:val="18"/>
        </w:rPr>
        <w:t> </w:t>
      </w:r>
      <w:r>
        <w:rPr/>
        <w:t>Saurabh</w:t>
      </w:r>
      <w:r>
        <w:rPr>
          <w:spacing w:val="23"/>
        </w:rPr>
        <w:t> </w:t>
      </w:r>
      <w:r>
        <w:rPr/>
        <w:t>N.</w:t>
      </w:r>
      <w:r>
        <w:rPr>
          <w:spacing w:val="23"/>
        </w:rPr>
        <w:t> </w:t>
      </w:r>
      <w:r>
        <w:rPr/>
        <w:t>Mehta</w:t>
      </w:r>
      <w:r>
        <w:rPr>
          <w:b w:val="0"/>
          <w:position w:val="8"/>
          <w:sz w:val="15"/>
        </w:rPr>
        <w:t>4</w:t>
      </w:r>
      <w:r>
        <w:rPr>
          <w:b w:val="0"/>
        </w:rPr>
        <w:t>,</w:t>
      </w:r>
      <w:r>
        <w:rPr>
          <w:b w:val="0"/>
          <w:spacing w:val="17"/>
        </w:rPr>
        <w:t> </w:t>
      </w:r>
      <w:r>
        <w:rPr/>
        <w:t>Kiran</w:t>
      </w:r>
      <w:r>
        <w:rPr>
          <w:spacing w:val="23"/>
        </w:rPr>
        <w:t> </w:t>
      </w:r>
      <w:r>
        <w:rPr>
          <w:spacing w:val="-2"/>
        </w:rPr>
        <w:t>Talele</w:t>
      </w:r>
      <w:r>
        <w:rPr>
          <w:b w:val="0"/>
          <w:spacing w:val="-2"/>
          <w:position w:val="8"/>
          <w:sz w:val="15"/>
        </w:rPr>
        <w:t>5</w:t>
      </w:r>
    </w:p>
    <w:p>
      <w:pPr>
        <w:pStyle w:val="BodyText"/>
        <w:spacing w:line="256" w:lineRule="auto" w:before="15"/>
        <w:ind w:left="2490" w:right="2498" w:firstLine="69"/>
        <w:jc w:val="center"/>
      </w:pPr>
      <w:r>
        <w:rPr/>
        <w:t>Student, Sardar Patel Institute of Technology, Mumbai, India </w:t>
      </w:r>
      <w:r>
        <w:rPr>
          <w:vertAlign w:val="superscript"/>
        </w:rPr>
        <w:t>1,2,3</w:t>
      </w:r>
      <w:r>
        <w:rPr>
          <w:spacing w:val="40"/>
          <w:vertAlign w:val="baseline"/>
        </w:rPr>
        <w:t> </w:t>
      </w:r>
      <w:r>
        <w:rPr>
          <w:vertAlign w:val="baseline"/>
        </w:rPr>
        <w:t>Sardar Patel Technology Business Incubator (SP-TBI), Mumbai, </w:t>
      </w:r>
      <w:r>
        <w:rPr>
          <w:vertAlign w:val="baseline"/>
        </w:rPr>
        <w:t>India</w:t>
      </w:r>
      <w:r>
        <w:rPr>
          <w:vertAlign w:val="superscript"/>
        </w:rPr>
        <w:t>5</w:t>
      </w:r>
      <w:r>
        <w:rPr>
          <w:vertAlign w:val="baseline"/>
        </w:rPr>
        <w:t> VIT Mumbai, Mumbai, India</w:t>
      </w:r>
      <w:r>
        <w:rPr>
          <w:vertAlign w:val="superscript"/>
        </w:rPr>
        <w:t>4</w:t>
      </w:r>
    </w:p>
    <w:p>
      <w:pPr>
        <w:pStyle w:val="BodyText"/>
        <w:spacing w:line="256" w:lineRule="auto" w:before="2"/>
        <w:ind w:left="0" w:right="8"/>
        <w:jc w:val="center"/>
      </w:pPr>
      <w:hyperlink r:id="rId5">
        <w:r>
          <w:rPr/>
          <w:t>anurag.kamble25@spit.ac.com</w:t>
        </w:r>
        <w:r>
          <w:rPr>
            <w:vertAlign w:val="superscript"/>
          </w:rPr>
          <w:t>1</w:t>
        </w:r>
      </w:hyperlink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hyperlink r:id="rId6">
        <w:r>
          <w:rPr>
            <w:vertAlign w:val="baseline"/>
          </w:rPr>
          <w:t>shruti.suryawanshi25@spit.ac.com</w:t>
        </w:r>
        <w:r>
          <w:rPr>
            <w:vertAlign w:val="superscript"/>
          </w:rPr>
          <w:t>2</w:t>
        </w:r>
      </w:hyperlink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hyperlink r:id="rId7">
        <w:r>
          <w:rPr>
            <w:vertAlign w:val="baseline"/>
          </w:rPr>
          <w:t>omkumar.sirmalwad25@spit.ac.com</w:t>
        </w:r>
        <w:r>
          <w:rPr>
            <w:vertAlign w:val="superscript"/>
          </w:rPr>
          <w:t>3</w:t>
        </w:r>
      </w:hyperlink>
      <w:r>
        <w:rPr>
          <w:vertAlign w:val="baseline"/>
        </w:rPr>
        <w:t> </w:t>
      </w:r>
      <w:hyperlink r:id="rId8">
        <w:r>
          <w:rPr>
            <w:vertAlign w:val="baseline"/>
          </w:rPr>
          <w:t>saurabh.mehta@email.com</w:t>
        </w:r>
        <w:r>
          <w:rPr>
            <w:vertAlign w:val="superscript"/>
          </w:rPr>
          <w:t>4</w:t>
        </w:r>
      </w:hyperlink>
      <w:r>
        <w:rPr>
          <w:vertAlign w:val="baseline"/>
        </w:rPr>
        <w:t>, </w:t>
      </w:r>
      <w:hyperlink r:id="rId9">
        <w:r>
          <w:rPr>
            <w:vertAlign w:val="baseline"/>
          </w:rPr>
          <w:t>kiran.talele@spit.ac.in</w:t>
        </w:r>
        <w:r>
          <w:rPr>
            <w:vertAlign w:val="superscript"/>
          </w:rPr>
          <w:t>5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621842</wp:posOffset>
                </wp:positionH>
                <wp:positionV relativeFrom="paragraph">
                  <wp:posOffset>244494</wp:posOffset>
                </wp:positionV>
                <wp:extent cx="6529070" cy="152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90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15240">
                              <a:moveTo>
                                <a:pt x="6528714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28714" y="15189"/>
                              </a:lnTo>
                              <a:lnTo>
                                <a:pt x="6528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64001pt;margin-top:19.251541pt;width:514.072pt;height:1.19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4" w:lineRule="auto" w:before="112"/>
        <w:ind w:right="257"/>
        <w:jc w:val="both"/>
      </w:pPr>
      <w:r>
        <w:rPr>
          <w:b/>
        </w:rPr>
        <w:t>Abstract— </w:t>
      </w:r>
      <w:r>
        <w:rPr/>
        <w:t>Every year, IPL franchises make important player-selection and bidding decisions during a limited auction </w:t>
      </w:r>
      <w:r>
        <w:rPr/>
        <w:t>period. This work presents an AI-driven framework for IPL auction analytics using two complementary studies. Study 1 uses XGBoost regression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auction</w:t>
      </w:r>
      <w:r>
        <w:rPr>
          <w:spacing w:val="23"/>
        </w:rPr>
        <w:t> </w:t>
      </w:r>
      <w:r>
        <w:rPr/>
        <w:t>price</w:t>
      </w:r>
      <w:r>
        <w:rPr>
          <w:spacing w:val="23"/>
        </w:rPr>
        <w:t> </w:t>
      </w:r>
      <w:r>
        <w:rPr/>
        <w:t>prediction</w:t>
      </w:r>
      <w:r>
        <w:rPr>
          <w:spacing w:val="23"/>
        </w:rPr>
        <w:t> </w:t>
      </w:r>
      <w:r>
        <w:rPr/>
        <w:t>under</w:t>
      </w:r>
      <w:r>
        <w:rPr>
          <w:spacing w:val="24"/>
        </w:rPr>
        <w:t> </w:t>
      </w:r>
      <w:r>
        <w:rPr/>
        <w:t>random,</w:t>
      </w:r>
      <w:r>
        <w:rPr>
          <w:spacing w:val="23"/>
        </w:rPr>
        <w:t> </w:t>
      </w:r>
      <w:r>
        <w:rPr/>
        <w:t>time-based,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regularized</w:t>
      </w:r>
      <w:r>
        <w:rPr>
          <w:spacing w:val="23"/>
        </w:rPr>
        <w:t> </w:t>
      </w:r>
      <w:r>
        <w:rPr/>
        <w:t>settings,</w:t>
      </w:r>
      <w:r>
        <w:rPr>
          <w:spacing w:val="23"/>
        </w:rPr>
        <w:t> </w:t>
      </w:r>
      <w:r>
        <w:rPr/>
        <w:t>achieving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test</w:t>
      </w:r>
      <w:r>
        <w:rPr>
          <w:spacing w:val="23"/>
        </w:rPr>
        <w:t> </w:t>
      </w:r>
      <w:r>
        <w:rPr>
          <w:rFonts w:ascii="Calibri" w:hAnsi="Calibri"/>
          <w:i/>
        </w:rPr>
        <w:t>R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spacing w:val="38"/>
          <w:vertAlign w:val="baseline"/>
        </w:rPr>
        <w:t> </w:t>
      </w:r>
      <w:r>
        <w:rPr>
          <w:vertAlign w:val="baseline"/>
        </w:rPr>
        <w:t>of</w:t>
      </w:r>
      <w:r>
        <w:rPr>
          <w:spacing w:val="23"/>
          <w:vertAlign w:val="baseline"/>
        </w:rPr>
        <w:t> </w:t>
      </w:r>
      <w:r>
        <w:rPr>
          <w:vertAlign w:val="baseline"/>
        </w:rPr>
        <w:t>0.6580</w:t>
      </w:r>
      <w:r>
        <w:rPr>
          <w:spacing w:val="23"/>
          <w:vertAlign w:val="baseline"/>
        </w:rPr>
        <w:t> </w:t>
      </w:r>
      <w:r>
        <w:rPr>
          <w:vertAlign w:val="baseline"/>
        </w:rPr>
        <w:t>on a random split and 0.5395 on a time-based split. The results also show that temporal evaluation provides a more realistic measure of model performance and highlights the effect of overfitting.</w:t>
      </w:r>
    </w:p>
    <w:p>
      <w:pPr>
        <w:pStyle w:val="BodyText"/>
        <w:spacing w:line="249" w:lineRule="auto" w:before="8"/>
        <w:ind w:right="257"/>
        <w:jc w:val="both"/>
      </w:pPr>
      <w:r>
        <w:rPr/>
        <w:t>Study 2 develops a quantile-based framework for role-specific ranking and classification of IPL batters and bowlers using performance data. This approach provides a more interpretable evaluation by considering batting and bowling performance separately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combined</w:t>
      </w:r>
      <w:r>
        <w:rPr>
          <w:spacing w:val="-1"/>
        </w:rPr>
        <w:t> </w:t>
      </w:r>
      <w:r>
        <w:rPr/>
        <w:t>score.</w:t>
      </w:r>
      <w:r>
        <w:rPr>
          <w:spacing w:val="-1"/>
        </w:rPr>
        <w:t> </w:t>
      </w:r>
      <w:r>
        <w:rPr/>
        <w:t>Overall,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highlight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data-driven</w:t>
      </w:r>
      <w:r>
        <w:rPr>
          <w:spacing w:val="-1"/>
        </w:rPr>
        <w:t> </w:t>
      </w:r>
      <w:r>
        <w:rPr/>
        <w:t>player</w:t>
      </w:r>
      <w:r>
        <w:rPr>
          <w:spacing w:val="-1"/>
        </w:rPr>
        <w:t> </w:t>
      </w:r>
      <w:r>
        <w:rPr/>
        <w:t>evaluation while showing that auction price prediction remains constrained by factors such as retention history, franchise budgets, </w:t>
      </w:r>
      <w:r>
        <w:rPr/>
        <w:t>recent form, and injury status.</w:t>
      </w:r>
    </w:p>
    <w:p>
      <w:pPr>
        <w:pStyle w:val="BodyText"/>
        <w:spacing w:line="249" w:lineRule="auto" w:before="59"/>
        <w:ind w:right="257"/>
        <w:jc w:val="both"/>
      </w:pPr>
      <w:r>
        <w:rPr>
          <w:b/>
        </w:rPr>
        <w:t>Keywords— </w:t>
      </w:r>
      <w:r>
        <w:rPr/>
        <w:t>IPL auction analytics, XGBoost, auction price prediction, quantile classification, player ranking, sports analytics, decision intelligence, machine learning</w:t>
      </w:r>
    </w:p>
    <w:p>
      <w:pPr>
        <w:pStyle w:val="BodyText"/>
        <w:spacing w:before="4"/>
        <w:ind w:left="0"/>
        <w:rPr>
          <w:sz w:val="19"/>
        </w:rPr>
      </w:pPr>
    </w:p>
    <w:p>
      <w:pPr>
        <w:spacing w:line="23" w:lineRule="exact"/>
        <w:ind w:left="25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29070" cy="1524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529070" cy="15240"/>
                          <a:chExt cx="6529070" cy="15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29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15240">
                                <a:moveTo>
                                  <a:pt x="6528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9"/>
                                </a:lnTo>
                                <a:lnTo>
                                  <a:pt x="6528714" y="15189"/>
                                </a:lnTo>
                                <a:lnTo>
                                  <a:pt x="6528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1pt;height:1.2pt;mso-position-horizontal-relative:char;mso-position-vertical-relative:line" id="docshapegroup2" coordorigin="0,0" coordsize="10282,24">
                <v:rect style="position:absolute;left:0;top:0;width:10282;height:24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3" w:lineRule="exact"/>
        <w:rPr>
          <w:sz w:val="2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53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65"/>
        <w:ind w:firstLine="199"/>
        <w:jc w:val="both"/>
      </w:pPr>
      <w:r>
        <w:rPr/>
        <w:t>The Indian Premier League (IPL) auction concentrates </w:t>
      </w:r>
      <w:r>
        <w:rPr/>
        <w:t>a large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player-selection</w:t>
      </w:r>
      <w:r>
        <w:rPr>
          <w:spacing w:val="40"/>
        </w:rPr>
        <w:t> </w:t>
      </w:r>
      <w:r>
        <w:rPr/>
        <w:t>decisions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short</w:t>
      </w:r>
      <w:r>
        <w:rPr>
          <w:spacing w:val="40"/>
        </w:rPr>
        <w:t> </w:t>
      </w:r>
      <w:r>
        <w:rPr/>
        <w:t>pe-riod. Franchises must estimate player value, anticipate future performance, construct a balanced squad, and operate within financial and squad-composition constraints. They must also respond to competing bids during the auction process. Con-ventional measures such as batting average, strike rate, and economy rate provide useful information, but they do not completely represent player consistency, match contribution, role suitability, or squad-level requirements.</w:t>
      </w:r>
    </w:p>
    <w:p>
      <w:pPr>
        <w:pStyle w:val="BodyText"/>
        <w:spacing w:line="249" w:lineRule="auto"/>
        <w:ind w:firstLine="199"/>
        <w:jc w:val="both"/>
      </w:pPr>
      <w:r>
        <w:rPr/>
        <w:t>The internship focused on the theme “AI-Driven </w:t>
      </w:r>
      <w:r>
        <w:rPr/>
        <w:t>Decision Intelligence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IPL</w:t>
      </w:r>
      <w:r>
        <w:rPr>
          <w:spacing w:val="-1"/>
        </w:rPr>
        <w:t> </w:t>
      </w:r>
      <w:r>
        <w:rPr/>
        <w:t>Player</w:t>
      </w:r>
      <w:r>
        <w:rPr>
          <w:spacing w:val="-1"/>
        </w:rPr>
        <w:t> </w:t>
      </w:r>
      <w:r>
        <w:rPr/>
        <w:t>Auction</w:t>
      </w:r>
      <w:r>
        <w:rPr>
          <w:spacing w:val="-1"/>
        </w:rPr>
        <w:t> </w:t>
      </w:r>
      <w:r>
        <w:rPr/>
        <w:t>Analytics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Strat-egy</w:t>
      </w:r>
      <w:r>
        <w:rPr>
          <w:spacing w:val="-2"/>
        </w:rPr>
        <w:t> </w:t>
      </w:r>
      <w:r>
        <w:rPr/>
        <w:t>Optimization.”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investigate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extent to which machine-learning and statistical ranking methods</w:t>
      </w:r>
      <w:r>
        <w:rPr>
          <w:spacing w:val="80"/>
        </w:rPr>
        <w:t> </w:t>
      </w:r>
      <w:r>
        <w:rPr/>
        <w:t>can support data-driven player evaluation while identifying limitations of the available data.</w:t>
      </w:r>
    </w:p>
    <w:p>
      <w:pPr>
        <w:pStyle w:val="BodyText"/>
        <w:spacing w:line="223" w:lineRule="exact"/>
        <w:ind w:left="458"/>
        <w:jc w:val="both"/>
      </w:pPr>
      <w:r>
        <w:rPr/>
        <w:t>Two</w:t>
      </w:r>
      <w:r>
        <w:rPr>
          <w:spacing w:val="9"/>
        </w:rPr>
        <w:t> </w:t>
      </w:r>
      <w:r>
        <w:rPr/>
        <w:t>practical</w:t>
      </w:r>
      <w:r>
        <w:rPr>
          <w:spacing w:val="10"/>
        </w:rPr>
        <w:t> </w:t>
      </w:r>
      <w:r>
        <w:rPr/>
        <w:t>studies</w:t>
      </w:r>
      <w:r>
        <w:rPr>
          <w:spacing w:val="9"/>
        </w:rPr>
        <w:t> </w:t>
      </w:r>
      <w:r>
        <w:rPr/>
        <w:t>were</w:t>
      </w:r>
      <w:r>
        <w:rPr>
          <w:spacing w:val="10"/>
        </w:rPr>
        <w:t> </w:t>
      </w:r>
      <w:r>
        <w:rPr>
          <w:spacing w:val="-2"/>
        </w:rPr>
        <w:t>conducted: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  <w:tab w:pos="440" w:val="left" w:leader="none"/>
        </w:tabs>
        <w:spacing w:line="249" w:lineRule="auto" w:before="19" w:after="0"/>
        <w:ind w:left="440" w:right="0" w:hanging="182"/>
        <w:jc w:val="both"/>
        <w:rPr>
          <w:sz w:val="20"/>
        </w:rPr>
      </w:pPr>
      <w:r>
        <w:rPr>
          <w:b/>
          <w:sz w:val="20"/>
        </w:rPr>
        <w:t>Study 1 – Auction Price Prediction: </w:t>
      </w:r>
      <w:r>
        <w:rPr>
          <w:sz w:val="20"/>
        </w:rPr>
        <w:t>An XGBoost </w:t>
      </w:r>
      <w:r>
        <w:rPr>
          <w:sz w:val="20"/>
        </w:rPr>
        <w:t>regres-sion model was developed to predict auction sale prices. Three experiments were performed to examine the effects</w:t>
      </w:r>
      <w:r>
        <w:rPr>
          <w:spacing w:val="40"/>
          <w:sz w:val="20"/>
        </w:rPr>
        <w:t> </w:t>
      </w:r>
      <w:r>
        <w:rPr>
          <w:sz w:val="20"/>
        </w:rPr>
        <w:t>of random splitting, time-based evaluation, categorical en-coding, and regularization.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  <w:tab w:pos="440" w:val="left" w:leader="none"/>
        </w:tabs>
        <w:spacing w:line="249" w:lineRule="auto" w:before="0" w:after="0"/>
        <w:ind w:left="440" w:right="0" w:hanging="182"/>
        <w:jc w:val="both"/>
        <w:rPr>
          <w:sz w:val="20"/>
        </w:rPr>
      </w:pPr>
      <w:r>
        <w:rPr>
          <w:b/>
          <w:sz w:val="20"/>
        </w:rPr>
        <w:t>Study 2 – Player Ranking: </w:t>
      </w:r>
      <w:r>
        <w:rPr>
          <w:sz w:val="20"/>
        </w:rPr>
        <w:t>A quantile-based </w:t>
      </w:r>
      <w:r>
        <w:rPr>
          <w:sz w:val="20"/>
        </w:rPr>
        <w:t>classification framework</w:t>
      </w:r>
      <w:r>
        <w:rPr>
          <w:spacing w:val="40"/>
          <w:sz w:val="20"/>
        </w:rPr>
        <w:t> </w:t>
      </w:r>
      <w:r>
        <w:rPr>
          <w:sz w:val="20"/>
        </w:rPr>
        <w:t>was</w:t>
      </w:r>
      <w:r>
        <w:rPr>
          <w:spacing w:val="40"/>
          <w:sz w:val="20"/>
        </w:rPr>
        <w:t> </w:t>
      </w: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batting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bowling</w:t>
      </w:r>
      <w:r>
        <w:rPr>
          <w:spacing w:val="40"/>
          <w:sz w:val="20"/>
        </w:rPr>
        <w:t> </w:t>
      </w:r>
      <w:r>
        <w:rPr>
          <w:sz w:val="20"/>
        </w:rPr>
        <w:t>per-</w:t>
      </w:r>
    </w:p>
    <w:p>
      <w:pPr>
        <w:pStyle w:val="BodyText"/>
        <w:spacing w:line="249" w:lineRule="auto" w:before="53"/>
        <w:ind w:left="380" w:right="257"/>
        <w:jc w:val="both"/>
      </w:pPr>
      <w:r>
        <w:rPr/>
        <w:br w:type="column"/>
      </w:r>
      <w:r>
        <w:rPr/>
        <w:t>formance using ball-by-ball delivery data for a </w:t>
      </w:r>
      <w:r>
        <w:rPr/>
        <w:t>longevity-qualified pool of IPL players appearing across every season from 2012 to 2025.</w:t>
      </w:r>
    </w:p>
    <w:p>
      <w:pPr>
        <w:pStyle w:val="BodyText"/>
        <w:spacing w:line="247" w:lineRule="auto" w:before="47"/>
        <w:ind w:left="199" w:right="257" w:firstLine="199"/>
        <w:jc w:val="both"/>
      </w:pPr>
      <w:r>
        <w:rPr/>
        <w:t>The central methodological principle of this work is </w:t>
      </w:r>
      <w:r>
        <w:rPr/>
        <w:t>that reported model performance is meaningful only when the evaluation</w:t>
      </w:r>
      <w:r>
        <w:rPr>
          <w:spacing w:val="37"/>
        </w:rPr>
        <w:t> </w:t>
      </w:r>
      <w:r>
        <w:rPr/>
        <w:t>protocol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explicitly</w:t>
      </w:r>
      <w:r>
        <w:rPr>
          <w:spacing w:val="37"/>
        </w:rPr>
        <w:t> </w:t>
      </w:r>
      <w:r>
        <w:rPr/>
        <w:t>defined.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single</w:t>
      </w:r>
      <w:r>
        <w:rPr>
          <w:spacing w:val="37"/>
        </w:rPr>
        <w:t> </w:t>
      </w:r>
      <w:r>
        <w:rPr/>
        <w:t>accuracy or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value without information about data splitting, feature construction, and temporal availability can provide an overly optimistic estimate of real-world performance.</w:t>
      </w:r>
    </w:p>
    <w:p>
      <w:pPr>
        <w:pStyle w:val="ListParagraph"/>
        <w:numPr>
          <w:ilvl w:val="0"/>
          <w:numId w:val="1"/>
        </w:numPr>
        <w:tabs>
          <w:tab w:pos="2139" w:val="left" w:leader="none"/>
        </w:tabs>
        <w:spacing w:line="240" w:lineRule="auto" w:before="161" w:after="0"/>
        <w:ind w:left="2139" w:right="0" w:hanging="289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9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92"/>
        <w:ind w:left="199" w:right="257" w:firstLine="199"/>
        <w:jc w:val="both"/>
      </w:pPr>
      <w:r>
        <w:rPr/>
        <w:t>Prior research establishes several of the individual </w:t>
      </w:r>
      <w:r>
        <w:rPr/>
        <w:t>compo-nents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combine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trans-parent, cricket-specific auction decision-support framework.</w:t>
      </w:r>
    </w:p>
    <w:p>
      <w:pPr>
        <w:pStyle w:val="BodyText"/>
        <w:spacing w:line="249" w:lineRule="auto" w:before="3"/>
        <w:ind w:left="199" w:right="257" w:firstLine="199"/>
        <w:jc w:val="both"/>
      </w:pPr>
      <w:r>
        <w:rPr/>
        <w:t>Schelling and Robertson [1] propose a CRISP-DM-</w:t>
      </w:r>
      <w:r>
        <w:rPr/>
        <w:t>based decision-support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high-performance</w:t>
      </w:r>
      <w:r>
        <w:rPr>
          <w:spacing w:val="-1"/>
        </w:rPr>
        <w:t> </w:t>
      </w:r>
      <w:r>
        <w:rPr/>
        <w:t>sport.</w:t>
      </w:r>
      <w:r>
        <w:rPr>
          <w:spacing w:val="-1"/>
        </w:rPr>
        <w:t> </w:t>
      </w:r>
      <w:r>
        <w:rPr/>
        <w:t>Passi and Pandey [2] applied Naive Bayes, Decision Trees, SVM, and Random Forest models to cricket-performance prediction using ESPN Cricinfo data, reporting approximately 90.7% batting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92.3%</w:t>
      </w:r>
      <w:r>
        <w:rPr>
          <w:spacing w:val="-1"/>
        </w:rPr>
        <w:t> </w:t>
      </w:r>
      <w:r>
        <w:rPr/>
        <w:t>bowling</w:t>
      </w:r>
      <w:r>
        <w:rPr>
          <w:spacing w:val="-2"/>
        </w:rPr>
        <w:t> </w:t>
      </w:r>
      <w:r>
        <w:rPr/>
        <w:t>accuracy.</w:t>
      </w:r>
      <w:r>
        <w:rPr>
          <w:spacing w:val="-2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did not address auction valuation.</w:t>
      </w:r>
    </w:p>
    <w:p>
      <w:pPr>
        <w:pStyle w:val="BodyText"/>
        <w:spacing w:line="249" w:lineRule="auto" w:before="3"/>
        <w:ind w:left="199" w:right="257" w:firstLine="199"/>
        <w:jc w:val="both"/>
      </w:pPr>
      <w:r>
        <w:rPr/>
        <w:t>Bunker and Thabtah [3] introduced the SRP-CRISP-</w:t>
      </w:r>
      <w:r>
        <w:rPr/>
        <w:t>DM framework for sports prediction and emphasized appropriate evaluation strategies. Vaswani et al. [4] and Devlin et al. [5] introduced</w:t>
      </w:r>
      <w:r>
        <w:rPr>
          <w:spacing w:val="38"/>
        </w:rPr>
        <w:t> </w:t>
      </w:r>
      <w:r>
        <w:rPr/>
        <w:t>Transformer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BERT</w:t>
      </w:r>
      <w:r>
        <w:rPr>
          <w:spacing w:val="39"/>
        </w:rPr>
        <w:t> </w:t>
      </w:r>
      <w:r>
        <w:rPr/>
        <w:t>architectures,</w:t>
      </w:r>
      <w:r>
        <w:rPr>
          <w:spacing w:val="39"/>
        </w:rPr>
        <w:t> </w:t>
      </w:r>
      <w:r>
        <w:rPr/>
        <w:t>which</w:t>
      </w:r>
      <w:r>
        <w:rPr>
          <w:spacing w:val="38"/>
        </w:rPr>
        <w:t> </w:t>
      </w:r>
      <w:r>
        <w:rPr>
          <w:spacing w:val="-5"/>
        </w:rPr>
        <w:t>are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jc w:val="both"/>
      </w:pPr>
      <w:r>
        <w:rPr/>
        <w:t>relevant to future sequence-based player-performance </w:t>
      </w:r>
      <w:r>
        <w:rPr/>
        <w:t>mod-</w:t>
      </w:r>
      <w:r>
        <w:rPr>
          <w:spacing w:val="-2"/>
        </w:rPr>
        <w:t>elling.</w:t>
      </w:r>
    </w:p>
    <w:p>
      <w:pPr>
        <w:pStyle w:val="BodyText"/>
        <w:spacing w:line="249" w:lineRule="auto" w:before="2"/>
        <w:ind w:firstLine="199"/>
        <w:jc w:val="both"/>
      </w:pPr>
      <w:r>
        <w:rPr/>
        <w:t>Hyndman and Athanasopoulos [6] describe </w:t>
      </w:r>
      <w:r>
        <w:rPr/>
        <w:t>forecasting methods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ARIMA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exponential</w:t>
      </w:r>
      <w:r>
        <w:rPr>
          <w:spacing w:val="40"/>
        </w:rPr>
        <w:t> </w:t>
      </w:r>
      <w:r>
        <w:rPr/>
        <w:t>smoothing</w:t>
      </w:r>
      <w:r>
        <w:rPr>
          <w:spacing w:val="40"/>
        </w:rPr>
        <w:t> </w:t>
      </w:r>
      <w:r>
        <w:rPr/>
        <w:t>that can</w:t>
      </w:r>
      <w:r>
        <w:rPr>
          <w:spacing w:val="47"/>
        </w:rPr>
        <w:t> </w:t>
      </w:r>
      <w:r>
        <w:rPr/>
        <w:t>be</w:t>
      </w:r>
      <w:r>
        <w:rPr>
          <w:spacing w:val="47"/>
        </w:rPr>
        <w:t> </w:t>
      </w:r>
      <w:r>
        <w:rPr/>
        <w:t>applied</w:t>
      </w:r>
      <w:r>
        <w:rPr>
          <w:spacing w:val="48"/>
        </w:rPr>
        <w:t> </w:t>
      </w:r>
      <w:r>
        <w:rPr/>
        <w:t>to</w:t>
      </w:r>
      <w:r>
        <w:rPr>
          <w:spacing w:val="47"/>
        </w:rPr>
        <w:t> </w:t>
      </w:r>
      <w:r>
        <w:rPr/>
        <w:t>performance</w:t>
      </w:r>
      <w:r>
        <w:rPr>
          <w:spacing w:val="48"/>
        </w:rPr>
        <w:t> </w:t>
      </w:r>
      <w:r>
        <w:rPr/>
        <w:t>trajectories.</w:t>
      </w:r>
      <w:r>
        <w:rPr>
          <w:spacing w:val="47"/>
        </w:rPr>
        <w:t> </w:t>
      </w:r>
      <w:r>
        <w:rPr/>
        <w:t>He</w:t>
      </w:r>
      <w:r>
        <w:rPr>
          <w:spacing w:val="47"/>
        </w:rPr>
        <w:t> </w:t>
      </w:r>
      <w:r>
        <w:rPr/>
        <w:t>and</w:t>
      </w:r>
      <w:r>
        <w:rPr>
          <w:spacing w:val="48"/>
        </w:rPr>
        <w:t> </w:t>
      </w:r>
      <w:r>
        <w:rPr>
          <w:spacing w:val="-2"/>
        </w:rPr>
        <w:t>Garcia</w:t>
      </w:r>
    </w:p>
    <w:p>
      <w:pPr>
        <w:pStyle w:val="BodyText"/>
        <w:spacing w:line="249" w:lineRule="auto"/>
        <w:jc w:val="both"/>
      </w:pPr>
      <w:r>
        <w:rPr/>
        <w:t>[7] review approaches for imbalanced learning, </w:t>
      </w:r>
      <w:r>
        <w:rPr/>
        <w:t>including resampling and cost-sensitive methods, which are relevant to underrepresented high-value auction players.</w:t>
      </w:r>
    </w:p>
    <w:p>
      <w:pPr>
        <w:pStyle w:val="BodyText"/>
        <w:spacing w:line="249" w:lineRule="auto" w:before="2"/>
        <w:ind w:firstLine="199"/>
        <w:jc w:val="both"/>
      </w:pPr>
      <w:r>
        <w:rPr/>
        <w:t>Lamas et al. [8] provide an optimization perspective </w:t>
      </w:r>
      <w:r>
        <w:rPr/>
        <w:t>for team selection under budget and squad-composition con-straints. Doshi-Velez and Kim [9] and Mehrabi et al. [10] discuss</w:t>
      </w:r>
      <w:r>
        <w:rPr>
          <w:spacing w:val="-9"/>
        </w:rPr>
        <w:t> </w:t>
      </w:r>
      <w:r>
        <w:rPr/>
        <w:t>interpretability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fairness</w:t>
      </w:r>
      <w:r>
        <w:rPr>
          <w:spacing w:val="-9"/>
        </w:rPr>
        <w:t> </w:t>
      </w:r>
      <w:r>
        <w:rPr/>
        <w:t>considerations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machine-learning systems. Amershi et al. [11] emphasize the impor-tance of the complete machine-learning engineering lifecycle. Chen and Guestrin [12] introduced XGBoost, the regression algorithm used in Study 1.</w:t>
      </w:r>
    </w:p>
    <w:p>
      <w:pPr>
        <w:pStyle w:val="ListParagraph"/>
        <w:numPr>
          <w:ilvl w:val="0"/>
          <w:numId w:val="1"/>
        </w:numPr>
        <w:tabs>
          <w:tab w:pos="1941" w:val="left" w:leader="none"/>
        </w:tabs>
        <w:spacing w:line="240" w:lineRule="auto" w:before="154" w:after="0"/>
        <w:ind w:left="1941" w:right="0" w:hanging="364"/>
        <w:jc w:val="left"/>
        <w:rPr>
          <w:sz w:val="20"/>
        </w:rPr>
      </w:pPr>
      <w:r>
        <w:rPr>
          <w:smallCaps/>
          <w:sz w:val="20"/>
        </w:rPr>
        <w:t>Dataset</w:t>
      </w:r>
      <w:r>
        <w:rPr>
          <w:smallCaps/>
          <w:spacing w:val="27"/>
          <w:sz w:val="20"/>
        </w:rPr>
        <w:t> </w:t>
      </w:r>
      <w:r>
        <w:rPr>
          <w:smallCaps/>
          <w:spacing w:val="-2"/>
          <w:sz w:val="20"/>
        </w:rPr>
        <w:t>Description</w:t>
      </w:r>
    </w:p>
    <w:p>
      <w:pPr>
        <w:spacing w:before="86"/>
        <w:ind w:left="259" w:right="0" w:firstLine="0"/>
        <w:jc w:val="both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IPL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Auction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Records</w:t>
      </w:r>
    </w:p>
    <w:p>
      <w:pPr>
        <w:pStyle w:val="BodyText"/>
        <w:spacing w:line="244" w:lineRule="auto" w:before="76"/>
        <w:ind w:firstLine="199"/>
        <w:jc w:val="both"/>
      </w:pPr>
      <w:r>
        <w:rPr>
          <w:w w:val="105"/>
        </w:rPr>
        <w:t>Historical</w:t>
      </w:r>
      <w:r>
        <w:rPr>
          <w:spacing w:val="-10"/>
          <w:w w:val="105"/>
        </w:rPr>
        <w:t> </w:t>
      </w:r>
      <w:r>
        <w:rPr>
          <w:w w:val="105"/>
        </w:rPr>
        <w:t>IPL</w:t>
      </w:r>
      <w:r>
        <w:rPr>
          <w:spacing w:val="-6"/>
          <w:w w:val="105"/>
        </w:rPr>
        <w:t> </w:t>
      </w:r>
      <w:r>
        <w:rPr>
          <w:w w:val="105"/>
        </w:rPr>
        <w:t>auction</w:t>
      </w:r>
      <w:r>
        <w:rPr>
          <w:spacing w:val="-6"/>
          <w:w w:val="105"/>
        </w:rPr>
        <w:t> </w:t>
      </w:r>
      <w:r>
        <w:rPr>
          <w:w w:val="105"/>
        </w:rPr>
        <w:t>records</w:t>
      </w:r>
      <w:r>
        <w:rPr>
          <w:spacing w:val="-6"/>
          <w:w w:val="105"/>
        </w:rPr>
        <w:t> </w:t>
      </w:r>
      <w:r>
        <w:rPr>
          <w:w w:val="105"/>
        </w:rPr>
        <w:t>containing</w:t>
      </w:r>
      <w:r>
        <w:rPr>
          <w:spacing w:val="-6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w w:val="105"/>
        </w:rPr>
        <w:t>108</w:t>
      </w:r>
      <w:r>
        <w:rPr>
          <w:rFonts w:ascii="Calibri" w:hAnsi="Calibri"/>
          <w:w w:val="105"/>
        </w:rPr>
        <w:t> </w:t>
      </w:r>
      <w:r>
        <w:rPr>
          <w:w w:val="105"/>
        </w:rPr>
        <w:t>rows </w:t>
      </w:r>
      <w:r>
        <w:rPr/>
        <w:t>and 42 raw features covering the period 2008–2017 were used </w:t>
      </w:r>
      <w:r>
        <w:rPr>
          <w:w w:val="105"/>
        </w:rPr>
        <w:t>for auction-price prediction.</w:t>
      </w:r>
    </w:p>
    <w:p>
      <w:pPr>
        <w:pStyle w:val="BodyText"/>
        <w:spacing w:line="249" w:lineRule="auto" w:before="6"/>
        <w:ind w:firstLine="199"/>
        <w:jc w:val="both"/>
      </w:pPr>
      <w:r>
        <w:rPr/>
        <w:t>The dataset contains player statistics and auction-</w:t>
      </w:r>
      <w:r>
        <w:rPr/>
        <w:t>related attributes, including Runs, Matches, Sixes, Fours, Wickets, lagged statistics such as LRuns, LMatches, LSixes, LFours, and LWkts, player </w:t>
      </w:r>
      <w:r>
        <w:rPr>
          <w:i/>
        </w:rPr>
        <w:t>Status</w:t>
      </w:r>
      <w:r>
        <w:rPr/>
        <w:t>, Age, Year, and the actual auction sale price.</w:t>
      </w:r>
    </w:p>
    <w:p>
      <w:pPr>
        <w:spacing w:before="154"/>
        <w:ind w:left="259" w:right="0" w:firstLine="0"/>
        <w:jc w:val="both"/>
        <w:rPr>
          <w:i/>
          <w:sz w:val="20"/>
        </w:rPr>
      </w:pPr>
      <w:r>
        <w:rPr>
          <w:i/>
          <w:sz w:val="20"/>
        </w:rPr>
        <w:t>B.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2: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Ball-by-Ball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Delivery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Records</w:t>
      </w:r>
    </w:p>
    <w:p>
      <w:pPr>
        <w:pStyle w:val="BodyText"/>
        <w:spacing w:line="249" w:lineRule="auto" w:before="80"/>
        <w:ind w:firstLine="199"/>
        <w:jc w:val="both"/>
      </w:pPr>
      <w:r>
        <w:rPr/>
        <w:t>Ball-by-ball delivery records covering the 2012–2025 </w:t>
      </w:r>
      <w:r>
        <w:rPr/>
        <w:t>sea-sons were used to reconstruct player-level performance.</w:t>
      </w:r>
    </w:p>
    <w:p>
      <w:pPr>
        <w:pStyle w:val="BodyText"/>
        <w:spacing w:line="249" w:lineRule="auto" w:before="2"/>
        <w:ind w:firstLine="199"/>
        <w:jc w:val="both"/>
      </w:pPr>
      <w:r>
        <w:rPr/>
        <w:t>Player</w:t>
      </w:r>
      <w:r>
        <w:rPr>
          <w:spacing w:val="-4"/>
        </w:rPr>
        <w:t> </w:t>
      </w:r>
      <w:r>
        <w:rPr/>
        <w:t>appearances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batter</w:t>
      </w:r>
      <w:r>
        <w:rPr/>
        <w:t>,</w:t>
      </w:r>
      <w:r>
        <w:rPr>
          <w:spacing w:val="-4"/>
        </w:rPr>
        <w:t> </w:t>
      </w:r>
      <w:r>
        <w:rPr>
          <w:i/>
        </w:rPr>
        <w:t>bowler</w:t>
      </w:r>
      <w:r>
        <w:rPr/>
        <w:t>, and</w:t>
      </w:r>
      <w:r>
        <w:rPr>
          <w:spacing w:val="-13"/>
        </w:rPr>
        <w:t> </w:t>
      </w:r>
      <w:r>
        <w:rPr>
          <w:i/>
        </w:rPr>
        <w:t>non-striker</w:t>
      </w:r>
      <w:r>
        <w:rPr>
          <w:i/>
          <w:spacing w:val="-12"/>
        </w:rPr>
        <w:t> </w:t>
      </w:r>
      <w:r>
        <w:rPr/>
        <w:t>fields.</w:t>
      </w:r>
      <w:r>
        <w:rPr>
          <w:spacing w:val="-13"/>
        </w:rPr>
        <w:t> </w:t>
      </w:r>
      <w:r>
        <w:rPr/>
        <w:t>Players</w:t>
      </w:r>
      <w:r>
        <w:rPr>
          <w:spacing w:val="-12"/>
        </w:rPr>
        <w:t> </w:t>
      </w:r>
      <w:r>
        <w:rPr/>
        <w:t>appearing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every</w:t>
      </w:r>
      <w:r>
        <w:rPr>
          <w:spacing w:val="-13"/>
        </w:rPr>
        <w:t> </w:t>
      </w:r>
      <w:r>
        <w:rPr/>
        <w:t>season</w:t>
      </w:r>
      <w:r>
        <w:rPr>
          <w:spacing w:val="-12"/>
        </w:rPr>
        <w:t> </w:t>
      </w:r>
      <w:r>
        <w:rPr/>
        <w:t>across the 14-season period formed the longevity-qualified pool.</w:t>
      </w:r>
    </w:p>
    <w:p>
      <w:pPr>
        <w:pStyle w:val="BodyText"/>
        <w:spacing w:line="249" w:lineRule="auto" w:before="2"/>
        <w:ind w:firstLine="199"/>
        <w:jc w:val="both"/>
      </w:pPr>
      <w:r>
        <w:rPr/>
        <w:t>The resulting pool contained 11 qualifying players. </w:t>
      </w:r>
      <w:r>
        <w:rPr/>
        <w:t>Ex-tending the analysis window to 2008 reduced the qualifying population to four players, which was considered too small</w:t>
      </w:r>
      <w:r>
        <w:rPr>
          <w:spacing w:val="80"/>
        </w:rPr>
        <w:t> </w:t>
      </w:r>
      <w:r>
        <w:rPr/>
        <w:t>for meaningful quantile classification. Therefore, 2012–2025 was retained as the primary analysis window.</w:t>
      </w:r>
    </w:p>
    <w:p>
      <w:pPr>
        <w:pStyle w:val="BodyText"/>
        <w:spacing w:before="26"/>
        <w:ind w:left="0"/>
      </w:pPr>
    </w:p>
    <w:p>
      <w:pPr>
        <w:spacing w:line="232" w:lineRule="auto" w:before="0"/>
        <w:ind w:left="2078" w:right="1620" w:firstLine="387"/>
        <w:jc w:val="left"/>
        <w:rPr>
          <w:sz w:val="16"/>
        </w:rPr>
      </w:pPr>
      <w:r>
        <w:rPr>
          <w:smallCaps/>
          <w:sz w:val="16"/>
        </w:rPr>
        <w:t>TABLE I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Dataset</w:t>
      </w:r>
      <w:r>
        <w:rPr>
          <w:smallCaps/>
          <w:sz w:val="16"/>
        </w:rPr>
        <w:t> Summary</w:t>
      </w:r>
    </w:p>
    <w:p>
      <w:pPr>
        <w:pStyle w:val="BodyText"/>
        <w:spacing w:line="249" w:lineRule="auto" w:before="71"/>
        <w:ind w:left="199" w:right="257"/>
        <w:jc w:val="both"/>
      </w:pPr>
      <w:r>
        <w:rPr/>
        <w:br w:type="column"/>
      </w:r>
      <w:r>
        <w:rPr/>
        <w:t>or arbitrary fixed thresholds, while evaluation procedures </w:t>
      </w:r>
      <w:r>
        <w:rPr/>
        <w:t>are designed to reduce optimistic estimates of performance.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Figure 1 (Fig. 1) illustrates the Study 2 processing </w:t>
      </w:r>
      <w:r>
        <w:rPr/>
        <w:t>pipeline 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2012–2025</w:t>
      </w:r>
      <w:r>
        <w:rPr>
          <w:spacing w:val="-5"/>
        </w:rPr>
        <w:t> </w:t>
      </w:r>
      <w:r>
        <w:rPr/>
        <w:t>raw</w:t>
      </w:r>
      <w:r>
        <w:rPr>
          <w:spacing w:val="-5"/>
        </w:rPr>
        <w:t> </w:t>
      </w:r>
      <w:r>
        <w:rPr/>
        <w:t>ball-by-ball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aggregation and quantile-based classification.</w:t>
      </w:r>
    </w:p>
    <w:p>
      <w:pPr>
        <w:pStyle w:val="BodyText"/>
        <w:spacing w:before="8"/>
        <w:ind w:left="0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3962120</wp:posOffset>
            </wp:positionH>
            <wp:positionV relativeFrom="paragraph">
              <wp:posOffset>166825</wp:posOffset>
            </wp:positionV>
            <wp:extent cx="3100387" cy="103584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387" cy="103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ind w:left="0"/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40"/>
          <w:sz w:val="16"/>
        </w:rPr>
        <w:t> </w:t>
      </w:r>
      <w:r>
        <w:rPr>
          <w:sz w:val="16"/>
        </w:rPr>
        <w:t>1.</w:t>
      </w:r>
      <w:r>
        <w:rPr>
          <w:spacing w:val="80"/>
          <w:w w:val="150"/>
          <w:sz w:val="16"/>
        </w:rPr>
        <w:t> </w:t>
      </w:r>
      <w:r>
        <w:rPr>
          <w:sz w:val="16"/>
        </w:rPr>
        <w:t>Study</w:t>
      </w:r>
      <w:r>
        <w:rPr>
          <w:spacing w:val="40"/>
          <w:sz w:val="16"/>
        </w:rPr>
        <w:t> 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sz w:val="16"/>
        </w:rPr>
        <w:t>data-processing</w:t>
      </w:r>
      <w:r>
        <w:rPr>
          <w:spacing w:val="40"/>
          <w:sz w:val="16"/>
        </w:rPr>
        <w:t> </w:t>
      </w:r>
      <w:r>
        <w:rPr>
          <w:sz w:val="16"/>
        </w:rPr>
        <w:t>pipeline:</w:t>
      </w:r>
      <w:r>
        <w:rPr>
          <w:spacing w:val="40"/>
          <w:sz w:val="16"/>
        </w:rPr>
        <w:t> </w:t>
      </w:r>
      <w:r>
        <w:rPr>
          <w:sz w:val="16"/>
        </w:rPr>
        <w:t>ingestion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2012–</w:t>
      </w:r>
      <w:r>
        <w:rPr>
          <w:sz w:val="16"/>
        </w:rPr>
        <w:t>2025</w:t>
      </w:r>
      <w:r>
        <w:rPr>
          <w:spacing w:val="40"/>
          <w:sz w:val="16"/>
        </w:rPr>
        <w:t> </w:t>
      </w:r>
      <w:r>
        <w:rPr>
          <w:sz w:val="16"/>
        </w:rPr>
        <w:t>IPL ball-by-ball dataset, match-level aggregation, and quantile-based player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classification.</w:t>
      </w:r>
    </w:p>
    <w:p>
      <w:pPr>
        <w:pStyle w:val="BodyText"/>
        <w:spacing w:before="127"/>
        <w:ind w:left="0"/>
        <w:rPr>
          <w:sz w:val="16"/>
        </w:rPr>
      </w:pPr>
    </w:p>
    <w:p>
      <w:pPr>
        <w:spacing w:before="1"/>
        <w:ind w:left="199" w:right="0" w:firstLine="0"/>
        <w:jc w:val="both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XGBoost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Auction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Price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Prediction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23" w:lineRule="auto" w:before="84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Categorical Encoding: </w:t>
      </w:r>
      <w:r>
        <w:rPr>
          <w:sz w:val="20"/>
        </w:rPr>
        <w:t>Experiment 1 used </w:t>
      </w:r>
      <w:r>
        <w:rPr>
          <w:sz w:val="20"/>
        </w:rPr>
        <w:t>LabelEn-coder, assigning each category an integer </w:t>
      </w:r>
      <w:r>
        <w:rPr>
          <w:rFonts w:ascii="Calibri" w:hAnsi="Calibri"/>
          <w:i/>
          <w:sz w:val="20"/>
        </w:rPr>
        <w:t>c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{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2"/>
          <w:sz w:val="20"/>
        </w:rPr>
        <w:t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-12"/>
          <w:sz w:val="20"/>
        </w:rPr>
        <w:t> 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i/>
          <w:sz w:val="20"/>
        </w:rPr>
        <w:t>k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Lucida Sans Unicode" w:hAnsi="Lucida Sans Unicode"/>
          <w:sz w:val="20"/>
        </w:rPr>
        <w:t>}</w:t>
      </w:r>
      <w:r>
        <w:rPr>
          <w:sz w:val="20"/>
        </w:rPr>
        <w:t>. This representation can introduce an artificial ordering be-tween categories.</w:t>
      </w:r>
    </w:p>
    <w:p>
      <w:pPr>
        <w:pStyle w:val="BodyText"/>
        <w:spacing w:line="249" w:lineRule="auto" w:before="15"/>
        <w:ind w:left="199" w:right="257" w:firstLine="199"/>
        <w:jc w:val="both"/>
      </w:pPr>
      <w:r>
        <w:rPr/>
        <w:t>Experiments 2 and 3 replaced this representation with </w:t>
      </w:r>
      <w:r>
        <w:rPr/>
        <w:t>one-hot encoding using a </w:t>
      </w:r>
      <w:r>
        <w:rPr>
          <w:rFonts w:ascii="Courier New"/>
        </w:rPr>
        <w:t>ColumnTransformer</w:t>
      </w:r>
      <w:r>
        <w:rPr/>
        <w:t>.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12" w:lineRule="exact" w:before="0" w:after="0"/>
        <w:ind w:left="662" w:right="0" w:hanging="264"/>
        <w:jc w:val="both"/>
        <w:rPr>
          <w:sz w:val="20"/>
        </w:rPr>
      </w:pPr>
      <w:r>
        <w:rPr>
          <w:i/>
          <w:sz w:val="20"/>
        </w:rPr>
        <w:t>Feature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Engineering:</w:t>
      </w:r>
      <w:r>
        <w:rPr>
          <w:i/>
          <w:spacing w:val="64"/>
          <w:sz w:val="20"/>
        </w:rPr>
        <w:t> </w:t>
      </w:r>
      <w:r>
        <w:rPr>
          <w:sz w:val="20"/>
        </w:rPr>
        <w:t>Seven</w:t>
      </w:r>
      <w:r>
        <w:rPr>
          <w:spacing w:val="35"/>
          <w:sz w:val="20"/>
        </w:rPr>
        <w:t> </w:t>
      </w:r>
      <w:r>
        <w:rPr>
          <w:sz w:val="20"/>
        </w:rPr>
        <w:t>engineered</w:t>
      </w:r>
      <w:r>
        <w:rPr>
          <w:spacing w:val="35"/>
          <w:sz w:val="20"/>
        </w:rPr>
        <w:t> </w:t>
      </w:r>
      <w:r>
        <w:rPr>
          <w:sz w:val="20"/>
        </w:rPr>
        <w:t>features</w:t>
      </w:r>
      <w:r>
        <w:rPr>
          <w:spacing w:val="36"/>
          <w:sz w:val="20"/>
        </w:rPr>
        <w:t> </w:t>
      </w:r>
      <w:r>
        <w:rPr>
          <w:spacing w:val="-4"/>
          <w:sz w:val="20"/>
        </w:rPr>
        <w:t>were</w:t>
      </w:r>
    </w:p>
    <w:p>
      <w:pPr>
        <w:spacing w:line="249" w:lineRule="auto" w:before="10"/>
        <w:ind w:left="199" w:right="257" w:firstLine="0"/>
        <w:jc w:val="both"/>
        <w:rPr>
          <w:sz w:val="20"/>
        </w:rPr>
      </w:pPr>
      <w:r>
        <w:rPr>
          <w:sz w:val="20"/>
        </w:rPr>
        <w:t>used to represent performance trajectories and career-</w:t>
      </w:r>
      <w:r>
        <w:rPr>
          <w:sz w:val="20"/>
        </w:rPr>
        <w:t>stage effects: </w:t>
      </w:r>
      <w:r>
        <w:rPr>
          <w:i/>
          <w:sz w:val="20"/>
        </w:rPr>
        <w:t>RunGrowth</w:t>
      </w:r>
      <w:r>
        <w:rPr>
          <w:sz w:val="20"/>
        </w:rPr>
        <w:t>, </w:t>
      </w:r>
      <w:r>
        <w:rPr>
          <w:i/>
          <w:sz w:val="20"/>
        </w:rPr>
        <w:t>MatchGrowth</w:t>
      </w:r>
      <w:r>
        <w:rPr>
          <w:sz w:val="20"/>
        </w:rPr>
        <w:t>, </w:t>
      </w:r>
      <w:r>
        <w:rPr>
          <w:i/>
          <w:sz w:val="20"/>
        </w:rPr>
        <w:t>AverageGrowth</w:t>
      </w:r>
      <w:r>
        <w:rPr>
          <w:sz w:val="20"/>
        </w:rPr>
        <w:t>, </w:t>
      </w:r>
      <w:r>
        <w:rPr>
          <w:i/>
          <w:sz w:val="20"/>
        </w:rPr>
        <w:t>StrikeR-ateGrowth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i/>
          <w:sz w:val="20"/>
        </w:rPr>
        <w:t>WicketGrowth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i/>
          <w:sz w:val="20"/>
        </w:rPr>
        <w:t>EconomyChange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i/>
          <w:sz w:val="20"/>
        </w:rPr>
        <w:t>AgeSquared</w:t>
      </w:r>
      <w:r>
        <w:rPr>
          <w:sz w:val="20"/>
        </w:rPr>
        <w:t>. The first six compare the current-season statistic with the corresponding previous-season statistic, while </w:t>
      </w:r>
      <w:r>
        <w:rPr>
          <w:i/>
          <w:sz w:val="20"/>
        </w:rPr>
        <w:t>AgeSquared </w:t>
      </w:r>
      <w:r>
        <w:rPr>
          <w:sz w:val="20"/>
        </w:rPr>
        <w:t>captures a nonlinear career-age effect.</w:t>
      </w:r>
    </w:p>
    <w:p>
      <w:pPr>
        <w:pStyle w:val="BodyText"/>
        <w:spacing w:line="229" w:lineRule="exact"/>
        <w:ind w:left="398"/>
        <w:jc w:val="both"/>
      </w:pPr>
      <w:r>
        <w:rPr/>
        <w:t>For</w:t>
      </w:r>
      <w:r>
        <w:rPr>
          <w:spacing w:val="13"/>
        </w:rPr>
        <w:t> </w:t>
      </w:r>
      <w:r>
        <w:rPr>
          <w:spacing w:val="-2"/>
        </w:rPr>
        <w:t>example,</w:t>
      </w:r>
    </w:p>
    <w:p>
      <w:pPr>
        <w:tabs>
          <w:tab w:pos="4728" w:val="left" w:leader="none"/>
        </w:tabs>
        <w:spacing w:line="349" w:lineRule="exact" w:before="113"/>
        <w:ind w:left="1094" w:right="0" w:firstLine="0"/>
        <w:jc w:val="center"/>
        <w:rPr>
          <w:sz w:val="20"/>
        </w:rPr>
      </w:pPr>
      <w:r>
        <w:rPr>
          <w:w w:val="105"/>
          <w:sz w:val="20"/>
        </w:rPr>
        <w:t>RunGrowth</w:t>
      </w:r>
      <w:r>
        <w:rPr>
          <w:spacing w:val="-2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=</w:t>
      </w:r>
      <w:r>
        <w:rPr>
          <w:rFonts w:ascii="Calibri" w:hAnsi="Calibri"/>
          <w:spacing w:val="28"/>
          <w:w w:val="105"/>
          <w:sz w:val="20"/>
        </w:rPr>
        <w:t> </w:t>
      </w:r>
      <w:r>
        <w:rPr>
          <w:w w:val="105"/>
          <w:position w:val="13"/>
          <w:sz w:val="20"/>
          <w:u w:val="single"/>
        </w:rPr>
        <w:t>Runs</w:t>
      </w:r>
      <w:r>
        <w:rPr>
          <w:rFonts w:ascii="Calibri" w:hAnsi="Calibri"/>
          <w:i/>
          <w:w w:val="105"/>
          <w:position w:val="10"/>
          <w:sz w:val="14"/>
          <w:u w:val="single"/>
        </w:rPr>
        <w:t>t</w:t>
      </w:r>
      <w:r>
        <w:rPr>
          <w:rFonts w:ascii="Calibri" w:hAnsi="Calibri"/>
          <w:i/>
          <w:spacing w:val="19"/>
          <w:w w:val="105"/>
          <w:position w:val="10"/>
          <w:sz w:val="14"/>
          <w:u w:val="single"/>
        </w:rPr>
        <w:t> </w:t>
      </w:r>
      <w:r>
        <w:rPr>
          <w:rFonts w:ascii="Lucida Sans Unicode" w:hAnsi="Lucida Sans Unicode"/>
          <w:w w:val="105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22"/>
          <w:w w:val="105"/>
          <w:position w:val="13"/>
          <w:sz w:val="20"/>
          <w:u w:val="single"/>
        </w:rPr>
        <w:t> </w:t>
      </w:r>
      <w:r>
        <w:rPr>
          <w:w w:val="105"/>
          <w:position w:val="13"/>
          <w:sz w:val="20"/>
          <w:u w:val="single"/>
        </w:rPr>
        <w:t>Runs</w:t>
      </w:r>
      <w:r>
        <w:rPr>
          <w:rFonts w:ascii="Calibri" w:hAnsi="Calibri"/>
          <w:i/>
          <w:w w:val="105"/>
          <w:position w:val="10"/>
          <w:sz w:val="14"/>
          <w:u w:val="single"/>
        </w:rPr>
        <w:t>t</w:t>
      </w:r>
      <w:r>
        <w:rPr>
          <w:rFonts w:ascii="Arial" w:hAnsi="Arial"/>
          <w:i/>
          <w:w w:val="105"/>
          <w:position w:val="10"/>
          <w:sz w:val="14"/>
          <w:u w:val="single"/>
        </w:rPr>
        <w:t>−</w:t>
      </w:r>
      <w:r>
        <w:rPr>
          <w:rFonts w:ascii="Calibri" w:hAnsi="Calibri"/>
          <w:w w:val="105"/>
          <w:position w:val="10"/>
          <w:sz w:val="14"/>
          <w:u w:val="single"/>
        </w:rPr>
        <w:t>1</w:t>
      </w:r>
      <w:r>
        <w:rPr>
          <w:rFonts w:ascii="Calibri" w:hAnsi="Calibri"/>
          <w:spacing w:val="-1"/>
          <w:w w:val="105"/>
          <w:position w:val="10"/>
          <w:sz w:val="14"/>
        </w:rPr>
        <w:t> </w:t>
      </w:r>
      <w:r>
        <w:rPr>
          <w:rFonts w:ascii="Calibri" w:hAnsi="Calibri"/>
          <w:i/>
          <w:spacing w:val="-10"/>
          <w:w w:val="10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5"/>
          <w:w w:val="110"/>
          <w:sz w:val="20"/>
        </w:rPr>
        <w:t>(1)</w:t>
      </w:r>
    </w:p>
    <w:p>
      <w:pPr>
        <w:spacing w:line="190" w:lineRule="exact" w:before="0"/>
        <w:ind w:left="1085" w:right="0" w:firstLine="0"/>
        <w:jc w:val="center"/>
        <w:rPr>
          <w:rFonts w:ascii="Calibri" w:hAnsi="Calibri" w:cs="Calibri" w:eastAsia="Calibri"/>
          <w:i/>
          <w:iCs/>
          <w:sz w:val="20"/>
          <w:szCs w:val="20"/>
        </w:rPr>
      </w:pPr>
      <w:r>
        <w:rPr>
          <w:w w:val="120"/>
          <w:sz w:val="20"/>
          <w:szCs w:val="20"/>
        </w:rPr>
        <w:t>Runs</w:t>
      </w:r>
      <w:r>
        <w:rPr>
          <w:rFonts w:ascii="Calibri" w:hAnsi="Calibri" w:cs="Calibri" w:eastAsia="Calibri"/>
          <w:i/>
          <w:iCs/>
          <w:w w:val="120"/>
          <w:sz w:val="20"/>
          <w:szCs w:val="20"/>
          <w:vertAlign w:val="subscript"/>
        </w:rPr>
        <w:t>t</w:t>
      </w:r>
      <w:r>
        <w:rPr>
          <w:rFonts w:ascii="Arial" w:hAnsi="Arial" w:cs="Arial" w:eastAsia="Arial"/>
          <w:i/>
          <w:iCs/>
          <w:w w:val="120"/>
          <w:sz w:val="20"/>
          <w:szCs w:val="20"/>
          <w:vertAlign w:val="subscript"/>
        </w:rPr>
        <w:t>−</w:t>
      </w:r>
      <w:r>
        <w:rPr>
          <w:rFonts w:ascii="Calibri" w:hAnsi="Calibri" w:cs="Calibri" w:eastAsia="Calibri"/>
          <w:w w:val="120"/>
          <w:sz w:val="20"/>
          <w:szCs w:val="20"/>
          <w:vertAlign w:val="subscript"/>
        </w:rPr>
        <w:t>1</w:t>
      </w:r>
      <w:r>
        <w:rPr>
          <w:rFonts w:ascii="Calibri" w:hAnsi="Calibri" w:cs="Calibri" w:eastAsia="Calibri"/>
          <w:spacing w:val="-9"/>
          <w:w w:val="12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14"/>
          <w:w w:val="12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20"/>
          <w:sz w:val="20"/>
          <w:szCs w:val="20"/>
          <w:vertAlign w:val="baseline"/>
        </w:rPr>
        <w:t>ϵ</w:t>
      </w:r>
    </w:p>
    <w:p>
      <w:pPr>
        <w:pStyle w:val="BodyText"/>
        <w:spacing w:line="244" w:lineRule="auto" w:before="71"/>
        <w:ind w:left="199" w:right="257" w:firstLine="199"/>
        <w:jc w:val="both"/>
      </w:pPr>
      <w:r>
        <w:rPr/>
        <w:t>where</w:t>
      </w:r>
      <w:r>
        <w:rPr>
          <w:spacing w:val="40"/>
        </w:rPr>
        <w:t> </w:t>
      </w:r>
      <w:r>
        <w:rPr>
          <w:rFonts w:ascii="Calibri" w:hAnsi="Calibri" w:cs="Calibri" w:eastAsia="Calibri"/>
          <w:i/>
          <w:iCs/>
        </w:rPr>
        <w:t>ϵ</w:t>
      </w:r>
      <w:r>
        <w:rPr>
          <w:rFonts w:ascii="Calibri" w:hAnsi="Calibri" w:cs="Calibri" w:eastAsia="Calibri"/>
          <w:i/>
          <w:iCs/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small</w:t>
      </w:r>
      <w:r>
        <w:rPr>
          <w:spacing w:val="40"/>
        </w:rPr>
        <w:t> </w:t>
      </w:r>
      <w:r>
        <w:rPr/>
        <w:t>constant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avoid</w:t>
      </w:r>
      <w:r>
        <w:rPr>
          <w:spacing w:val="40"/>
        </w:rPr>
        <w:t> </w:t>
      </w:r>
      <w:r>
        <w:rPr/>
        <w:t>division</w:t>
      </w:r>
      <w:r>
        <w:rPr>
          <w:spacing w:val="40"/>
        </w:rPr>
        <w:t> </w:t>
      </w:r>
      <w:r>
        <w:rPr/>
        <w:t>by zero. The same formulation is applied to Matches, Average, Strike</w:t>
      </w:r>
      <w:r>
        <w:rPr>
          <w:spacing w:val="-10"/>
        </w:rPr>
        <w:t> </w:t>
      </w:r>
      <w:r>
        <w:rPr/>
        <w:t>Rate,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Wickets,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EconomyChange</w:t>
      </w:r>
      <w:r>
        <w:rPr>
          <w:spacing w:val="-10"/>
        </w:rPr>
        <w:t> </w:t>
      </w:r>
      <w:r>
        <w:rPr/>
        <w:t>measures</w:t>
      </w:r>
      <w:r>
        <w:rPr>
          <w:spacing w:val="-10"/>
        </w:rPr>
        <w:t> </w:t>
      </w:r>
      <w:r>
        <w:rPr/>
        <w:t>the corresponding change in economy rate.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49" w:lineRule="auto" w:before="6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Model: </w:t>
      </w:r>
      <w:r>
        <w:rPr>
          <w:sz w:val="20"/>
        </w:rPr>
        <w:t>XGBoost forms an additive ensemble of </w:t>
      </w:r>
      <w:r>
        <w:rPr>
          <w:sz w:val="20"/>
        </w:rPr>
        <w:t>re-gression</w:t>
      </w:r>
      <w:r>
        <w:rPr>
          <w:spacing w:val="40"/>
          <w:sz w:val="20"/>
        </w:rPr>
        <w:t> </w:t>
      </w:r>
      <w:r>
        <w:rPr>
          <w:sz w:val="20"/>
        </w:rPr>
        <w:t>trees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minimizes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regularized</w:t>
      </w:r>
      <w:r>
        <w:rPr>
          <w:spacing w:val="40"/>
          <w:sz w:val="20"/>
        </w:rPr>
        <w:t> </w:t>
      </w:r>
      <w:r>
        <w:rPr>
          <w:sz w:val="20"/>
        </w:rPr>
        <w:t>objective.</w:t>
      </w:r>
      <w:r>
        <w:rPr>
          <w:spacing w:val="40"/>
          <w:sz w:val="20"/>
        </w:rPr>
        <w:t> </w:t>
      </w:r>
      <w:r>
        <w:rPr>
          <w:sz w:val="20"/>
        </w:rPr>
        <w:t>Tree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5271" w:val="left" w:leader="none"/>
          <w:tab w:pos="5519" w:val="left" w:leader="none"/>
        </w:tabs>
        <w:spacing w:line="226" w:lineRule="exact"/>
        <w:ind w:left="312"/>
      </w:pPr>
      <w:r>
        <w:rPr>
          <w:u w:val="single"/>
        </w:rPr>
        <w:tab/>
      </w:r>
      <w:r>
        <w:rPr/>
        <w:tab/>
        <w:t>complexity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L1/L2</w:t>
      </w:r>
      <w:r>
        <w:rPr>
          <w:spacing w:val="58"/>
        </w:rPr>
        <w:t> </w:t>
      </w:r>
      <w:r>
        <w:rPr/>
        <w:t>regularization</w:t>
      </w:r>
      <w:r>
        <w:rPr>
          <w:spacing w:val="59"/>
        </w:rPr>
        <w:t> </w:t>
      </w:r>
      <w:r>
        <w:rPr/>
        <w:t>can</w:t>
      </w:r>
      <w:r>
        <w:rPr>
          <w:spacing w:val="58"/>
        </w:rPr>
        <w:t> </w:t>
      </w:r>
      <w:r>
        <w:rPr/>
        <w:t>be</w:t>
      </w:r>
      <w:r>
        <w:rPr>
          <w:spacing w:val="58"/>
        </w:rPr>
        <w:t> </w:t>
      </w:r>
      <w:r>
        <w:rPr/>
        <w:t>controlled</w:t>
      </w:r>
      <w:r>
        <w:rPr>
          <w:spacing w:val="59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26" w:lineRule="exact"/>
        <w:sectPr>
          <w:type w:val="continuous"/>
          <w:pgSz w:w="12240" w:h="15840"/>
          <w:pgMar w:top="900" w:bottom="280" w:left="720" w:right="720"/>
        </w:sectPr>
      </w:pPr>
    </w:p>
    <w:p>
      <w:pPr>
        <w:tabs>
          <w:tab w:pos="4858" w:val="left" w:leader="none"/>
        </w:tabs>
        <w:spacing w:before="42"/>
        <w:ind w:left="312" w:right="0" w:firstLine="0"/>
        <w:jc w:val="left"/>
        <w:rPr>
          <w:b/>
          <w:sz w:val="15"/>
        </w:rPr>
      </w:pPr>
      <w:r>
        <w:rPr>
          <w:b/>
          <w:spacing w:val="-2"/>
          <w:sz w:val="15"/>
        </w:rPr>
        <w:t>Attribute</w:t>
      </w:r>
      <w:r>
        <w:rPr>
          <w:b/>
          <w:sz w:val="15"/>
        </w:rPr>
        <w:tab/>
      </w:r>
      <w:r>
        <w:rPr>
          <w:b/>
          <w:spacing w:val="-5"/>
          <w:sz w:val="15"/>
        </w:rPr>
        <w:t>Value</w:t>
      </w:r>
    </w:p>
    <w:p>
      <w:pPr>
        <w:tabs>
          <w:tab w:pos="3753" w:val="left" w:leader="none"/>
          <w:tab w:pos="5226" w:val="right" w:leader="none"/>
        </w:tabs>
        <w:spacing w:before="100"/>
        <w:ind w:left="31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655832</wp:posOffset>
                </wp:positionH>
                <wp:positionV relativeFrom="paragraph">
                  <wp:posOffset>37350</wp:posOffset>
                </wp:positionV>
                <wp:extent cx="312102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21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025" h="0">
                              <a:moveTo>
                                <a:pt x="0" y="0"/>
                              </a:moveTo>
                              <a:lnTo>
                                <a:pt x="3120509" y="0"/>
                              </a:lnTo>
                            </a:path>
                          </a:pathLst>
                        </a:custGeom>
                        <a:ln w="6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1.640324pt,2.940995pt" to="297.349735pt,2.940995pt" stroked="true" strokeweight=".47788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5"/>
        </w:rPr>
        <w:t>Auction records (Study 1)</w:t>
        <w:tab/>
        <w:t>1,108 rows, 42 </w:t>
      </w:r>
      <w:r>
        <w:rPr>
          <w:sz w:val="15"/>
        </w:rPr>
        <w:t>features</w:t>
      </w:r>
      <w:r>
        <w:rPr>
          <w:spacing w:val="40"/>
          <w:sz w:val="15"/>
        </w:rPr>
        <w:t> </w:t>
      </w:r>
      <w:r>
        <w:rPr>
          <w:sz w:val="15"/>
        </w:rPr>
        <w:t>Auction</w:t>
      </w:r>
      <w:r>
        <w:rPr>
          <w:spacing w:val="20"/>
          <w:sz w:val="15"/>
        </w:rPr>
        <w:t> </w:t>
      </w:r>
      <w:r>
        <w:rPr>
          <w:sz w:val="15"/>
        </w:rPr>
        <w:t>record</w:t>
      </w:r>
      <w:r>
        <w:rPr>
          <w:spacing w:val="20"/>
          <w:sz w:val="15"/>
        </w:rPr>
        <w:t> </w:t>
      </w:r>
      <w:r>
        <w:rPr>
          <w:spacing w:val="-4"/>
          <w:sz w:val="15"/>
        </w:rPr>
        <w:t>span</w:t>
      </w:r>
      <w:r>
        <w:rPr>
          <w:sz w:val="15"/>
        </w:rPr>
        <w:tab/>
        <w:tab/>
      </w:r>
      <w:r>
        <w:rPr>
          <w:spacing w:val="-2"/>
          <w:sz w:val="15"/>
        </w:rPr>
        <w:t>2008–</w:t>
      </w:r>
      <w:r>
        <w:rPr>
          <w:sz w:val="15"/>
        </w:rPr>
        <w:t>2017</w:t>
      </w:r>
    </w:p>
    <w:p>
      <w:pPr>
        <w:tabs>
          <w:tab w:pos="4368" w:val="left" w:leader="none"/>
        </w:tabs>
        <w:spacing w:line="171" w:lineRule="exact" w:before="0"/>
        <w:ind w:left="312" w:right="0" w:firstLine="0"/>
        <w:jc w:val="left"/>
        <w:rPr>
          <w:sz w:val="15"/>
        </w:rPr>
      </w:pPr>
      <w:r>
        <w:rPr>
          <w:sz w:val="15"/>
        </w:rPr>
        <w:t>Study</w:t>
      </w:r>
      <w:r>
        <w:rPr>
          <w:spacing w:val="19"/>
          <w:sz w:val="15"/>
        </w:rPr>
        <w:t> </w:t>
      </w:r>
      <w:r>
        <w:rPr>
          <w:sz w:val="15"/>
        </w:rPr>
        <w:t>1</w:t>
      </w:r>
      <w:r>
        <w:rPr>
          <w:spacing w:val="19"/>
          <w:sz w:val="15"/>
        </w:rPr>
        <w:t> </w:t>
      </w:r>
      <w:r>
        <w:rPr>
          <w:sz w:val="15"/>
        </w:rPr>
        <w:t>encoding</w:t>
      </w:r>
      <w:r>
        <w:rPr>
          <w:spacing w:val="19"/>
          <w:sz w:val="15"/>
        </w:rPr>
        <w:t> </w:t>
      </w:r>
      <w:r>
        <w:rPr>
          <w:sz w:val="15"/>
        </w:rPr>
        <w:t>(Exp.</w:t>
      </w:r>
      <w:r>
        <w:rPr>
          <w:spacing w:val="20"/>
          <w:sz w:val="15"/>
        </w:rPr>
        <w:t> </w:t>
      </w:r>
      <w:r>
        <w:rPr>
          <w:spacing w:val="-5"/>
          <w:sz w:val="15"/>
        </w:rPr>
        <w:t>1)</w:t>
      </w:r>
      <w:r>
        <w:rPr>
          <w:sz w:val="15"/>
        </w:rPr>
        <w:tab/>
      </w:r>
      <w:r>
        <w:rPr>
          <w:spacing w:val="-2"/>
          <w:sz w:val="15"/>
        </w:rPr>
        <w:t>LabelEncoder</w:t>
      </w:r>
    </w:p>
    <w:p>
      <w:pPr>
        <w:tabs>
          <w:tab w:pos="2787" w:val="left" w:leader="none"/>
          <w:tab w:pos="3888" w:val="left" w:leader="none"/>
        </w:tabs>
        <w:spacing w:before="0"/>
        <w:ind w:left="312" w:right="0" w:firstLine="0"/>
        <w:jc w:val="left"/>
        <w:rPr>
          <w:sz w:val="15"/>
        </w:rPr>
      </w:pPr>
      <w:r>
        <w:rPr>
          <w:sz w:val="15"/>
        </w:rPr>
        <w:t>Study 1 encoding (Exp. 2, 3)</w:t>
        <w:tab/>
        <w:t>OneHotEncoder + </w:t>
      </w:r>
      <w:r>
        <w:rPr>
          <w:sz w:val="15"/>
        </w:rPr>
        <w:t>ColumnTransformer</w:t>
      </w:r>
      <w:r>
        <w:rPr>
          <w:spacing w:val="40"/>
          <w:sz w:val="15"/>
        </w:rPr>
        <w:t> </w:t>
      </w:r>
      <w:r>
        <w:rPr>
          <w:sz w:val="15"/>
        </w:rPr>
        <w:t>Study</w:t>
      </w:r>
      <w:r>
        <w:rPr>
          <w:spacing w:val="19"/>
          <w:sz w:val="15"/>
        </w:rPr>
        <w:t> </w:t>
      </w:r>
      <w:r>
        <w:rPr>
          <w:sz w:val="15"/>
        </w:rPr>
        <w:t>1</w:t>
      </w:r>
      <w:r>
        <w:rPr>
          <w:spacing w:val="20"/>
          <w:sz w:val="15"/>
        </w:rPr>
        <w:t> </w:t>
      </w:r>
      <w:r>
        <w:rPr>
          <w:sz w:val="15"/>
        </w:rPr>
        <w:t>engineered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features</w:t>
      </w:r>
      <w:r>
        <w:rPr>
          <w:sz w:val="15"/>
        </w:rPr>
        <w:tab/>
        <w:tab/>
        <w:t>7</w:t>
      </w:r>
      <w:r>
        <w:rPr>
          <w:spacing w:val="19"/>
          <w:sz w:val="15"/>
        </w:rPr>
        <w:t> </w:t>
      </w:r>
      <w:r>
        <w:rPr>
          <w:sz w:val="15"/>
        </w:rPr>
        <w:t>engineered</w:t>
      </w:r>
      <w:r>
        <w:rPr>
          <w:spacing w:val="20"/>
          <w:sz w:val="15"/>
        </w:rPr>
        <w:t> </w:t>
      </w:r>
      <w:r>
        <w:rPr>
          <w:spacing w:val="-2"/>
          <w:sz w:val="15"/>
        </w:rPr>
        <w:t>features</w:t>
      </w:r>
    </w:p>
    <w:p>
      <w:pPr>
        <w:tabs>
          <w:tab w:pos="5226" w:val="right" w:leader="none"/>
        </w:tabs>
        <w:spacing w:line="171" w:lineRule="exact" w:before="0"/>
        <w:ind w:left="312" w:right="0" w:firstLine="0"/>
        <w:jc w:val="left"/>
        <w:rPr>
          <w:sz w:val="15"/>
        </w:rPr>
      </w:pPr>
      <w:r>
        <w:rPr>
          <w:sz w:val="15"/>
        </w:rPr>
        <w:t>Ball-by-ball</w:t>
      </w:r>
      <w:r>
        <w:rPr>
          <w:spacing w:val="18"/>
          <w:sz w:val="15"/>
        </w:rPr>
        <w:t> </w:t>
      </w:r>
      <w:r>
        <w:rPr>
          <w:sz w:val="15"/>
        </w:rPr>
        <w:t>span</w:t>
      </w:r>
      <w:r>
        <w:rPr>
          <w:spacing w:val="21"/>
          <w:sz w:val="15"/>
        </w:rPr>
        <w:t> </w:t>
      </w:r>
      <w:r>
        <w:rPr>
          <w:sz w:val="15"/>
        </w:rPr>
        <w:t>(Study</w:t>
      </w:r>
      <w:r>
        <w:rPr>
          <w:spacing w:val="21"/>
          <w:sz w:val="15"/>
        </w:rPr>
        <w:t> </w:t>
      </w:r>
      <w:r>
        <w:rPr>
          <w:spacing w:val="-5"/>
          <w:sz w:val="15"/>
        </w:rPr>
        <w:t>2)</w:t>
      </w:r>
      <w:r>
        <w:rPr>
          <w:sz w:val="15"/>
        </w:rPr>
        <w:tab/>
      </w:r>
      <w:r>
        <w:rPr>
          <w:spacing w:val="-2"/>
          <w:sz w:val="15"/>
        </w:rPr>
        <w:t>2012–</w:t>
      </w:r>
      <w:r>
        <w:rPr>
          <w:sz w:val="15"/>
        </w:rPr>
        <w:t>2025</w:t>
      </w:r>
    </w:p>
    <w:p>
      <w:pPr>
        <w:tabs>
          <w:tab w:pos="5226" w:val="right" w:leader="none"/>
        </w:tabs>
        <w:spacing w:line="172" w:lineRule="exact" w:before="0"/>
        <w:ind w:left="312" w:right="0" w:firstLine="0"/>
        <w:jc w:val="left"/>
        <w:rPr>
          <w:sz w:val="15"/>
        </w:rPr>
      </w:pPr>
      <w:r>
        <w:rPr>
          <w:sz w:val="15"/>
        </w:rPr>
        <w:t>Longevity-qualified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players</w:t>
      </w:r>
      <w:r>
        <w:rPr>
          <w:sz w:val="15"/>
        </w:rPr>
        <w:tab/>
      </w:r>
      <w:r>
        <w:rPr>
          <w:spacing w:val="-5"/>
          <w:sz w:val="15"/>
        </w:rPr>
        <w:t>11</w:t>
      </w:r>
    </w:p>
    <w:p>
      <w:pPr>
        <w:tabs>
          <w:tab w:pos="4569" w:val="left" w:leader="none"/>
        </w:tabs>
        <w:spacing w:line="172" w:lineRule="exact" w:before="0"/>
        <w:ind w:left="312" w:right="0" w:firstLine="0"/>
        <w:jc w:val="left"/>
        <w:rPr>
          <w:sz w:val="15"/>
        </w:rPr>
      </w:pPr>
      <w:r>
        <w:rPr>
          <w:sz w:val="15"/>
        </w:rPr>
        <w:t>Study</w:t>
      </w:r>
      <w:r>
        <w:rPr>
          <w:spacing w:val="19"/>
          <w:sz w:val="15"/>
        </w:rPr>
        <w:t> </w:t>
      </w:r>
      <w:r>
        <w:rPr>
          <w:sz w:val="15"/>
        </w:rPr>
        <w:t>2</w:t>
      </w:r>
      <w:r>
        <w:rPr>
          <w:spacing w:val="20"/>
          <w:sz w:val="15"/>
        </w:rPr>
        <w:t> </w:t>
      </w:r>
      <w:r>
        <w:rPr>
          <w:sz w:val="15"/>
        </w:rPr>
        <w:t>minimum</w:t>
      </w:r>
      <w:r>
        <w:rPr>
          <w:spacing w:val="19"/>
          <w:sz w:val="15"/>
        </w:rPr>
        <w:t> </w:t>
      </w:r>
      <w:r>
        <w:rPr>
          <w:sz w:val="15"/>
        </w:rPr>
        <w:t>sample</w:t>
      </w:r>
      <w:r>
        <w:rPr>
          <w:spacing w:val="20"/>
          <w:sz w:val="15"/>
        </w:rPr>
        <w:t> </w:t>
      </w:r>
      <w:r>
        <w:rPr>
          <w:spacing w:val="-2"/>
          <w:sz w:val="15"/>
        </w:rPr>
        <w:t>threshold</w:t>
      </w:r>
      <w:r>
        <w:rPr>
          <w:sz w:val="15"/>
        </w:rPr>
        <w:tab/>
        <w:t>15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innings</w:t>
      </w:r>
    </w:p>
    <w:p>
      <w:pPr>
        <w:pStyle w:val="BodyText"/>
        <w:spacing w:before="3"/>
        <w:ind w:left="0"/>
        <w:rPr>
          <w:sz w:val="5"/>
        </w:rPr>
      </w:pPr>
    </w:p>
    <w:p>
      <w:pPr>
        <w:spacing w:line="20" w:lineRule="exact"/>
        <w:ind w:left="312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21025" cy="10160"/>
                <wp:effectExtent l="9525" t="0" r="3175" b="889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121025" cy="10160"/>
                          <a:chExt cx="3121025" cy="101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856"/>
                            <a:ext cx="312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 h="0">
                                <a:moveTo>
                                  <a:pt x="0" y="0"/>
                                </a:moveTo>
                                <a:lnTo>
                                  <a:pt x="3120509" y="0"/>
                                </a:lnTo>
                              </a:path>
                            </a:pathLst>
                          </a:custGeom>
                          <a:ln w="97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5.75pt;height:.8pt;mso-position-horizontal-relative:char;mso-position-vertical-relative:line" id="docshapegroup4" coordorigin="0,0" coordsize="4915,16">
                <v:line style="position:absolute" from="0,8" to="4914,8" stroked="true" strokeweight=".76480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ind w:left="0"/>
        <w:rPr>
          <w:sz w:val="7"/>
        </w:rPr>
      </w:pPr>
    </w:p>
    <w:p>
      <w:pPr>
        <w:pStyle w:val="BodyText"/>
        <w:spacing w:before="9"/>
        <w:ind w:left="252"/>
        <w:jc w:val="both"/>
      </w:pPr>
      <w:r>
        <w:rPr/>
        <w:br w:type="column"/>
      </w:r>
      <w:r>
        <w:rPr/>
        <w:t>reduce</w:t>
      </w:r>
      <w:r>
        <w:rPr>
          <w:spacing w:val="2"/>
        </w:rPr>
        <w:t> </w:t>
      </w:r>
      <w:r>
        <w:rPr/>
        <w:t>overfitting</w:t>
      </w:r>
      <w:r>
        <w:rPr>
          <w:spacing w:val="3"/>
        </w:rPr>
        <w:t> </w:t>
      </w:r>
      <w:r>
        <w:rPr>
          <w:spacing w:val="-2"/>
        </w:rPr>
        <w:t>[12].</w:t>
      </w:r>
    </w:p>
    <w:p>
      <w:pPr>
        <w:pStyle w:val="ListParagraph"/>
        <w:numPr>
          <w:ilvl w:val="0"/>
          <w:numId w:val="3"/>
        </w:numPr>
        <w:tabs>
          <w:tab w:pos="715" w:val="left" w:leader="none"/>
        </w:tabs>
        <w:spacing w:line="247" w:lineRule="auto" w:before="8" w:after="0"/>
        <w:ind w:left="252" w:right="257" w:firstLine="199"/>
        <w:jc w:val="both"/>
        <w:rPr>
          <w:sz w:val="20"/>
        </w:rPr>
      </w:pPr>
      <w:r>
        <w:rPr>
          <w:i/>
          <w:sz w:val="20"/>
        </w:rPr>
        <w:t>Evaluation Metrics: </w:t>
      </w:r>
      <w:r>
        <w:rPr>
          <w:sz w:val="20"/>
        </w:rPr>
        <w:t>The models were evaluated </w:t>
      </w:r>
      <w:r>
        <w:rPr>
          <w:sz w:val="20"/>
        </w:rPr>
        <w:t>using Mean Absolute Error (MAE), Root Mean Squared Error (RMSE), and the coefficient of determination (</w:t>
      </w:r>
      <w:r>
        <w:rPr>
          <w:rFonts w:ascii="Calibri"/>
          <w:i/>
          <w:sz w:val="20"/>
        </w:rPr>
        <w:t>R</w:t>
      </w:r>
      <w:r>
        <w:rPr>
          <w:rFonts w:ascii="Calibri"/>
          <w:sz w:val="20"/>
          <w:vertAlign w:val="superscript"/>
        </w:rPr>
        <w:t>2</w:t>
      </w:r>
      <w:r>
        <w:rPr>
          <w:sz w:val="20"/>
          <w:vertAlign w:val="baseline"/>
        </w:rPr>
        <w:t>).</w:t>
      </w:r>
    </w:p>
    <w:p>
      <w:pPr>
        <w:pStyle w:val="BodyText"/>
        <w:spacing w:line="244" w:lineRule="auto"/>
        <w:ind w:left="252" w:right="257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4906467</wp:posOffset>
                </wp:positionH>
                <wp:positionV relativeFrom="paragraph">
                  <wp:posOffset>793778</wp:posOffset>
                </wp:positionV>
                <wp:extent cx="2244725" cy="40767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244725" cy="407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01" w:val="left" w:leader="none"/>
                              </w:tabs>
                              <w:spacing w:line="199" w:lineRule="auto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w w:val="135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33"/>
                                <w:w w:val="13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35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13"/>
                                <w:w w:val="13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11"/>
                                <w:w w:val="110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6"/>
                                <w:w w:val="110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2"/>
                                <w:w w:val="90"/>
                                <w:position w:val="1"/>
                                <w:sz w:val="20"/>
                                <w:szCs w:val="20"/>
                              </w:rPr>
                              <w:t>∑︁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6"/>
                                <w:w w:val="90"/>
                                <w:position w:val="1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32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2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spacing w:val="-25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2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10"/>
                                <w:position w:val="-13"/>
                                <w:sz w:val="20"/>
                                <w:szCs w:val="20"/>
                              </w:rPr>
                              <w:t>¯)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2"/>
                                <w:w w:val="110"/>
                                <w:position w:val="-7"/>
                                <w:sz w:val="14"/>
                                <w:szCs w:val="14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12"/>
                                <w:w w:val="110"/>
                                <w:position w:val="-7"/>
                                <w:sz w:val="14"/>
                                <w:szCs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  <w:szCs w:val="2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6.335999pt;margin-top:62.502216pt;width:176.75pt;height:32.1pt;mso-position-horizontal-relative:page;mso-position-vertical-relative:paragraph;z-index:-16258048" type="#_x0000_t202" id="docshape5" filled="false" stroked="false">
                <v:textbox inset="0,0,0,0">
                  <w:txbxContent>
                    <w:p>
                      <w:pPr>
                        <w:tabs>
                          <w:tab w:pos="3301" w:val="left" w:leader="none"/>
                        </w:tabs>
                        <w:spacing w:line="199" w:lineRule="auto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w w:val="135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33"/>
                          <w:w w:val="13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35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alibri" w:hAnsi="Calibri" w:cs="Calibri" w:eastAsia="Calibri"/>
                          <w:spacing w:val="-13"/>
                          <w:w w:val="13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1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alibri" w:hAnsi="Calibri" w:cs="Calibri" w:eastAsia="Calibri"/>
                          <w:spacing w:val="-11"/>
                          <w:w w:val="110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pacing w:val="-2"/>
                          <w:w w:val="110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pacing w:val="-6"/>
                          <w:w w:val="110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Arial MT" w:hAnsi="Arial MT" w:cs="Arial MT" w:eastAsia="Arial MT"/>
                          <w:spacing w:val="-2"/>
                          <w:w w:val="90"/>
                          <w:position w:val="1"/>
                          <w:sz w:val="20"/>
                          <w:szCs w:val="20"/>
                        </w:rPr>
                        <w:t>∑︁</w:t>
                      </w:r>
                      <w:r>
                        <w:rPr>
                          <w:rFonts w:ascii="Arial MT" w:hAnsi="Arial MT" w:cs="Arial MT" w:eastAsia="Arial MT"/>
                          <w:spacing w:val="-6"/>
                          <w:w w:val="90"/>
                          <w:position w:val="1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10"/>
                          <w:position w:val="-13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w w:val="110"/>
                          <w:position w:val="-13"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32"/>
                          <w:w w:val="110"/>
                          <w:position w:val="-13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pacing w:val="-2"/>
                          <w:w w:val="110"/>
                          <w:position w:val="-13"/>
                          <w:sz w:val="20"/>
                          <w:szCs w:val="20"/>
                        </w:rPr>
                        <w:t>−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spacing w:val="-25"/>
                          <w:w w:val="110"/>
                          <w:position w:val="-13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2"/>
                          <w:w w:val="110"/>
                          <w:position w:val="-13"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10"/>
                          <w:position w:val="-13"/>
                          <w:sz w:val="20"/>
                          <w:szCs w:val="20"/>
                        </w:rPr>
                        <w:t>¯)</w:t>
                      </w:r>
                      <w:r>
                        <w:rPr>
                          <w:rFonts w:ascii="Calibri" w:hAnsi="Calibri" w:cs="Calibri" w:eastAsia="Calibri"/>
                          <w:spacing w:val="-2"/>
                          <w:w w:val="110"/>
                          <w:position w:val="-7"/>
                          <w:sz w:val="14"/>
                          <w:szCs w:val="14"/>
                        </w:rPr>
                        <w:t>2</w:t>
                      </w:r>
                      <w:r>
                        <w:rPr>
                          <w:rFonts w:ascii="Calibri" w:hAnsi="Calibri" w:cs="Calibri" w:eastAsia="Calibri"/>
                          <w:spacing w:val="12"/>
                          <w:w w:val="110"/>
                          <w:position w:val="-7"/>
                          <w:sz w:val="14"/>
                          <w:szCs w:val="1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10"/>
                          <w:w w:val="11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spacing w:val="-8"/>
                          <w:w w:val="105"/>
                          <w:sz w:val="20"/>
                          <w:szCs w:val="20"/>
                        </w:rPr>
                        <w:t>(2)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coefficient of determination, or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vertAlign w:val="baseline"/>
        </w:rPr>
        <w:t>, measures the </w:t>
      </w:r>
      <w:r>
        <w:rPr>
          <w:vertAlign w:val="baseline"/>
        </w:rPr>
        <w:t>pro-portion of variation in the observed auction prices that is explained by the model relative to a baseline that predicts the mean target value. It is defined as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28" w:space="40"/>
            <w:col w:w="5532"/>
          </w:cols>
        </w:sectPr>
      </w:pPr>
    </w:p>
    <w:p>
      <w:pPr>
        <w:pStyle w:val="BodyText"/>
        <w:spacing w:before="22"/>
        <w:ind w:left="0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2243" w:val="left" w:leader="none"/>
        </w:tabs>
        <w:spacing w:line="240" w:lineRule="auto" w:before="0" w:after="0"/>
        <w:ind w:left="2243" w:right="0" w:hanging="342"/>
        <w:jc w:val="left"/>
        <w:rPr>
          <w:sz w:val="20"/>
        </w:rPr>
      </w:pPr>
      <w:r>
        <w:rPr>
          <w:smallCaps/>
          <w:spacing w:val="-2"/>
          <w:sz w:val="20"/>
        </w:rPr>
        <w:t>Methodology</w:t>
      </w:r>
    </w:p>
    <w:p>
      <w:pPr>
        <w:pStyle w:val="BodyText"/>
        <w:spacing w:line="249" w:lineRule="auto" w:before="86"/>
        <w:ind w:firstLine="199"/>
        <w:jc w:val="both"/>
      </w:pPr>
      <w:r>
        <w:rPr/>
        <w:t>The</w:t>
      </w:r>
      <w:r>
        <w:rPr>
          <w:spacing w:val="80"/>
        </w:rPr>
        <w:t> </w:t>
      </w:r>
      <w:r>
        <w:rPr/>
        <w:t>two</w:t>
      </w:r>
      <w:r>
        <w:rPr>
          <w:spacing w:val="80"/>
        </w:rPr>
        <w:t> </w:t>
      </w:r>
      <w:r>
        <w:rPr/>
        <w:t>studies</w:t>
      </w:r>
      <w:r>
        <w:rPr>
          <w:spacing w:val="80"/>
        </w:rPr>
        <w:t> </w:t>
      </w:r>
      <w:r>
        <w:rPr/>
        <w:t>use</w:t>
      </w:r>
      <w:r>
        <w:rPr>
          <w:spacing w:val="80"/>
        </w:rPr>
        <w:t> </w:t>
      </w:r>
      <w:r>
        <w:rPr/>
        <w:t>independent</w:t>
      </w:r>
      <w:r>
        <w:rPr>
          <w:spacing w:val="80"/>
        </w:rPr>
        <w:t> </w:t>
      </w:r>
      <w:r>
        <w:rPr/>
        <w:t>analytical</w:t>
      </w:r>
      <w:r>
        <w:rPr>
          <w:spacing w:val="80"/>
        </w:rPr>
        <w:t> </w:t>
      </w:r>
      <w:r>
        <w:rPr/>
        <w:t>pipelines but share a common design philosophy. Rate-based and distribution-relative</w:t>
      </w:r>
      <w:r>
        <w:rPr>
          <w:spacing w:val="48"/>
        </w:rPr>
        <w:t> </w:t>
      </w:r>
      <w:r>
        <w:rPr/>
        <w:t>measures</w:t>
      </w:r>
      <w:r>
        <w:rPr>
          <w:spacing w:val="49"/>
        </w:rPr>
        <w:t> </w:t>
      </w:r>
      <w:r>
        <w:rPr/>
        <w:t>are</w:t>
      </w:r>
      <w:r>
        <w:rPr>
          <w:spacing w:val="49"/>
        </w:rPr>
        <w:t> </w:t>
      </w:r>
      <w:r>
        <w:rPr/>
        <w:t>preferred</w:t>
      </w:r>
      <w:r>
        <w:rPr>
          <w:spacing w:val="49"/>
        </w:rPr>
        <w:t> </w:t>
      </w:r>
      <w:r>
        <w:rPr/>
        <w:t>over</w:t>
      </w:r>
      <w:r>
        <w:rPr>
          <w:spacing w:val="49"/>
        </w:rPr>
        <w:t> </w:t>
      </w:r>
      <w:r>
        <w:rPr/>
        <w:t>raw</w:t>
      </w:r>
      <w:r>
        <w:rPr>
          <w:spacing w:val="49"/>
        </w:rPr>
        <w:t> </w:t>
      </w:r>
      <w:r>
        <w:rPr>
          <w:spacing w:val="-2"/>
        </w:rPr>
        <w:t>totals</w:t>
      </w:r>
    </w:p>
    <w:p>
      <w:pPr>
        <w:tabs>
          <w:tab w:pos="2561" w:val="left" w:leader="none"/>
        </w:tabs>
        <w:spacing w:before="6"/>
        <w:ind w:left="1839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/>
        <w:br w:type="column"/>
      </w:r>
      <w:r>
        <w:rPr>
          <w:rFonts w:ascii="Calibri" w:hAnsi="Calibri" w:cs="Calibri" w:eastAsia="Calibri"/>
          <w:spacing w:val="-10"/>
          <w:w w:val="120"/>
          <w:sz w:val="20"/>
          <w:szCs w:val="20"/>
          <w:vertAlign w:val="subscript"/>
        </w:rPr>
        <w:t>2</w:t>
      </w:r>
      <w:r>
        <w:rPr>
          <w:rFonts w:ascii="Calibri" w:hAnsi="Calibri" w:cs="Calibri" w:eastAsia="Calibri"/>
          <w:sz w:val="20"/>
          <w:szCs w:val="20"/>
          <w:vertAlign w:val="baseline"/>
        </w:rPr>
        <w:tab/>
      </w:r>
      <w:r>
        <w:rPr>
          <w:rFonts w:ascii="Arial MT" w:hAnsi="Arial MT" w:cs="Arial MT" w:eastAsia="Arial MT"/>
          <w:w w:val="90"/>
          <w:position w:val="15"/>
          <w:sz w:val="20"/>
          <w:szCs w:val="20"/>
          <w:vertAlign w:val="baseline"/>
        </w:rPr>
        <w:t>∑︁</w:t>
      </w:r>
      <w:r>
        <w:rPr>
          <w:rFonts w:ascii="Calibri" w:hAnsi="Calibri" w:cs="Calibri" w:eastAsia="Calibri"/>
          <w:i/>
          <w:iCs/>
          <w:w w:val="90"/>
          <w:position w:val="-5"/>
          <w:sz w:val="14"/>
          <w:szCs w:val="14"/>
          <w:vertAlign w:val="baseline"/>
        </w:rPr>
        <w:t>i</w:t>
      </w:r>
      <w:r>
        <w:rPr>
          <w:rFonts w:ascii="Calibri" w:hAnsi="Calibri" w:cs="Calibri" w:eastAsia="Calibri"/>
          <w:w w:val="90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i/>
          <w:iCs/>
          <w:w w:val="90"/>
          <w:sz w:val="20"/>
          <w:szCs w:val="20"/>
          <w:vertAlign w:val="baseline"/>
        </w:rPr>
        <w:t>y</w:t>
      </w:r>
      <w:r>
        <w:rPr>
          <w:rFonts w:ascii="Calibri" w:hAnsi="Calibri" w:cs="Calibri" w:eastAsia="Calibri"/>
          <w:i/>
          <w:iCs/>
          <w:w w:val="90"/>
          <w:sz w:val="20"/>
          <w:szCs w:val="20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18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90"/>
          <w:sz w:val="20"/>
          <w:szCs w:val="20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4"/>
          <w:w w:val="9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4"/>
          <w:w w:val="90"/>
          <w:sz w:val="20"/>
          <w:szCs w:val="20"/>
          <w:vertAlign w:val="baseline"/>
        </w:rPr>
        <w:t>y</w:t>
      </w:r>
      <w:r>
        <w:rPr>
          <w:rFonts w:ascii="Calibri" w:hAnsi="Calibri" w:cs="Calibri" w:eastAsia="Calibri"/>
          <w:spacing w:val="-4"/>
          <w:w w:val="90"/>
          <w:sz w:val="20"/>
          <w:szCs w:val="20"/>
          <w:vertAlign w:val="baseline"/>
        </w:rPr>
        <w:t>ˆ</w:t>
      </w:r>
      <w:r>
        <w:rPr>
          <w:rFonts w:ascii="Calibri" w:hAnsi="Calibri" w:cs="Calibri" w:eastAsia="Calibri"/>
          <w:i/>
          <w:iCs/>
          <w:spacing w:val="-4"/>
          <w:w w:val="90"/>
          <w:sz w:val="20"/>
          <w:szCs w:val="20"/>
          <w:vertAlign w:val="subscript"/>
        </w:rPr>
        <w:t>i</w:t>
      </w:r>
      <w:r>
        <w:rPr>
          <w:rFonts w:ascii="Calibri" w:hAnsi="Calibri" w:cs="Calibri" w:eastAsia="Calibri"/>
          <w:spacing w:val="-4"/>
          <w:w w:val="90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spacing w:val="-4"/>
          <w:w w:val="90"/>
          <w:sz w:val="20"/>
          <w:szCs w:val="20"/>
          <w:vertAlign w:val="superscript"/>
        </w:rPr>
        <w:t>2</w:t>
      </w:r>
    </w:p>
    <w:p>
      <w:pPr>
        <w:spacing w:line="20" w:lineRule="exact"/>
        <w:ind w:left="256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94055" cy="5080"/>
                <wp:effectExtent l="9525" t="0" r="1270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4055" cy="5080"/>
                          <a:chExt cx="694055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694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0">
                                <a:moveTo>
                                  <a:pt x="0" y="0"/>
                                </a:moveTo>
                                <a:lnTo>
                                  <a:pt x="6938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.65pt;height:.4pt;mso-position-horizontal-relative:char;mso-position-vertical-relative:line" id="docshapegroup6" coordorigin="0,0" coordsize="1093,8">
                <v:line style="position:absolute" from="0,4" to="109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9"/>
        <w:ind w:left="0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5614415</wp:posOffset>
                </wp:positionH>
                <wp:positionV relativeFrom="paragraph">
                  <wp:posOffset>71149</wp:posOffset>
                </wp:positionV>
                <wp:extent cx="36195" cy="889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079987pt;margin-top:5.602359pt;width:2.85pt;height:7pt;mso-position-horizontal-relative:page;mso-position-vertical-relative:paragraph;z-index:-15726080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5767781</wp:posOffset>
                </wp:positionH>
                <wp:positionV relativeFrom="paragraph">
                  <wp:posOffset>52176</wp:posOffset>
                </wp:positionV>
                <wp:extent cx="36195" cy="889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156006pt;margin-top:4.108359pt;width:2.85pt;height:7pt;mso-position-horizontal-relative:page;mso-position-vertical-relative:paragraph;z-index:-15725568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48"/>
        <w:ind w:left="199" w:right="255" w:firstLine="199"/>
      </w:pPr>
      <w:r>
        <w:rPr>
          <w:spacing w:val="-2"/>
          <w:w w:val="105"/>
        </w:rPr>
        <w:t>where</w:t>
      </w:r>
      <w:r>
        <w:rPr>
          <w:spacing w:val="-2"/>
          <w:w w:val="105"/>
        </w:rPr>
        <w:t> </w:t>
      </w:r>
      <w:r>
        <w:rPr>
          <w:rFonts w:ascii="Calibri" w:hAnsi="Calibri"/>
          <w:i/>
          <w:spacing w:val="-2"/>
          <w:w w:val="120"/>
        </w:rPr>
        <w:t>y</w:t>
      </w:r>
      <w:r>
        <w:rPr>
          <w:rFonts w:ascii="Calibri" w:hAnsi="Calibri"/>
          <w:i/>
          <w:spacing w:val="-2"/>
          <w:w w:val="120"/>
          <w:vertAlign w:val="subscript"/>
        </w:rPr>
        <w:t>i</w:t>
      </w:r>
      <w:r>
        <w:rPr>
          <w:rFonts w:ascii="Calibri" w:hAnsi="Calibri"/>
          <w:i/>
          <w:spacing w:val="7"/>
          <w:w w:val="120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2"/>
          <w:w w:val="105"/>
          <w:vertAlign w:val="baseline"/>
        </w:rPr>
        <w:t> the</w:t>
      </w:r>
      <w:r>
        <w:rPr>
          <w:spacing w:val="-2"/>
          <w:w w:val="105"/>
          <w:vertAlign w:val="baseline"/>
        </w:rPr>
        <w:t> observed</w:t>
      </w:r>
      <w:r>
        <w:rPr>
          <w:spacing w:val="-2"/>
          <w:w w:val="105"/>
          <w:vertAlign w:val="baseline"/>
        </w:rPr>
        <w:t> auction</w:t>
      </w:r>
      <w:r>
        <w:rPr>
          <w:spacing w:val="-2"/>
          <w:w w:val="105"/>
          <w:vertAlign w:val="baseline"/>
        </w:rPr>
        <w:t> price,</w:t>
      </w:r>
      <w:r>
        <w:rPr>
          <w:spacing w:val="-2"/>
          <w:w w:val="105"/>
          <w:vertAlign w:val="baseline"/>
        </w:rPr>
        <w:t> </w:t>
      </w:r>
      <w:r>
        <w:rPr>
          <w:rFonts w:ascii="Calibri" w:hAnsi="Calibri"/>
          <w:i/>
          <w:spacing w:val="-2"/>
          <w:w w:val="120"/>
          <w:vertAlign w:val="baseline"/>
        </w:rPr>
        <w:t>y</w:t>
      </w:r>
      <w:r>
        <w:rPr>
          <w:rFonts w:ascii="Calibri" w:hAnsi="Calibri"/>
          <w:spacing w:val="-2"/>
          <w:w w:val="120"/>
          <w:vertAlign w:val="baseline"/>
        </w:rPr>
        <w:t>ˆ</w:t>
      </w:r>
      <w:r>
        <w:rPr>
          <w:rFonts w:ascii="Calibri" w:hAnsi="Calibri"/>
          <w:i/>
          <w:spacing w:val="-2"/>
          <w:w w:val="120"/>
          <w:vertAlign w:val="subscript"/>
        </w:rPr>
        <w:t>i</w:t>
      </w:r>
      <w:r>
        <w:rPr>
          <w:rFonts w:ascii="Calibri" w:hAnsi="Calibri"/>
          <w:i/>
          <w:spacing w:val="7"/>
          <w:w w:val="120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2"/>
          <w:w w:val="105"/>
          <w:vertAlign w:val="baseline"/>
        </w:rPr>
        <w:t> the</w:t>
      </w:r>
      <w:r>
        <w:rPr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predicted </w:t>
      </w:r>
      <w:r>
        <w:rPr>
          <w:w w:val="105"/>
          <w:vertAlign w:val="baseline"/>
        </w:rPr>
        <w:t>price, and</w:t>
      </w:r>
      <w:r>
        <w:rPr>
          <w:spacing w:val="1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y</w:t>
      </w:r>
      <w:r>
        <w:rPr>
          <w:rFonts w:ascii="Calibri" w:hAnsi="Calibri"/>
          <w:w w:val="105"/>
          <w:vertAlign w:val="baseline"/>
        </w:rPr>
        <w:t>¯</w:t>
      </w:r>
      <w:r>
        <w:rPr>
          <w:rFonts w:ascii="Calibri" w:hAnsi="Calibri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mean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observed price.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1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w w:val="105"/>
          <w:vertAlign w:val="superscript"/>
        </w:rPr>
        <w:t>2</w:t>
      </w:r>
      <w:r>
        <w:rPr>
          <w:rFonts w:ascii="Calibri" w:hAnsi="Calibri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closer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jc w:val="both"/>
      </w:pPr>
      <w:r>
        <w:rPr/>
        <w:t>to</w:t>
      </w:r>
      <w:r>
        <w:rPr>
          <w:spacing w:val="27"/>
        </w:rPr>
        <w:t> </w:t>
      </w:r>
      <w:r>
        <w:rPr/>
        <w:t>1</w:t>
      </w:r>
      <w:r>
        <w:rPr>
          <w:spacing w:val="27"/>
        </w:rPr>
        <w:t> </w:t>
      </w:r>
      <w:r>
        <w:rPr/>
        <w:t>indicates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model</w:t>
      </w:r>
      <w:r>
        <w:rPr>
          <w:spacing w:val="27"/>
        </w:rPr>
        <w:t> </w:t>
      </w:r>
      <w:r>
        <w:rPr/>
        <w:t>explains</w:t>
      </w:r>
      <w:r>
        <w:rPr>
          <w:spacing w:val="27"/>
        </w:rPr>
        <w:t> </w:t>
      </w:r>
      <w:r>
        <w:rPr/>
        <w:t>more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variation in the target on the evaluated dataset, whereas a value near 0 indicates</w:t>
      </w:r>
      <w:r>
        <w:rPr>
          <w:spacing w:val="-11"/>
        </w:rPr>
        <w:t> </w:t>
      </w:r>
      <w:r>
        <w:rPr/>
        <w:t>little</w:t>
      </w:r>
      <w:r>
        <w:rPr>
          <w:spacing w:val="-11"/>
        </w:rPr>
        <w:t> </w:t>
      </w:r>
      <w:r>
        <w:rPr/>
        <w:t>improvement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mean-prediction</w:t>
      </w:r>
      <w:r>
        <w:rPr>
          <w:spacing w:val="-11"/>
        </w:rPr>
        <w:t> </w:t>
      </w:r>
      <w:r>
        <w:rPr>
          <w:spacing w:val="-2"/>
        </w:rPr>
        <w:t>baseline.</w:t>
      </w:r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244" w:lineRule="auto" w:before="71" w:after="0"/>
        <w:ind w:left="199" w:right="257" w:firstLine="199"/>
        <w:jc w:val="left"/>
        <w:rPr>
          <w:sz w:val="20"/>
        </w:rPr>
      </w:pPr>
      <w:r>
        <w:rPr/>
        <w:br w:type="column"/>
      </w:r>
      <w:r>
        <w:rPr>
          <w:i/>
          <w:sz w:val="20"/>
        </w:rPr>
        <w:t>Composite Z-Score:</w:t>
      </w:r>
      <w:r>
        <w:rPr>
          <w:i/>
          <w:spacing w:val="40"/>
          <w:sz w:val="20"/>
        </w:rPr>
        <w:t> </w:t>
      </w:r>
      <w:r>
        <w:rPr>
          <w:sz w:val="20"/>
        </w:rPr>
        <w:t>An earlier iteration used </w:t>
      </w:r>
      <w:r>
        <w:rPr>
          <w:sz w:val="20"/>
        </w:rPr>
        <w:t>standard-ized </w:t>
      </w:r>
      <w:r>
        <w:rPr>
          <w:rFonts w:ascii="Calibri"/>
          <w:i/>
          <w:sz w:val="20"/>
        </w:rPr>
        <w:t>z</w:t>
      </w:r>
      <w:r>
        <w:rPr>
          <w:sz w:val="20"/>
        </w:rPr>
        <w:t>-scores:</w:t>
      </w:r>
    </w:p>
    <w:p>
      <w:pPr>
        <w:spacing w:line="161" w:lineRule="exact" w:before="75"/>
        <w:ind w:left="309" w:right="0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w w:val="125"/>
          <w:sz w:val="20"/>
          <w:u w:val="single"/>
        </w:rPr>
        <w:t>x</w:t>
      </w:r>
      <w:r>
        <w:rPr>
          <w:rFonts w:ascii="Calibri" w:hAnsi="Calibri"/>
          <w:i/>
          <w:w w:val="125"/>
          <w:sz w:val="20"/>
          <w:u w:val="single"/>
          <w:vertAlign w:val="subscript"/>
        </w:rPr>
        <w:t>i</w:t>
      </w:r>
      <w:r>
        <w:rPr>
          <w:rFonts w:ascii="Calibri" w:hAnsi="Calibri"/>
          <w:i/>
          <w:spacing w:val="-7"/>
          <w:w w:val="12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1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0"/>
          <w:u w:val="single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0"/>
          <w:u w:val="single"/>
          <w:vertAlign w:val="baseline"/>
        </w:rPr>
        <w:t>µ</w:t>
      </w:r>
    </w:p>
    <w:p>
      <w:pPr>
        <w:spacing w:after="0" w:line="161" w:lineRule="exact"/>
        <w:jc w:val="center"/>
        <w:rPr>
          <w:rFonts w:ascii="Calibri" w:hAnsi="Calibri"/>
          <w:i/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38" w:lineRule="exact"/>
      </w:pP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spacing w:val="26"/>
          <w:vertAlign w:val="baseline"/>
        </w:rPr>
        <w:t> </w:t>
      </w:r>
      <w:r>
        <w:rPr>
          <w:vertAlign w:val="baseline"/>
        </w:rPr>
        <w:t>can</w:t>
      </w:r>
      <w:r>
        <w:rPr>
          <w:spacing w:val="12"/>
          <w:vertAlign w:val="baseline"/>
        </w:rPr>
        <w:t> </w:t>
      </w:r>
      <w:r>
        <w:rPr>
          <w:vertAlign w:val="baseline"/>
        </w:rPr>
        <w:t>also</w:t>
      </w:r>
      <w:r>
        <w:rPr>
          <w:spacing w:val="12"/>
          <w:vertAlign w:val="baseline"/>
        </w:rPr>
        <w:t> </w:t>
      </w:r>
      <w:r>
        <w:rPr>
          <w:vertAlign w:val="baseline"/>
        </w:rPr>
        <w:t>be</w:t>
      </w:r>
      <w:r>
        <w:rPr>
          <w:spacing w:val="13"/>
          <w:vertAlign w:val="baseline"/>
        </w:rPr>
        <w:t> </w:t>
      </w:r>
      <w:r>
        <w:rPr>
          <w:vertAlign w:val="baseline"/>
        </w:rPr>
        <w:t>negative</w:t>
      </w:r>
      <w:r>
        <w:rPr>
          <w:spacing w:val="11"/>
          <w:vertAlign w:val="baseline"/>
        </w:rPr>
        <w:t> </w:t>
      </w:r>
      <w:r>
        <w:rPr>
          <w:vertAlign w:val="baseline"/>
        </w:rPr>
        <w:t>when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model</w:t>
      </w:r>
      <w:r>
        <w:rPr>
          <w:spacing w:val="12"/>
          <w:vertAlign w:val="baseline"/>
        </w:rPr>
        <w:t> </w:t>
      </w:r>
      <w:r>
        <w:rPr>
          <w:vertAlign w:val="baseline"/>
        </w:rPr>
        <w:t>performs</w:t>
      </w:r>
      <w:r>
        <w:rPr>
          <w:spacing w:val="12"/>
          <w:vertAlign w:val="baseline"/>
        </w:rPr>
        <w:t> </w:t>
      </w:r>
      <w:r>
        <w:rPr>
          <w:vertAlign w:val="baseline"/>
        </w:rPr>
        <w:t>worse</w:t>
      </w:r>
      <w:r>
        <w:rPr>
          <w:spacing w:val="12"/>
          <w:vertAlign w:val="baseline"/>
        </w:rPr>
        <w:t> </w:t>
      </w:r>
      <w:r>
        <w:rPr>
          <w:spacing w:val="-4"/>
          <w:vertAlign w:val="baseline"/>
        </w:rPr>
        <w:t>than</w:t>
      </w:r>
    </w:p>
    <w:p>
      <w:pPr>
        <w:pStyle w:val="BodyText"/>
        <w:spacing w:line="162" w:lineRule="exact"/>
      </w:pPr>
      <w:r>
        <w:rPr/>
        <w:t>that</w:t>
      </w:r>
      <w:r>
        <w:rPr>
          <w:spacing w:val="14"/>
        </w:rPr>
        <w:t> </w:t>
      </w:r>
      <w:r>
        <w:rPr/>
        <w:t>baseline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unseen</w:t>
      </w:r>
      <w:r>
        <w:rPr>
          <w:spacing w:val="14"/>
        </w:rPr>
        <w:t> </w:t>
      </w:r>
      <w:r>
        <w:rPr>
          <w:spacing w:val="-2"/>
        </w:rPr>
        <w:t>data.</w:t>
      </w:r>
    </w:p>
    <w:p>
      <w:pPr>
        <w:spacing w:before="3"/>
        <w:ind w:left="259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Calibri"/>
          <w:i/>
          <w:w w:val="145"/>
          <w:sz w:val="20"/>
        </w:rPr>
        <w:t>z</w:t>
      </w:r>
      <w:r>
        <w:rPr>
          <w:rFonts w:ascii="Calibri"/>
          <w:i/>
          <w:w w:val="145"/>
          <w:sz w:val="20"/>
          <w:vertAlign w:val="subscript"/>
        </w:rPr>
        <w:t>i</w:t>
      </w:r>
      <w:r>
        <w:rPr>
          <w:rFonts w:ascii="Calibri"/>
          <w:i/>
          <w:spacing w:val="-10"/>
          <w:w w:val="145"/>
          <w:sz w:val="20"/>
          <w:vertAlign w:val="baseline"/>
        </w:rPr>
        <w:t> </w:t>
      </w:r>
      <w:r>
        <w:rPr>
          <w:rFonts w:ascii="Calibri"/>
          <w:spacing w:val="-10"/>
          <w:w w:val="155"/>
          <w:sz w:val="20"/>
          <w:vertAlign w:val="baseline"/>
        </w:rPr>
        <w:t>=</w:t>
      </w:r>
    </w:p>
    <w:p>
      <w:pPr>
        <w:tabs>
          <w:tab w:pos="2404" w:val="left" w:leader="none"/>
        </w:tabs>
        <w:spacing w:line="190" w:lineRule="exact" w:before="3"/>
        <w:ind w:left="607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spacing w:val="-10"/>
          <w:sz w:val="20"/>
        </w:rPr>
        <w:t>.</w:t>
      </w:r>
      <w:r>
        <w:rPr>
          <w:rFonts w:ascii="Calibri"/>
          <w:i/>
          <w:sz w:val="20"/>
        </w:rPr>
        <w:tab/>
      </w:r>
      <w:r>
        <w:rPr>
          <w:spacing w:val="-5"/>
          <w:sz w:val="20"/>
        </w:rPr>
        <w:t>(7)</w:t>
      </w:r>
    </w:p>
    <w:p>
      <w:pPr>
        <w:spacing w:line="190" w:lineRule="exact" w:before="0"/>
        <w:ind w:left="250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pacing w:val="-10"/>
          <w:w w:val="105"/>
          <w:sz w:val="20"/>
        </w:rPr>
        <w:t>σ</w:t>
      </w:r>
    </w:p>
    <w:p>
      <w:pPr>
        <w:spacing w:after="0" w:line="190" w:lineRule="exact"/>
        <w:jc w:val="left"/>
        <w:rPr>
          <w:rFonts w:ascii="Calibri" w:hAnsi="Calibri"/>
          <w:i/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5321" w:space="1914"/>
            <w:col w:w="629" w:space="40"/>
            <w:col w:w="2896"/>
          </w:cols>
        </w:sectPr>
      </w:pPr>
    </w:p>
    <w:p>
      <w:pPr>
        <w:pStyle w:val="BodyText"/>
        <w:spacing w:line="244" w:lineRule="auto" w:before="73"/>
        <w:ind w:firstLine="199"/>
        <w:jc w:val="both"/>
      </w:pPr>
      <w:r>
        <w:rPr/>
        <w:t>In this study,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is important because it provides a </w:t>
      </w:r>
      <w:r>
        <w:rPr>
          <w:vertAlign w:val="baseline"/>
        </w:rPr>
        <w:t>common measure for comparing the explanatory performance of the three</w:t>
      </w:r>
      <w:r>
        <w:rPr>
          <w:spacing w:val="40"/>
          <w:vertAlign w:val="baseline"/>
        </w:rPr>
        <w:t> </w:t>
      </w:r>
      <w:r>
        <w:rPr>
          <w:vertAlign w:val="baseline"/>
        </w:rPr>
        <w:t>auction-price</w:t>
      </w:r>
      <w:r>
        <w:rPr>
          <w:spacing w:val="40"/>
          <w:vertAlign w:val="baseline"/>
        </w:rPr>
        <w:t> </w:t>
      </w:r>
      <w:r>
        <w:rPr>
          <w:vertAlign w:val="baseline"/>
        </w:rPr>
        <w:t>experiments.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random-split</w:t>
      </w:r>
      <w:r>
        <w:rPr>
          <w:spacing w:val="40"/>
          <w:vertAlign w:val="baseline"/>
        </w:rPr>
        <w:t> </w:t>
      </w:r>
      <w:r>
        <w:rPr>
          <w:vertAlign w:val="baseline"/>
        </w:rPr>
        <w:t>test</w:t>
      </w:r>
      <w:r>
        <w:rPr>
          <w:spacing w:val="40"/>
          <w:vertAlign w:val="baseline"/>
        </w:rPr>
        <w:t> </w:t>
      </w:r>
      <w:r>
        <w:rPr>
          <w:rFonts w:ascii="Calibri"/>
          <w:i/>
          <w:vertAlign w:val="baseline"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spacing w:val="80"/>
          <w:vertAlign w:val="baseline"/>
        </w:rPr>
        <w:t> </w:t>
      </w:r>
      <w:r>
        <w:rPr>
          <w:vertAlign w:val="baseline"/>
        </w:rPr>
        <w:t>of 0.6580 indicates that the model explains approximately 65.8% of the observed variation in the held-out sample under that evaluation protocol, while the time-based test </w:t>
      </w:r>
      <w:r>
        <w:rPr>
          <w:rFonts w:ascii="Calibri"/>
          <w:i/>
          <w:vertAlign w:val="baseline"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spacing w:val="40"/>
          <w:vertAlign w:val="baseline"/>
        </w:rPr>
        <w:t> </w:t>
      </w:r>
      <w:r>
        <w:rPr>
          <w:vertAlign w:val="baseline"/>
        </w:rPr>
        <w:t>of 0.5395</w:t>
      </w:r>
      <w:r>
        <w:rPr>
          <w:spacing w:val="-1"/>
          <w:vertAlign w:val="baseline"/>
        </w:rPr>
        <w:t> </w:t>
      </w:r>
      <w:r>
        <w:rPr>
          <w:vertAlign w:val="baseline"/>
        </w:rPr>
        <w:t>indicates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approximately</w:t>
      </w:r>
      <w:r>
        <w:rPr>
          <w:spacing w:val="-1"/>
          <w:vertAlign w:val="baseline"/>
        </w:rPr>
        <w:t> </w:t>
      </w:r>
      <w:r>
        <w:rPr>
          <w:vertAlign w:val="baseline"/>
        </w:rPr>
        <w:t>53.95%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variation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is explained under the season-aware evaluation. The difference demonstrates why </w:t>
      </w:r>
      <w:r>
        <w:rPr>
          <w:rFonts w:ascii="Calibri"/>
          <w:i/>
          <w:vertAlign w:val="baseline"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should be interpreted together with the data-splitting strategy rather than as a standalone measure of model quality.</w:t>
      </w:r>
    </w:p>
    <w:p>
      <w:pPr>
        <w:pStyle w:val="BodyText"/>
        <w:spacing w:line="244" w:lineRule="auto"/>
        <w:ind w:firstLine="199"/>
        <w:jc w:val="both"/>
      </w:pPr>
      <w:r>
        <w:rPr/>
        <w:t>For future decision support, </w:t>
      </w:r>
      <w:r>
        <w:rPr>
          <w:rFonts w:ascii="Calibri" w:hAnsi="Calibri"/>
          <w:i/>
        </w:rPr>
        <w:t>R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can be monitored when </w:t>
      </w:r>
      <w:r>
        <w:rPr>
          <w:vertAlign w:val="baseline"/>
        </w:rPr>
        <w:t>new seasons or additional contextual variables are introduced. A comparison of out-of-sample </w:t>
      </w:r>
      <w:r>
        <w:rPr>
          <w:rFonts w:ascii="Calibri" w:hAnsi="Calibri"/>
          <w:i/>
          <w:vertAlign w:val="baseline"/>
        </w:rPr>
        <w:t>R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values can help determine whether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new</w:t>
      </w:r>
      <w:r>
        <w:rPr>
          <w:spacing w:val="-2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2"/>
          <w:vertAlign w:val="baseline"/>
        </w:rPr>
        <w:t> </w:t>
      </w:r>
      <w:r>
        <w:rPr>
          <w:vertAlign w:val="baseline"/>
        </w:rPr>
        <w:t>set</w:t>
      </w:r>
      <w:r>
        <w:rPr>
          <w:spacing w:val="-2"/>
          <w:vertAlign w:val="baseline"/>
        </w:rPr>
        <w:t> </w:t>
      </w:r>
      <w:r>
        <w:rPr>
          <w:vertAlign w:val="baseline"/>
        </w:rPr>
        <w:t>or</w:t>
      </w:r>
      <w:r>
        <w:rPr>
          <w:spacing w:val="-2"/>
          <w:vertAlign w:val="baseline"/>
        </w:rPr>
        <w:t> </w:t>
      </w:r>
      <w:r>
        <w:rPr>
          <w:vertAlign w:val="baseline"/>
        </w:rPr>
        <w:t>modelling</w:t>
      </w:r>
      <w:r>
        <w:rPr>
          <w:spacing w:val="-2"/>
          <w:vertAlign w:val="baseline"/>
        </w:rPr>
        <w:t> </w:t>
      </w:r>
      <w:r>
        <w:rPr>
          <w:vertAlign w:val="baseline"/>
        </w:rPr>
        <w:t>approach</w:t>
      </w:r>
      <w:r>
        <w:rPr>
          <w:spacing w:val="-2"/>
          <w:vertAlign w:val="baseline"/>
        </w:rPr>
        <w:t> </w:t>
      </w:r>
      <w:r>
        <w:rPr>
          <w:vertAlign w:val="baseline"/>
        </w:rPr>
        <w:t>improves</w:t>
      </w:r>
      <w:r>
        <w:rPr>
          <w:spacing w:val="-2"/>
          <w:vertAlign w:val="baseline"/>
        </w:rPr>
        <w:t> </w:t>
      </w:r>
      <w:r>
        <w:rPr>
          <w:vertAlign w:val="baseline"/>
        </w:rPr>
        <w:t>the model’s</w:t>
      </w:r>
      <w:r>
        <w:rPr>
          <w:spacing w:val="-6"/>
          <w:vertAlign w:val="baseline"/>
        </w:rPr>
        <w:t> </w:t>
      </w:r>
      <w:r>
        <w:rPr>
          <w:vertAlign w:val="baseline"/>
        </w:rPr>
        <w:t>ability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explain</w:t>
      </w:r>
      <w:r>
        <w:rPr>
          <w:spacing w:val="-6"/>
          <w:vertAlign w:val="baseline"/>
        </w:rPr>
        <w:t> </w:t>
      </w:r>
      <w:r>
        <w:rPr>
          <w:vertAlign w:val="baseline"/>
        </w:rPr>
        <w:t>auction-price</w:t>
      </w:r>
      <w:r>
        <w:rPr>
          <w:spacing w:val="-6"/>
          <w:vertAlign w:val="baseline"/>
        </w:rPr>
        <w:t> </w:t>
      </w:r>
      <w:r>
        <w:rPr>
          <w:vertAlign w:val="baseline"/>
        </w:rPr>
        <w:t>variation.</w:t>
      </w:r>
      <w:r>
        <w:rPr>
          <w:spacing w:val="-6"/>
          <w:vertAlign w:val="baseline"/>
        </w:rPr>
        <w:t> </w:t>
      </w:r>
      <w:r>
        <w:rPr>
          <w:vertAlign w:val="baseline"/>
        </w:rPr>
        <w:t>However,</w:t>
      </w:r>
      <w:r>
        <w:rPr>
          <w:spacing w:val="-6"/>
          <w:vertAlign w:val="baseline"/>
        </w:rPr>
        <w:t> </w:t>
      </w:r>
      <w:r>
        <w:rPr>
          <w:rFonts w:ascii="Calibri" w:hAnsi="Calibri"/>
          <w:i/>
          <w:vertAlign w:val="baseline"/>
        </w:rPr>
        <w:t>R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does not provide an exact bid recommendation and should be considered together with MAE, RMSE, temporal validation, and the availability of decision-time features.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37" w:lineRule="auto" w:before="0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Bias-Variance Proxy:</w:t>
      </w:r>
      <w:r>
        <w:rPr>
          <w:i/>
          <w:spacing w:val="37"/>
          <w:sz w:val="20"/>
        </w:rPr>
        <w:t> </w:t>
      </w:r>
      <w:r>
        <w:rPr>
          <w:sz w:val="20"/>
        </w:rPr>
        <w:t>The train-test </w:t>
      </w:r>
      <w:r>
        <w:rPr>
          <w:rFonts w:ascii="Calibri"/>
          <w:i/>
          <w:sz w:val="20"/>
        </w:rPr>
        <w:t>R</w:t>
      </w:r>
      <w:r>
        <w:rPr>
          <w:rFonts w:ascii="Calibri"/>
          <w:sz w:val="20"/>
          <w:vertAlign w:val="superscript"/>
        </w:rPr>
        <w:t>2</w:t>
      </w:r>
      <w:r>
        <w:rPr>
          <w:rFonts w:ascii="Calibri"/>
          <w:sz w:val="20"/>
          <w:vertAlign w:val="baseline"/>
        </w:rPr>
        <w:t> </w:t>
      </w:r>
      <w:r>
        <w:rPr>
          <w:sz w:val="20"/>
          <w:vertAlign w:val="baseline"/>
        </w:rPr>
        <w:t>gap was used </w:t>
      </w:r>
      <w:r>
        <w:rPr>
          <w:sz w:val="20"/>
          <w:vertAlign w:val="baseline"/>
        </w:rPr>
        <w:t>as an empirical diagnostic: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br w:type="column"/>
      </w:r>
      <w:r>
        <w:rPr/>
        <w:t>Lower-is-better metrics were sign-inverted before </w:t>
      </w:r>
      <w:r>
        <w:rPr/>
        <w:t>aggrega-</w:t>
      </w:r>
      <w:r>
        <w:rPr>
          <w:spacing w:val="-2"/>
        </w:rPr>
        <w:t>tion.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This composite score is retained only as a </w:t>
      </w:r>
      <w:r>
        <w:rPr/>
        <w:t>supplementary analysis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batting-weighted</w:t>
      </w:r>
      <w:r>
        <w:rPr>
          <w:spacing w:val="-7"/>
        </w:rPr>
        <w:t> </w:t>
      </w:r>
      <w:r>
        <w:rPr/>
        <w:t>formulation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disadvan-tage specialist bowlers.</w:t>
      </w:r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249" w:lineRule="auto" w:before="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Quantile-Based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Tier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Classification:</w:t>
      </w:r>
      <w:r>
        <w:rPr>
          <w:i/>
          <w:spacing w:val="-2"/>
          <w:sz w:val="20"/>
        </w:rPr>
        <w:t> </w:t>
      </w:r>
      <w:r>
        <w:rPr>
          <w:sz w:val="20"/>
        </w:rPr>
        <w:t>Batters</w:t>
      </w:r>
      <w:r>
        <w:rPr>
          <w:spacing w:val="-13"/>
          <w:sz w:val="20"/>
        </w:rPr>
        <w:t> </w:t>
      </w:r>
      <w:r>
        <w:rPr>
          <w:sz w:val="20"/>
        </w:rPr>
        <w:t>were</w:t>
      </w:r>
      <w:r>
        <w:rPr>
          <w:spacing w:val="-12"/>
          <w:sz w:val="20"/>
        </w:rPr>
        <w:t> </w:t>
      </w:r>
      <w:r>
        <w:rPr>
          <w:sz w:val="20"/>
        </w:rPr>
        <w:t>divided into</w:t>
      </w:r>
      <w:r>
        <w:rPr>
          <w:spacing w:val="-4"/>
          <w:sz w:val="20"/>
        </w:rPr>
        <w:t> </w:t>
      </w:r>
      <w:r>
        <w:rPr>
          <w:sz w:val="20"/>
        </w:rPr>
        <w:t>five</w:t>
      </w:r>
      <w:r>
        <w:rPr>
          <w:spacing w:val="-4"/>
          <w:sz w:val="20"/>
        </w:rPr>
        <w:t> </w:t>
      </w:r>
      <w:r>
        <w:rPr>
          <w:sz w:val="20"/>
        </w:rPr>
        <w:t>tiers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quintiles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batting</w:t>
      </w:r>
      <w:r>
        <w:rPr>
          <w:spacing w:val="-4"/>
          <w:sz w:val="20"/>
        </w:rPr>
        <w:t> </w:t>
      </w:r>
      <w:r>
        <w:rPr>
          <w:sz w:val="20"/>
        </w:rPr>
        <w:t>average,</w:t>
      </w:r>
      <w:r>
        <w:rPr>
          <w:spacing w:val="-4"/>
          <w:sz w:val="20"/>
        </w:rPr>
        <w:t> </w:t>
      </w:r>
      <w:r>
        <w:rPr>
          <w:sz w:val="20"/>
        </w:rPr>
        <w:t>while</w:t>
      </w:r>
      <w:r>
        <w:rPr>
          <w:spacing w:val="-4"/>
          <w:sz w:val="20"/>
        </w:rPr>
        <w:t> </w:t>
      </w:r>
      <w:r>
        <w:rPr>
          <w:sz w:val="20"/>
        </w:rPr>
        <w:t>bowlers were divided into four tiers using quartiles of WPM.</w:t>
      </w:r>
    </w:p>
    <w:p>
      <w:pPr>
        <w:pStyle w:val="BodyText"/>
        <w:spacing w:line="235" w:lineRule="exact"/>
        <w:ind w:left="398"/>
        <w:jc w:val="both"/>
      </w:pP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distribution</w:t>
      </w:r>
      <w:r>
        <w:rPr>
          <w:spacing w:val="-1"/>
          <w:w w:val="105"/>
        </w:rPr>
        <w:t> </w:t>
      </w:r>
      <w:r>
        <w:rPr>
          <w:rFonts w:ascii="Calibri"/>
          <w:i/>
          <w:w w:val="130"/>
        </w:rPr>
        <w:t>X</w:t>
      </w:r>
      <w:r>
        <w:rPr>
          <w:rFonts w:ascii="Calibri"/>
          <w:i/>
          <w:spacing w:val="2"/>
          <w:w w:val="130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cumulative</w:t>
      </w:r>
      <w:r>
        <w:rPr>
          <w:spacing w:val="-1"/>
          <w:w w:val="105"/>
        </w:rPr>
        <w:t> </w:t>
      </w:r>
      <w:r>
        <w:rPr>
          <w:w w:val="105"/>
        </w:rPr>
        <w:t>distribution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function</w:t>
      </w:r>
    </w:p>
    <w:p>
      <w:pPr>
        <w:pStyle w:val="BodyText"/>
        <w:spacing w:line="242" w:lineRule="exact"/>
        <w:ind w:left="199"/>
        <w:jc w:val="both"/>
      </w:pPr>
      <w:r>
        <w:rPr>
          <w:rFonts w:ascii="Calibri"/>
          <w:i/>
          <w:w w:val="110"/>
        </w:rPr>
        <w:t>F</w:t>
      </w:r>
      <w:r>
        <w:rPr>
          <w:rFonts w:ascii="Calibri"/>
          <w:i/>
          <w:spacing w:val="-23"/>
          <w:w w:val="110"/>
        </w:rPr>
        <w:t> 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rFonts w:ascii="Calibri"/>
          <w:i/>
          <w:w w:val="105"/>
        </w:rPr>
        <w:t>k</w:t>
      </w:r>
      <w:r>
        <w:rPr>
          <w:w w:val="105"/>
        </w:rPr>
        <w:t>-th</w:t>
      </w:r>
      <w:r>
        <w:rPr>
          <w:spacing w:val="2"/>
          <w:w w:val="105"/>
        </w:rPr>
        <w:t> </w:t>
      </w:r>
      <w:r>
        <w:rPr>
          <w:w w:val="105"/>
        </w:rPr>
        <w:t>quantile</w:t>
      </w:r>
      <w:r>
        <w:rPr>
          <w:spacing w:val="3"/>
          <w:w w:val="105"/>
        </w:rPr>
        <w:t> </w:t>
      </w:r>
      <w:r>
        <w:rPr>
          <w:w w:val="105"/>
        </w:rPr>
        <w:t>boundary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is</w:t>
      </w:r>
    </w:p>
    <w:p>
      <w:pPr>
        <w:tabs>
          <w:tab w:pos="2691" w:val="left" w:leader="none"/>
          <w:tab w:pos="4728" w:val="left" w:leader="none"/>
        </w:tabs>
        <w:spacing w:before="0"/>
        <w:ind w:left="796" w:right="0" w:firstLine="0"/>
        <w:jc w:val="center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5205539</wp:posOffset>
                </wp:positionH>
                <wp:positionV relativeFrom="paragraph">
                  <wp:posOffset>283275</wp:posOffset>
                </wp:positionV>
                <wp:extent cx="56515" cy="127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5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85"/>
                                <w:sz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88501pt;margin-top:22.305132pt;width:4.45pt;height:10pt;mso-position-horizontal-relative:page;mso-position-vertical-relative:paragraph;z-index:-16257024" type="#_x0000_t202" id="docshape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85"/>
                          <w:sz w:val="2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4605985</wp:posOffset>
                </wp:positionH>
                <wp:positionV relativeFrom="paragraph">
                  <wp:posOffset>243938</wp:posOffset>
                </wp:positionV>
                <wp:extent cx="53975" cy="88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75995pt;margin-top:19.207731pt;width:4.25pt;height:7pt;mso-position-horizontal-relative:page;mso-position-vertical-relative:paragraph;z-index:-16254976" type="#_x0000_t202" id="docshape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05"/>
          <w:sz w:val="20"/>
          <w:szCs w:val="20"/>
        </w:rPr>
        <w:t>Q</w:t>
      </w:r>
      <w:r>
        <w:rPr>
          <w:rFonts w:ascii="Calibri" w:hAnsi="Calibri" w:cs="Calibri" w:eastAsia="Calibri"/>
          <w:i/>
          <w:iCs/>
          <w:spacing w:val="66"/>
          <w:w w:val="150"/>
          <w:sz w:val="20"/>
          <w:szCs w:val="20"/>
        </w:rPr>
        <w:t> </w:t>
      </w:r>
      <w:r>
        <w:rPr>
          <w:rFonts w:ascii="Calibri" w:hAnsi="Calibri" w:cs="Calibri" w:eastAsia="Calibri"/>
          <w:w w:val="120"/>
          <w:sz w:val="20"/>
          <w:szCs w:val="20"/>
        </w:rPr>
        <w:t>=</w:t>
      </w:r>
      <w:r>
        <w:rPr>
          <w:rFonts w:ascii="Calibri" w:hAnsi="Calibri" w:cs="Calibri" w:eastAsia="Calibri"/>
          <w:spacing w:val="-3"/>
          <w:w w:val="120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120"/>
          <w:sz w:val="20"/>
          <w:szCs w:val="20"/>
        </w:rPr>
        <w:t>F</w:t>
      </w:r>
      <w:r>
        <w:rPr>
          <w:rFonts w:ascii="Arial" w:hAnsi="Arial" w:cs="Arial" w:eastAsia="Arial"/>
          <w:i/>
          <w:iCs/>
          <w:w w:val="120"/>
          <w:sz w:val="20"/>
          <w:szCs w:val="20"/>
          <w:vertAlign w:val="superscript"/>
        </w:rPr>
        <w:t>−</w:t>
      </w:r>
      <w:r>
        <w:rPr>
          <w:rFonts w:ascii="Calibri" w:hAnsi="Calibri" w:cs="Calibri" w:eastAsia="Calibri"/>
          <w:w w:val="120"/>
          <w:sz w:val="20"/>
          <w:szCs w:val="20"/>
          <w:vertAlign w:val="superscript"/>
        </w:rPr>
        <w:t>1</w:t>
      </w:r>
      <w:r>
        <w:rPr>
          <w:rFonts w:ascii="Calibri" w:hAnsi="Calibri" w:cs="Calibri" w:eastAsia="Calibri"/>
          <w:spacing w:val="-13"/>
          <w:w w:val="120"/>
          <w:sz w:val="20"/>
          <w:szCs w:val="20"/>
          <w:vertAlign w:val="baseline"/>
        </w:rPr>
        <w:t> </w:t>
      </w:r>
      <w:r>
        <w:rPr>
          <w:rFonts w:ascii="Arial MT" w:hAnsi="Arial MT" w:cs="Arial MT" w:eastAsia="Arial MT"/>
          <w:w w:val="85"/>
          <w:position w:val="28"/>
          <w:sz w:val="20"/>
          <w:szCs w:val="20"/>
          <w:vertAlign w:val="baseline"/>
        </w:rPr>
        <w:t>(︃</w:t>
      </w:r>
      <w:r>
        <w:rPr>
          <w:rFonts w:ascii="Arial MT" w:hAnsi="Arial MT" w:cs="Arial MT" w:eastAsia="Arial MT"/>
          <w:spacing w:val="-24"/>
          <w:w w:val="85"/>
          <w:position w:val="28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position w:val="13"/>
          <w:sz w:val="20"/>
          <w:szCs w:val="20"/>
          <w:u w:val="single"/>
          <w:vertAlign w:val="baseline"/>
        </w:rPr>
        <w:t>k</w:t>
      </w:r>
      <w:r>
        <w:rPr>
          <w:rFonts w:ascii="Calibri" w:hAnsi="Calibri" w:cs="Calibri" w:eastAsia="Calibri"/>
          <w:i/>
          <w:iCs/>
          <w:spacing w:val="-17"/>
          <w:w w:val="105"/>
          <w:position w:val="13"/>
          <w:sz w:val="20"/>
          <w:szCs w:val="20"/>
          <w:vertAlign w:val="baseline"/>
        </w:rPr>
        <w:t> </w:t>
      </w:r>
      <w:r>
        <w:rPr>
          <w:rFonts w:ascii="Arial MT" w:hAnsi="Arial MT" w:cs="Arial MT" w:eastAsia="Arial MT"/>
          <w:w w:val="85"/>
          <w:position w:val="28"/>
          <w:sz w:val="20"/>
          <w:szCs w:val="20"/>
          <w:vertAlign w:val="baseline"/>
        </w:rPr>
        <w:t>)︃</w:t>
      </w:r>
      <w:r>
        <w:rPr>
          <w:rFonts w:ascii="Arial MT" w:hAnsi="Arial MT" w:cs="Arial MT" w:eastAsia="Arial MT"/>
          <w:spacing w:val="-15"/>
          <w:w w:val="85"/>
          <w:position w:val="28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10"/>
          <w:w w:val="105"/>
          <w:sz w:val="20"/>
          <w:szCs w:val="20"/>
          <w:vertAlign w:val="baseline"/>
        </w:rPr>
        <w:t>,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k</w:t>
      </w:r>
      <w:r>
        <w:rPr>
          <w:rFonts w:ascii="Calibri" w:hAnsi="Calibri" w:cs="Calibri" w:eastAsia="Calibri"/>
          <w:i/>
          <w:iCs/>
          <w:spacing w:val="-1"/>
          <w:w w:val="13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3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-6"/>
          <w:w w:val="13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05"/>
          <w:sz w:val="20"/>
          <w:szCs w:val="20"/>
          <w:vertAlign w:val="baseline"/>
        </w:rPr>
        <w:t>1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,</w:t>
      </w:r>
      <w:r>
        <w:rPr>
          <w:rFonts w:ascii="Calibri" w:hAnsi="Calibri" w:cs="Calibri" w:eastAsia="Calibri"/>
          <w:i/>
          <w:iCs/>
          <w:spacing w:val="-14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i/>
          <w:iCs/>
          <w:spacing w:val="-15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i/>
          <w:iCs/>
          <w:spacing w:val="-14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i/>
          <w:iCs/>
          <w:spacing w:val="-14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,</w:t>
      </w:r>
      <w:r>
        <w:rPr>
          <w:rFonts w:ascii="Calibri" w:hAnsi="Calibri" w:cs="Calibri" w:eastAsia="Calibri"/>
          <w:i/>
          <w:iCs/>
          <w:spacing w:val="-14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baseline"/>
        </w:rPr>
        <w:t>q</w:t>
      </w:r>
      <w:r>
        <w:rPr>
          <w:rFonts w:ascii="Calibri" w:hAnsi="Calibri" w:cs="Calibri" w:eastAsia="Calibri"/>
          <w:i/>
          <w:iCs/>
          <w:spacing w:val="3"/>
          <w:w w:val="105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05"/>
          <w:sz w:val="20"/>
          <w:szCs w:val="20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22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5"/>
          <w:w w:val="105"/>
          <w:sz w:val="20"/>
          <w:szCs w:val="20"/>
          <w:vertAlign w:val="baseline"/>
        </w:rPr>
        <w:t>1</w:t>
      </w:r>
      <w:r>
        <w:rPr>
          <w:rFonts w:ascii="Calibri" w:hAnsi="Calibri" w:cs="Calibri" w:eastAsia="Calibri"/>
          <w:i/>
          <w:iCs/>
          <w:spacing w:val="-5"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spacing w:val="-5"/>
          <w:w w:val="105"/>
          <w:sz w:val="20"/>
          <w:szCs w:val="20"/>
          <w:vertAlign w:val="baseline"/>
        </w:rPr>
        <w:t>(8)</w:t>
      </w:r>
    </w:p>
    <w:p>
      <w:pPr>
        <w:pStyle w:val="BodyText"/>
        <w:spacing w:before="155"/>
        <w:ind w:left="199" w:right="257" w:firstLine="199"/>
        <w:jc w:val="both"/>
      </w:pPr>
      <w:r>
        <w:rPr>
          <w:w w:val="105"/>
        </w:rPr>
        <w:t>Here,</w:t>
      </w:r>
      <w:r>
        <w:rPr>
          <w:w w:val="105"/>
        </w:rPr>
        <w:t> </w:t>
      </w:r>
      <w:r>
        <w:rPr>
          <w:rFonts w:ascii="Calibri"/>
          <w:i/>
          <w:w w:val="105"/>
        </w:rPr>
        <w:t>q</w:t>
      </w:r>
      <w:r>
        <w:rPr>
          <w:rFonts w:ascii="Calibri"/>
          <w:i/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rFonts w:ascii="Calibri"/>
          <w:w w:val="105"/>
        </w:rPr>
        <w:t>5</w:t>
      </w:r>
      <w:r>
        <w:rPr>
          <w:rFonts w:ascii="Calibri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batting</w:t>
      </w:r>
      <w:r>
        <w:rPr>
          <w:w w:val="105"/>
        </w:rPr>
        <w:t> quintiles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rFonts w:ascii="Calibri"/>
          <w:i/>
          <w:w w:val="105"/>
        </w:rPr>
        <w:t>q</w:t>
      </w:r>
      <w:r>
        <w:rPr>
          <w:rFonts w:ascii="Calibri"/>
          <w:i/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rFonts w:ascii="Calibri"/>
          <w:w w:val="105"/>
        </w:rPr>
        <w:t>4</w:t>
      </w:r>
      <w:r>
        <w:rPr>
          <w:rFonts w:ascii="Calibri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bowling </w:t>
      </w:r>
      <w:r>
        <w:rPr>
          <w:spacing w:val="-2"/>
          <w:w w:val="105"/>
        </w:rPr>
        <w:t>quartiles.</w:t>
      </w:r>
    </w:p>
    <w:p>
      <w:pPr>
        <w:pStyle w:val="BodyText"/>
        <w:spacing w:line="249" w:lineRule="auto" w:before="5"/>
        <w:ind w:left="199" w:right="257" w:firstLine="199"/>
        <w:jc w:val="both"/>
      </w:pPr>
      <w:r>
        <w:rPr/>
        <w:t>A minimum sample threshold of 15 innings was </w:t>
      </w:r>
      <w:r>
        <w:rPr/>
        <w:t>applied before ranking.</w:t>
      </w:r>
    </w:p>
    <w:p>
      <w:pPr>
        <w:pStyle w:val="ListParagraph"/>
        <w:numPr>
          <w:ilvl w:val="0"/>
          <w:numId w:val="1"/>
        </w:numPr>
        <w:tabs>
          <w:tab w:pos="2450" w:val="left" w:leader="none"/>
        </w:tabs>
        <w:spacing w:line="240" w:lineRule="auto" w:before="116" w:after="0"/>
        <w:ind w:left="2450" w:right="0" w:hanging="266"/>
        <w:jc w:val="left"/>
        <w:rPr>
          <w:sz w:val="20"/>
        </w:rPr>
      </w:pPr>
      <w:r>
        <w:rPr>
          <w:smallCaps/>
          <w:spacing w:val="-2"/>
          <w:sz w:val="20"/>
        </w:rPr>
        <w:t>Results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68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Study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Auction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Price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Prediction</w:t>
      </w:r>
    </w:p>
    <w:p>
      <w:pPr>
        <w:pStyle w:val="BodyText"/>
        <w:spacing w:before="107"/>
        <w:ind w:left="0"/>
        <w:rPr>
          <w:i/>
        </w:rPr>
      </w:pPr>
    </w:p>
    <w:p>
      <w:pPr>
        <w:spacing w:line="181" w:lineRule="exact" w:before="1"/>
        <w:ind w:left="1094" w:right="115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after="0" w:line="181" w:lineRule="exact"/>
        <w:jc w:val="center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2651" w:val="left" w:leader="none"/>
        </w:tabs>
        <w:spacing w:line="151" w:lineRule="exact" w:before="89"/>
        <w:ind w:left="2143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1615706</wp:posOffset>
                </wp:positionH>
                <wp:positionV relativeFrom="paragraph">
                  <wp:posOffset>98797</wp:posOffset>
                </wp:positionV>
                <wp:extent cx="524510" cy="127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245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w w:val="145"/>
                                <w:sz w:val="20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w w:val="14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9"/>
                                <w:w w:val="14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w w:val="14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w w:val="145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21001pt;margin-top:7.779369pt;width:41.3pt;height:10pt;mso-position-horizontal-relative:page;mso-position-vertical-relative:paragraph;z-index:-16256512" type="#_x0000_t202" id="docshape11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w w:val="145"/>
                          <w:sz w:val="20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w w:val="145"/>
                          <w:sz w:val="20"/>
                        </w:rPr>
                        <w:t>R</w:t>
                      </w:r>
                      <w:r>
                        <w:rPr>
                          <w:rFonts w:ascii="Calibri" w:hAnsi="Calibri"/>
                          <w:i/>
                          <w:spacing w:val="9"/>
                          <w:w w:val="145"/>
                          <w:sz w:val="20"/>
                        </w:rPr>
                        <w:t>  </w:t>
                      </w:r>
                      <w:r>
                        <w:rPr>
                          <w:rFonts w:ascii="Calibri" w:hAnsi="Calibri"/>
                          <w:w w:val="145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9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5"/>
                          <w:w w:val="145"/>
                          <w:sz w:val="2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2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51" w:lineRule="exact" w:before="0"/>
        <w:ind w:left="2649" w:right="0" w:firstLine="0"/>
        <w:jc w:val="left"/>
        <w:rPr>
          <w:rFonts w:ascii="Calibri"/>
          <w:sz w:val="14"/>
        </w:rPr>
      </w:pPr>
      <w:r>
        <w:rPr>
          <w:rFonts w:ascii="Calibri"/>
          <w:spacing w:val="-2"/>
          <w:w w:val="125"/>
          <w:sz w:val="14"/>
        </w:rPr>
        <w:t>train</w:t>
      </w:r>
    </w:p>
    <w:p>
      <w:pPr>
        <w:spacing w:line="151" w:lineRule="exact" w:before="89"/>
        <w:ind w:left="366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51" w:lineRule="exact" w:before="0"/>
        <w:ind w:left="364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2388209</wp:posOffset>
                </wp:positionH>
                <wp:positionV relativeFrom="paragraph">
                  <wp:posOffset>-53741</wp:posOffset>
                </wp:positionV>
                <wp:extent cx="222885" cy="127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228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75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048004pt;margin-top:-4.23159pt;width:17.55pt;height:10pt;mso-position-horizontal-relative:page;mso-position-vertical-relative:paragraph;z-index:15734784" type="#_x0000_t202" id="docshape1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75"/>
                          <w:sz w:val="20"/>
                        </w:rPr>
                        <w:t>—</w:t>
                      </w: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2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15"/>
          <w:sz w:val="14"/>
        </w:rPr>
        <w:t>test</w:t>
      </w:r>
    </w:p>
    <w:p>
      <w:pPr>
        <w:tabs>
          <w:tab w:pos="1388" w:val="left" w:leader="none"/>
        </w:tabs>
        <w:spacing w:before="114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spacing w:val="-10"/>
          <w:sz w:val="20"/>
        </w:rPr>
        <w:t>.</w:t>
      </w:r>
      <w:r>
        <w:rPr>
          <w:rFonts w:ascii="Calibri"/>
          <w:i/>
          <w:sz w:val="20"/>
        </w:rPr>
        <w:tab/>
      </w:r>
      <w:r>
        <w:rPr>
          <w:spacing w:val="-5"/>
          <w:sz w:val="20"/>
        </w:rPr>
        <w:t>(3)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/>
        <w:br w:type="column"/>
      </w:r>
      <w:r>
        <w:rPr>
          <w:smallCaps/>
          <w:sz w:val="16"/>
        </w:rPr>
        <w:t>XGBoost</w:t>
      </w:r>
      <w:r>
        <w:rPr>
          <w:smallCaps/>
          <w:spacing w:val="53"/>
          <w:sz w:val="16"/>
        </w:rPr>
        <w:t> </w:t>
      </w:r>
      <w:r>
        <w:rPr>
          <w:smallCaps/>
          <w:sz w:val="16"/>
        </w:rPr>
        <w:t>Experiment</w:t>
      </w:r>
      <w:r>
        <w:rPr>
          <w:smallCaps/>
          <w:spacing w:val="53"/>
          <w:sz w:val="16"/>
        </w:rPr>
        <w:t> </w:t>
      </w:r>
      <w:r>
        <w:rPr>
          <w:smallCaps/>
          <w:spacing w:val="-2"/>
          <w:sz w:val="16"/>
        </w:rPr>
        <w:t>Comparison</w:t>
      </w:r>
    </w:p>
    <w:p>
      <w:pPr>
        <w:tabs>
          <w:tab w:pos="4948" w:val="left" w:leader="none"/>
        </w:tabs>
        <w:spacing w:before="42"/>
        <w:ind w:left="0" w:right="28" w:firstLine="0"/>
        <w:jc w:val="center"/>
        <w:rPr>
          <w:sz w:val="14"/>
        </w:rPr>
      </w:pPr>
      <w:r>
        <w:rPr>
          <w:w w:val="99"/>
          <w:sz w:val="14"/>
          <w:u w:val="single"/>
        </w:rPr>
        <w:t> </w:t>
      </w:r>
      <w:r>
        <w:rPr>
          <w:sz w:val="14"/>
          <w:u w:val="single"/>
        </w:rPr>
        <w:tab/>
      </w:r>
    </w:p>
    <w:p>
      <w:pPr>
        <w:spacing w:after="0"/>
        <w:jc w:val="center"/>
        <w:rPr>
          <w:sz w:val="14"/>
        </w:rPr>
        <w:sectPr>
          <w:type w:val="continuous"/>
          <w:pgSz w:w="12240" w:h="15840"/>
          <w:pgMar w:top="900" w:bottom="280" w:left="720" w:right="720"/>
          <w:cols w:num="4" w:equalWidth="0">
            <w:col w:w="2988" w:space="40"/>
            <w:col w:w="623" w:space="9"/>
            <w:col w:w="1621" w:space="39"/>
            <w:col w:w="5480"/>
          </w:cols>
        </w:sectPr>
      </w:pPr>
    </w:p>
    <w:p>
      <w:pPr>
        <w:pStyle w:val="BodyText"/>
        <w:spacing w:line="249" w:lineRule="auto" w:before="102"/>
        <w:ind w:firstLine="199"/>
        <w:jc w:val="both"/>
      </w:pPr>
      <w:r>
        <w:rPr/>
        <w:t>A large gap indicates that the model fits the training </w:t>
      </w:r>
      <w:r>
        <w:rPr/>
        <w:t>data substantially better than unseen data.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36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Study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2: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Quantile-Based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Player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Ranking</w:t>
      </w:r>
    </w:p>
    <w:p>
      <w:pPr>
        <w:pStyle w:val="ListParagraph"/>
        <w:numPr>
          <w:ilvl w:val="1"/>
          <w:numId w:val="5"/>
        </w:numPr>
        <w:tabs>
          <w:tab w:pos="722" w:val="left" w:leader="none"/>
        </w:tabs>
        <w:spacing w:line="249" w:lineRule="auto" w:before="73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Career Feature Aggregation: </w:t>
      </w:r>
      <w:r>
        <w:rPr>
          <w:sz w:val="20"/>
        </w:rPr>
        <w:t>Delivery-level </w:t>
      </w:r>
      <w:r>
        <w:rPr>
          <w:sz w:val="20"/>
        </w:rPr>
        <w:t>records were first aggregated to the match level and then summed across the career to avoid double-counting.</w:t>
      </w:r>
    </w:p>
    <w:p>
      <w:pPr>
        <w:pStyle w:val="BodyText"/>
        <w:spacing w:line="249" w:lineRule="auto"/>
        <w:ind w:firstLine="199"/>
        <w:jc w:val="both"/>
      </w:pPr>
      <w:r>
        <w:rPr/>
        <w:t>Batting average is defined as career runs divided by </w:t>
      </w:r>
      <w:r>
        <w:rPr/>
        <w:t>career dismissals, while strike rate is calculated as runs scored per 100 balls faced.</w:t>
      </w:r>
    </w:p>
    <w:p>
      <w:pPr>
        <w:pStyle w:val="BodyText"/>
        <w:tabs>
          <w:tab w:pos="3935" w:val="left" w:leader="none"/>
          <w:tab w:pos="5048" w:val="left" w:leader="none"/>
        </w:tabs>
        <w:spacing w:line="136" w:lineRule="auto" w:before="224"/>
        <w:ind w:left="2471" w:hanging="947"/>
      </w:pPr>
      <w:r>
        <w:rPr>
          <w:w w:val="105"/>
        </w:rPr>
        <w:t>Average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spacing w:val="80"/>
          <w:w w:val="150"/>
          <w:position w:val="13"/>
          <w:u w:val="single"/>
        </w:rPr>
        <w:t> </w:t>
      </w:r>
      <w:r>
        <w:rPr>
          <w:w w:val="105"/>
          <w:position w:val="13"/>
          <w:u w:val="single"/>
        </w:rPr>
        <w:t>Career Runs</w:t>
      </w:r>
      <w:r>
        <w:rPr>
          <w:position w:val="13"/>
          <w:u w:val="single"/>
        </w:rPr>
        <w:tab/>
      </w:r>
      <w:r>
        <w:rPr>
          <w:spacing w:val="-27"/>
          <w:position w:val="13"/>
        </w:rPr>
        <w:t> </w:t>
      </w:r>
      <w:r>
        <w:rPr>
          <w:rFonts w:ascii="Calibri"/>
          <w:i/>
          <w:w w:val="105"/>
        </w:rPr>
        <w:t>,</w:t>
      </w:r>
      <w:r>
        <w:rPr>
          <w:rFonts w:ascii="Calibri"/>
          <w:i/>
        </w:rPr>
        <w:tab/>
      </w:r>
      <w:r>
        <w:rPr>
          <w:spacing w:val="-8"/>
          <w:w w:val="105"/>
        </w:rPr>
        <w:t>(4) </w:t>
      </w:r>
      <w:r>
        <w:rPr>
          <w:w w:val="105"/>
        </w:rPr>
        <w:t>Career Dismissals</w:t>
      </w:r>
    </w:p>
    <w:p>
      <w:pPr>
        <w:pStyle w:val="BodyText"/>
        <w:tabs>
          <w:tab w:pos="2520" w:val="left" w:leader="none"/>
          <w:tab w:pos="3201" w:val="left" w:leader="none"/>
          <w:tab w:pos="5048" w:val="left" w:leader="none"/>
        </w:tabs>
        <w:spacing w:line="336" w:lineRule="exact" w:before="166"/>
        <w:ind w:left="1716"/>
      </w:pPr>
      <w:r>
        <w:rPr>
          <w:w w:val="105"/>
        </w:rPr>
        <w:t>SR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position w:val="13"/>
          <w:u w:val="single"/>
        </w:rPr>
        <w:tab/>
      </w:r>
      <w:r>
        <w:rPr>
          <w:spacing w:val="-4"/>
          <w:w w:val="110"/>
          <w:position w:val="13"/>
          <w:u w:val="single"/>
        </w:rPr>
        <w:t>Runs</w:t>
      </w:r>
      <w:r>
        <w:rPr>
          <w:position w:val="13"/>
          <w:u w:val="single"/>
        </w:rPr>
        <w:tab/>
      </w:r>
      <w:r>
        <w:rPr>
          <w:spacing w:val="36"/>
          <w:position w:val="13"/>
        </w:rPr>
        <w:t> </w:t>
      </w:r>
      <w:r>
        <w:rPr>
          <w:rFonts w:ascii="Lucida Sans Unicode" w:hAnsi="Lucida Sans Unicode"/>
          <w:w w:val="95"/>
        </w:rPr>
        <w:t>×</w:t>
      </w:r>
      <w:r>
        <w:rPr>
          <w:rFonts w:ascii="Lucida Sans Unicode" w:hAnsi="Lucida Sans Unicode"/>
          <w:spacing w:val="-4"/>
          <w:w w:val="95"/>
        </w:rPr>
        <w:t> </w:t>
      </w:r>
      <w:r>
        <w:rPr>
          <w:rFonts w:ascii="Calibri" w:hAnsi="Calibri"/>
          <w:w w:val="110"/>
        </w:rPr>
        <w:t>100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9"/>
          <w:w w:val="105"/>
        </w:rPr>
        <w:t>(5)</w:t>
      </w:r>
    </w:p>
    <w:p>
      <w:pPr>
        <w:pStyle w:val="BodyText"/>
        <w:spacing w:line="161" w:lineRule="exact"/>
        <w:ind w:left="170"/>
        <w:jc w:val="center"/>
      </w:pPr>
      <w:r>
        <w:rPr/>
        <w:t>Balls</w:t>
      </w:r>
      <w:r>
        <w:rPr>
          <w:spacing w:val="14"/>
        </w:rPr>
        <w:t> </w:t>
      </w:r>
      <w:r>
        <w:rPr>
          <w:spacing w:val="-2"/>
        </w:rPr>
        <w:t>Faced</w:t>
      </w:r>
    </w:p>
    <w:p>
      <w:pPr>
        <w:tabs>
          <w:tab w:pos="1773" w:val="left" w:leader="none"/>
          <w:tab w:pos="2589" w:val="left" w:leader="none"/>
          <w:tab w:pos="3524" w:val="left" w:leader="none"/>
          <w:tab w:pos="4466" w:val="left" w:leader="none"/>
        </w:tabs>
        <w:spacing w:line="188" w:lineRule="exact" w:before="0"/>
        <w:ind w:left="360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spacing w:val="-2"/>
          <w:w w:val="105"/>
          <w:sz w:val="14"/>
        </w:rPr>
        <w:t>Experiment</w:t>
      </w:r>
      <w:r>
        <w:rPr>
          <w:b/>
          <w:sz w:val="14"/>
        </w:rPr>
        <w:tab/>
      </w:r>
      <w:r>
        <w:rPr>
          <w:b/>
          <w:w w:val="105"/>
          <w:sz w:val="14"/>
        </w:rPr>
        <w:t>Train</w:t>
      </w:r>
      <w:r>
        <w:rPr>
          <w:b/>
          <w:spacing w:val="2"/>
          <w:w w:val="105"/>
          <w:sz w:val="14"/>
        </w:rPr>
        <w:t> </w:t>
      </w:r>
      <w:r>
        <w:rPr>
          <w:rFonts w:ascii="Georgia"/>
          <w:i/>
          <w:spacing w:val="-5"/>
          <w:w w:val="105"/>
          <w:sz w:val="14"/>
        </w:rPr>
        <w:t>R</w:t>
      </w:r>
      <w:r>
        <w:rPr>
          <w:rFonts w:ascii="Comic Sans MS"/>
          <w:spacing w:val="-5"/>
          <w:w w:val="105"/>
          <w:position w:val="5"/>
          <w:sz w:val="11"/>
        </w:rPr>
        <w:t>2</w:t>
      </w:r>
      <w:r>
        <w:rPr>
          <w:rFonts w:ascii="Comic Sans MS"/>
          <w:position w:val="5"/>
          <w:sz w:val="11"/>
        </w:rPr>
        <w:tab/>
      </w:r>
      <w:r>
        <w:rPr>
          <w:b/>
          <w:w w:val="105"/>
          <w:sz w:val="14"/>
        </w:rPr>
        <w:t>Test</w:t>
      </w:r>
      <w:r>
        <w:rPr>
          <w:b/>
          <w:w w:val="105"/>
          <w:sz w:val="14"/>
        </w:rPr>
        <w:t> </w:t>
      </w:r>
      <w:r>
        <w:rPr>
          <w:rFonts w:ascii="Georgia"/>
          <w:i/>
          <w:spacing w:val="-5"/>
          <w:w w:val="105"/>
          <w:sz w:val="14"/>
        </w:rPr>
        <w:t>R</w:t>
      </w:r>
      <w:r>
        <w:rPr>
          <w:rFonts w:ascii="Comic Sans MS"/>
          <w:spacing w:val="-5"/>
          <w:w w:val="105"/>
          <w:position w:val="5"/>
          <w:sz w:val="11"/>
        </w:rPr>
        <w:t>2</w:t>
      </w:r>
      <w:r>
        <w:rPr>
          <w:rFonts w:ascii="Comic Sans MS"/>
          <w:position w:val="5"/>
          <w:sz w:val="11"/>
        </w:rPr>
        <w:tab/>
      </w:r>
      <w:r>
        <w:rPr>
          <w:b/>
          <w:spacing w:val="-5"/>
          <w:w w:val="105"/>
          <w:sz w:val="14"/>
        </w:rPr>
        <w:t>MAE</w:t>
      </w:r>
      <w:r>
        <w:rPr>
          <w:b/>
          <w:sz w:val="14"/>
        </w:rPr>
        <w:tab/>
      </w:r>
      <w:r>
        <w:rPr>
          <w:b/>
          <w:spacing w:val="-4"/>
          <w:w w:val="105"/>
          <w:sz w:val="14"/>
        </w:rPr>
        <w:t>RMSE</w:t>
      </w:r>
    </w:p>
    <w:p>
      <w:pPr>
        <w:pStyle w:val="BodyText"/>
        <w:spacing w:before="10"/>
        <w:ind w:left="0"/>
        <w:rPr>
          <w:b/>
          <w:sz w:val="4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744"/>
        <w:gridCol w:w="721"/>
        <w:gridCol w:w="1990"/>
      </w:tblGrid>
      <w:tr>
        <w:trPr>
          <w:trHeight w:val="203" w:hRule="atLeast"/>
        </w:trPr>
        <w:tc>
          <w:tcPr>
            <w:tcW w:w="14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6" w:lineRule="exact" w:before="37"/>
              <w:ind w:left="10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Exp.</w:t>
            </w:r>
            <w:r>
              <w:rPr>
                <w:spacing w:val="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1:</w:t>
            </w:r>
            <w:r>
              <w:rPr>
                <w:spacing w:val="12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Baseline</w:t>
            </w:r>
          </w:p>
        </w:tc>
        <w:tc>
          <w:tcPr>
            <w:tcW w:w="7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6" w:lineRule="exact" w:before="37"/>
              <w:ind w:right="2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0.9888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6" w:lineRule="exact" w:before="37"/>
              <w:ind w:right="131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0.6580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010" w:val="left" w:leader="none"/>
              </w:tabs>
              <w:spacing w:line="146" w:lineRule="exact" w:before="37"/>
              <w:ind w:left="28"/>
              <w:rPr>
                <w:sz w:val="14"/>
              </w:rPr>
            </w:pPr>
            <w:r>
              <w:rPr>
                <w:w w:val="105"/>
                <w:sz w:val="14"/>
              </w:rPr>
              <w:t>INR</w:t>
            </w:r>
            <w:r>
              <w:rPr>
                <w:spacing w:val="1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12.77M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INR</w:t>
            </w:r>
            <w:r>
              <w:rPr>
                <w:spacing w:val="1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17.72M</w:t>
            </w:r>
          </w:p>
        </w:tc>
      </w:tr>
      <w:tr>
        <w:trPr>
          <w:trHeight w:val="164" w:hRule="atLeast"/>
        </w:trPr>
        <w:tc>
          <w:tcPr>
            <w:tcW w:w="1462" w:type="dxa"/>
          </w:tcPr>
          <w:p>
            <w:pPr>
              <w:pStyle w:val="TableParagraph"/>
              <w:spacing w:line="145" w:lineRule="exact"/>
              <w:ind w:left="10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Exp.</w:t>
            </w:r>
            <w:r>
              <w:rPr>
                <w:spacing w:val="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2: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Time-</w:t>
            </w:r>
            <w:r>
              <w:rPr>
                <w:spacing w:val="-2"/>
                <w:w w:val="105"/>
                <w:sz w:val="14"/>
              </w:rPr>
              <w:t>based</w:t>
            </w:r>
          </w:p>
        </w:tc>
        <w:tc>
          <w:tcPr>
            <w:tcW w:w="744" w:type="dxa"/>
          </w:tcPr>
          <w:p>
            <w:pPr>
              <w:pStyle w:val="TableParagraph"/>
              <w:spacing w:line="145" w:lineRule="exact"/>
              <w:ind w:right="2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0.9888</w:t>
            </w:r>
          </w:p>
        </w:tc>
        <w:tc>
          <w:tcPr>
            <w:tcW w:w="721" w:type="dxa"/>
          </w:tcPr>
          <w:p>
            <w:pPr>
              <w:pStyle w:val="TableParagraph"/>
              <w:spacing w:line="145" w:lineRule="exact"/>
              <w:ind w:right="131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0.5395</w:t>
            </w:r>
          </w:p>
        </w:tc>
        <w:tc>
          <w:tcPr>
            <w:tcW w:w="1990" w:type="dxa"/>
          </w:tcPr>
          <w:p>
            <w:pPr>
              <w:pStyle w:val="TableParagraph"/>
              <w:tabs>
                <w:tab w:pos="1010" w:val="left" w:leader="none"/>
              </w:tabs>
              <w:spacing w:line="145" w:lineRule="exact"/>
              <w:ind w:left="28"/>
              <w:rPr>
                <w:sz w:val="14"/>
              </w:rPr>
            </w:pPr>
            <w:r>
              <w:rPr>
                <w:w w:val="105"/>
                <w:sz w:val="14"/>
              </w:rPr>
              <w:t>INR</w:t>
            </w:r>
            <w:r>
              <w:rPr>
                <w:spacing w:val="1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14.89M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INR</w:t>
            </w:r>
            <w:r>
              <w:rPr>
                <w:spacing w:val="1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22.36M</w:t>
            </w:r>
          </w:p>
        </w:tc>
      </w:tr>
      <w:tr>
        <w:trPr>
          <w:trHeight w:val="211" w:hRule="atLeast"/>
        </w:trPr>
        <w:tc>
          <w:tcPr>
            <w:tcW w:w="14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left="10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Exp.</w:t>
            </w:r>
            <w:r>
              <w:rPr>
                <w:spacing w:val="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3:</w:t>
            </w:r>
            <w:r>
              <w:rPr>
                <w:spacing w:val="12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Regularized</w:t>
            </w:r>
          </w:p>
        </w:tc>
        <w:tc>
          <w:tcPr>
            <w:tcW w:w="7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right="2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0.7969</w:t>
            </w:r>
          </w:p>
        </w:tc>
        <w:tc>
          <w:tcPr>
            <w:tcW w:w="7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0" w:lineRule="exact"/>
              <w:ind w:right="131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0.4115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011" w:val="left" w:leader="none"/>
              </w:tabs>
              <w:spacing w:line="160" w:lineRule="exact"/>
              <w:ind w:left="28"/>
              <w:rPr>
                <w:sz w:val="14"/>
              </w:rPr>
            </w:pPr>
            <w:r>
              <w:rPr>
                <w:w w:val="105"/>
                <w:sz w:val="14"/>
              </w:rPr>
              <w:t>–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–</w:t>
            </w:r>
          </w:p>
        </w:tc>
      </w:tr>
    </w:tbl>
    <w:p>
      <w:pPr>
        <w:pStyle w:val="BodyText"/>
        <w:spacing w:before="19"/>
        <w:ind w:left="0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44"/>
        <w:ind w:left="458"/>
      </w:pPr>
      <w:r>
        <w:rPr/>
        <w:t>For</w:t>
      </w:r>
      <w:r>
        <w:rPr>
          <w:spacing w:val="13"/>
        </w:rPr>
        <w:t> </w:t>
      </w:r>
      <w:r>
        <w:rPr>
          <w:spacing w:val="-2"/>
        </w:rPr>
        <w:t>bowling,</w:t>
      </w:r>
    </w:p>
    <w:p>
      <w:pPr>
        <w:pStyle w:val="BodyText"/>
        <w:tabs>
          <w:tab w:pos="2491" w:val="left" w:leader="none"/>
          <w:tab w:pos="4087" w:val="left" w:leader="none"/>
          <w:tab w:pos="5047" w:val="left" w:leader="none"/>
        </w:tabs>
        <w:spacing w:line="175" w:lineRule="auto" w:before="163"/>
        <w:ind w:left="2138" w:hanging="766"/>
      </w:pPr>
      <w:r>
        <w:rPr>
          <w:w w:val="105"/>
          <w:position w:val="-12"/>
        </w:rPr>
        <w:t>WPM </w:t>
      </w:r>
      <w:r>
        <w:rPr>
          <w:rFonts w:ascii="Calibri"/>
          <w:w w:val="125"/>
          <w:position w:val="-12"/>
        </w:rPr>
        <w:t>=</w:t>
      </w:r>
      <w:r>
        <w:rPr>
          <w:rFonts w:ascii="Calibri"/>
          <w:w w:val="125"/>
          <w:position w:val="-12"/>
        </w:rPr>
        <w:t> </w:t>
      </w:r>
      <w:r>
        <w:rPr>
          <w:u w:val="single"/>
        </w:rPr>
        <w:tab/>
        <w:tab/>
      </w:r>
      <w:r>
        <w:rPr>
          <w:w w:val="105"/>
          <w:u w:val="single"/>
        </w:rPr>
        <w:t>Career Wickets</w:t>
      </w:r>
      <w:r>
        <w:rPr>
          <w:u w:val="single"/>
        </w:rPr>
        <w:tab/>
      </w:r>
      <w:r>
        <w:rPr>
          <w:spacing w:val="-27"/>
        </w:rPr>
        <w:t> </w:t>
      </w:r>
      <w:r>
        <w:rPr>
          <w:rFonts w:ascii="Calibri"/>
          <w:i/>
          <w:w w:val="105"/>
          <w:position w:val="-12"/>
        </w:rPr>
        <w:t>.</w:t>
      </w:r>
      <w:r>
        <w:rPr>
          <w:rFonts w:ascii="Calibri"/>
          <w:i/>
          <w:position w:val="-12"/>
        </w:rPr>
        <w:tab/>
      </w:r>
      <w:r>
        <w:rPr>
          <w:spacing w:val="-8"/>
          <w:w w:val="105"/>
          <w:position w:val="-12"/>
        </w:rPr>
        <w:t>(6) </w:t>
      </w:r>
      <w:r>
        <w:rPr>
          <w:w w:val="105"/>
        </w:rPr>
        <w:t>Career Bowling Innings</w:t>
      </w:r>
    </w:p>
    <w:p>
      <w:pPr>
        <w:pStyle w:val="BodyText"/>
        <w:spacing w:line="249" w:lineRule="auto" w:before="98"/>
        <w:ind w:firstLine="199"/>
      </w:pPr>
      <w:r>
        <w:rPr/>
        <w:t>WPM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workload-normalized</w:t>
      </w:r>
      <w:r>
        <w:rPr>
          <w:spacing w:val="40"/>
        </w:rPr>
        <w:t> </w:t>
      </w:r>
      <w:r>
        <w:rPr/>
        <w:t>measure</w:t>
      </w:r>
      <w:r>
        <w:rPr>
          <w:spacing w:val="40"/>
        </w:rPr>
        <w:t> </w:t>
      </w:r>
      <w:r>
        <w:rPr/>
        <w:t>of wicket production.</w:t>
      </w:r>
    </w:p>
    <w:p>
      <w:pPr>
        <w:pStyle w:val="ListParagraph"/>
        <w:numPr>
          <w:ilvl w:val="1"/>
          <w:numId w:val="5"/>
        </w:numPr>
        <w:tabs>
          <w:tab w:pos="722" w:val="left" w:leader="none"/>
        </w:tabs>
        <w:spacing w:line="249" w:lineRule="auto" w:before="0" w:after="0"/>
        <w:ind w:left="259" w:right="0" w:firstLine="199"/>
        <w:jc w:val="left"/>
        <w:rPr>
          <w:sz w:val="20"/>
        </w:rPr>
      </w:pPr>
      <w:r>
        <w:rPr>
          <w:i/>
          <w:sz w:val="20"/>
        </w:rPr>
        <w:t>Independent Per-Metric Ranking:</w:t>
      </w:r>
      <w:r>
        <w:rPr>
          <w:i/>
          <w:spacing w:val="40"/>
          <w:sz w:val="20"/>
        </w:rPr>
        <w:t> </w:t>
      </w:r>
      <w:r>
        <w:rPr>
          <w:sz w:val="20"/>
        </w:rPr>
        <w:t>Instead of </w:t>
      </w:r>
      <w:r>
        <w:rPr>
          <w:sz w:val="20"/>
        </w:rPr>
        <w:t>collapsing all</w:t>
      </w:r>
      <w:r>
        <w:rPr>
          <w:spacing w:val="-10"/>
          <w:sz w:val="20"/>
        </w:rPr>
        <w:t> </w:t>
      </w:r>
      <w:r>
        <w:rPr>
          <w:sz w:val="20"/>
        </w:rPr>
        <w:t>players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one</w:t>
      </w:r>
      <w:r>
        <w:rPr>
          <w:spacing w:val="-10"/>
          <w:sz w:val="20"/>
        </w:rPr>
        <w:t> </w:t>
      </w:r>
      <w:r>
        <w:rPr>
          <w:sz w:val="20"/>
        </w:rPr>
        <w:t>composite</w:t>
      </w:r>
      <w:r>
        <w:rPr>
          <w:spacing w:val="-10"/>
          <w:sz w:val="20"/>
        </w:rPr>
        <w:t> </w:t>
      </w:r>
      <w:r>
        <w:rPr>
          <w:sz w:val="20"/>
        </w:rPr>
        <w:t>score,</w:t>
      </w:r>
      <w:r>
        <w:rPr>
          <w:spacing w:val="-10"/>
          <w:sz w:val="20"/>
        </w:rPr>
        <w:t> </w:t>
      </w:r>
      <w:r>
        <w:rPr>
          <w:sz w:val="20"/>
        </w:rPr>
        <w:t>performance</w:t>
      </w:r>
      <w:r>
        <w:rPr>
          <w:spacing w:val="-10"/>
          <w:sz w:val="20"/>
        </w:rPr>
        <w:t> </w:t>
      </w:r>
      <w:r>
        <w:rPr>
          <w:sz w:val="20"/>
        </w:rPr>
        <w:t>metrics</w:t>
      </w:r>
      <w:r>
        <w:rPr>
          <w:spacing w:val="-10"/>
          <w:sz w:val="20"/>
        </w:rPr>
        <w:t> </w:t>
      </w:r>
      <w:r>
        <w:rPr>
          <w:sz w:val="20"/>
        </w:rPr>
        <w:t>were</w:t>
      </w:r>
    </w:p>
    <w:p>
      <w:pPr>
        <w:pStyle w:val="BodyText"/>
        <w:ind w:left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8"/>
        <w:ind w:left="0"/>
        <w:rPr>
          <w:sz w:val="16"/>
        </w:rPr>
      </w:pPr>
    </w:p>
    <w:p>
      <w:pPr>
        <w:spacing w:before="0"/>
        <w:ind w:left="354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3994325</wp:posOffset>
            </wp:positionH>
            <wp:positionV relativeFrom="paragraph">
              <wp:posOffset>-1999186</wp:posOffset>
            </wp:positionV>
            <wp:extent cx="3127121" cy="183408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121" cy="183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2.</w:t>
      </w:r>
      <w:r>
        <w:rPr>
          <w:spacing w:val="63"/>
          <w:sz w:val="16"/>
        </w:rPr>
        <w:t> </w:t>
      </w:r>
      <w:r>
        <w:rPr>
          <w:sz w:val="16"/>
        </w:rPr>
        <w:t>IPL</w:t>
      </w:r>
      <w:r>
        <w:rPr>
          <w:spacing w:val="11"/>
          <w:sz w:val="16"/>
        </w:rPr>
        <w:t> </w:t>
      </w:r>
      <w:r>
        <w:rPr>
          <w:sz w:val="16"/>
        </w:rPr>
        <w:t>Auction</w:t>
      </w:r>
      <w:r>
        <w:rPr>
          <w:spacing w:val="12"/>
          <w:sz w:val="16"/>
        </w:rPr>
        <w:t> </w:t>
      </w:r>
      <w:r>
        <w:rPr>
          <w:sz w:val="16"/>
        </w:rPr>
        <w:t>Price</w:t>
      </w:r>
      <w:r>
        <w:rPr>
          <w:spacing w:val="11"/>
          <w:sz w:val="16"/>
        </w:rPr>
        <w:t> </w:t>
      </w:r>
      <w:r>
        <w:rPr>
          <w:sz w:val="16"/>
        </w:rPr>
        <w:t>Prediction:</w:t>
      </w:r>
      <w:r>
        <w:rPr>
          <w:spacing w:val="11"/>
          <w:sz w:val="16"/>
        </w:rPr>
        <w:t> </w:t>
      </w:r>
      <w:r>
        <w:rPr>
          <w:sz w:val="16"/>
        </w:rPr>
        <w:t>Model</w:t>
      </w:r>
      <w:r>
        <w:rPr>
          <w:spacing w:val="11"/>
          <w:sz w:val="16"/>
        </w:rPr>
        <w:t> </w:t>
      </w:r>
      <w:r>
        <w:rPr>
          <w:sz w:val="16"/>
        </w:rPr>
        <w:t>performance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Comparison</w:t>
      </w:r>
    </w:p>
    <w:p>
      <w:pPr>
        <w:pStyle w:val="BodyText"/>
        <w:spacing w:before="10"/>
        <w:ind w:left="0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662" w:val="left" w:leader="none"/>
        </w:tabs>
        <w:spacing w:line="249" w:lineRule="auto" w:before="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Worked Calculation: Quantifying the Evaluation </w:t>
      </w:r>
      <w:r>
        <w:rPr>
          <w:i/>
          <w:sz w:val="20"/>
        </w:rPr>
        <w:t>Differ-ence: </w:t>
      </w:r>
      <w:r>
        <w:rPr>
          <w:sz w:val="20"/>
        </w:rPr>
        <w:t>The test-set performance difference between Experi-ments 1 and 2 is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</w:pPr>
      <w:r>
        <w:rPr/>
        <w:t>considered</w:t>
      </w:r>
      <w:r>
        <w:rPr>
          <w:spacing w:val="10"/>
        </w:rPr>
        <w:t> </w:t>
      </w:r>
      <w:r>
        <w:rPr>
          <w:spacing w:val="-2"/>
        </w:rPr>
        <w:t>independently.</w:t>
      </w:r>
    </w:p>
    <w:p>
      <w:pPr>
        <w:pStyle w:val="BodyText"/>
        <w:spacing w:before="9"/>
        <w:ind w:left="458"/>
      </w:pPr>
      <w:r>
        <w:rPr/>
        <w:t>Batting</w:t>
      </w:r>
      <w:r>
        <w:rPr>
          <w:spacing w:val="15"/>
        </w:rPr>
        <w:t> </w:t>
      </w:r>
      <w:r>
        <w:rPr/>
        <w:t>metrics</w:t>
      </w:r>
      <w:r>
        <w:rPr>
          <w:spacing w:val="15"/>
        </w:rPr>
        <w:t> </w:t>
      </w:r>
      <w:r>
        <w:rPr/>
        <w:t>included</w:t>
      </w:r>
      <w:r>
        <w:rPr>
          <w:spacing w:val="15"/>
        </w:rPr>
        <w:t> </w:t>
      </w:r>
      <w:r>
        <w:rPr/>
        <w:t>average,</w:t>
      </w:r>
      <w:r>
        <w:rPr>
          <w:spacing w:val="15"/>
        </w:rPr>
        <w:t> </w:t>
      </w:r>
      <w:r>
        <w:rPr/>
        <w:t>strike</w:t>
      </w:r>
      <w:r>
        <w:rPr>
          <w:spacing w:val="15"/>
        </w:rPr>
        <w:t> </w:t>
      </w:r>
      <w:r>
        <w:rPr/>
        <w:t>rate,</w:t>
      </w:r>
      <w:r>
        <w:rPr>
          <w:spacing w:val="15"/>
        </w:rPr>
        <w:t> </w:t>
      </w:r>
      <w:r>
        <w:rPr/>
        <w:t>innings,</w:t>
      </w:r>
      <w:r>
        <w:rPr>
          <w:spacing w:val="15"/>
        </w:rPr>
        <w:t> </w:t>
      </w:r>
      <w:r>
        <w:rPr>
          <w:spacing w:val="-4"/>
        </w:rPr>
        <w:t>hun-</w:t>
      </w:r>
    </w:p>
    <w:p>
      <w:pPr>
        <w:spacing w:line="151" w:lineRule="exact" w:before="93"/>
        <w:ind w:left="260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51" w:lineRule="exact" w:before="0"/>
        <w:ind w:left="259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4579556</wp:posOffset>
                </wp:positionH>
                <wp:positionV relativeFrom="paragraph">
                  <wp:posOffset>-54034</wp:posOffset>
                </wp:positionV>
                <wp:extent cx="201930" cy="127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0193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5"/>
                                <w:w w:val="140"/>
                                <w:sz w:val="20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40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595001pt;margin-top:-4.254676pt;width:15.9pt;height:10pt;mso-position-horizontal-relative:page;mso-position-vertical-relative:paragraph;z-index:15735296" type="#_x0000_t202" id="docshape1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5"/>
                          <w:w w:val="140"/>
                          <w:sz w:val="20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40"/>
                          <w:sz w:val="2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15"/>
          <w:sz w:val="14"/>
        </w:rPr>
        <w:t>test</w:t>
      </w:r>
    </w:p>
    <w:p>
      <w:pPr>
        <w:pStyle w:val="BodyText"/>
        <w:tabs>
          <w:tab w:pos="3200" w:val="left" w:leader="none"/>
        </w:tabs>
        <w:spacing w:before="89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6580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5395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7"/>
          <w:w w:val="110"/>
        </w:rPr>
        <w:t> </w:t>
      </w:r>
      <w:r>
        <w:rPr>
          <w:rFonts w:ascii="Calibri" w:hAnsi="Calibri"/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1185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5"/>
          <w:w w:val="110"/>
        </w:rPr>
        <w:t>(9)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5321" w:space="1229"/>
            <w:col w:w="518" w:space="39"/>
            <w:col w:w="3693"/>
          </w:cols>
        </w:sectPr>
      </w:pPr>
    </w:p>
    <w:p>
      <w:pPr>
        <w:pStyle w:val="BodyText"/>
        <w:spacing w:line="249" w:lineRule="auto" w:before="9"/>
      </w:pPr>
      <w:r>
        <w:rPr/>
        <w:t>dreds, and fifties. Bowling metrics included innings, </w:t>
      </w:r>
      <w:r>
        <w:rPr/>
        <w:t>wickets-per-match, economy rate, and bowling average.</w:t>
      </w:r>
    </w:p>
    <w:p>
      <w:pPr>
        <w:pStyle w:val="BodyText"/>
        <w:spacing w:before="6"/>
        <w:ind w:left="199" w:right="257" w:firstLine="199"/>
      </w:pPr>
      <w:r>
        <w:rPr/>
        <w:br w:type="column"/>
      </w:r>
      <w:r>
        <w:rPr/>
        <w:t>The train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remains 0.9888 in both experiments, while </w:t>
      </w:r>
      <w:r>
        <w:rPr>
          <w:vertAlign w:val="baseline"/>
        </w:rPr>
        <w:t>the time-based evaluation produces a lower test score.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right="5517" w:firstLine="199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3994457</wp:posOffset>
            </wp:positionH>
            <wp:positionV relativeFrom="paragraph">
              <wp:posOffset>90004</wp:posOffset>
            </wp:positionV>
            <wp:extent cx="3126972" cy="184319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972" cy="184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22"/>
        </w:rPr>
        <w:t> </w:t>
      </w:r>
      <w:r>
        <w:rPr/>
        <w:t>indicates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random</w:t>
      </w:r>
      <w:r>
        <w:rPr>
          <w:spacing w:val="22"/>
        </w:rPr>
        <w:t> </w:t>
      </w:r>
      <w:r>
        <w:rPr/>
        <w:t>split</w:t>
      </w:r>
      <w:r>
        <w:rPr>
          <w:spacing w:val="22"/>
        </w:rPr>
        <w:t> </w:t>
      </w:r>
      <w:r>
        <w:rPr/>
        <w:t>provides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more</w:t>
      </w:r>
      <w:r>
        <w:rPr>
          <w:spacing w:val="22"/>
        </w:rPr>
        <w:t> </w:t>
      </w:r>
      <w:r>
        <w:rPr/>
        <w:t>opti-mistic estimate than the season-aware split.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9" w:lineRule="auto" w:before="0" w:after="0"/>
        <w:ind w:left="259" w:right="5517" w:firstLine="199"/>
        <w:jc w:val="left"/>
        <w:rPr>
          <w:sz w:val="20"/>
        </w:rPr>
      </w:pPr>
      <w:r>
        <w:rPr>
          <w:i/>
          <w:spacing w:val="-2"/>
          <w:sz w:val="20"/>
        </w:rPr>
        <w:t>Worked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Calculation: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Bias-Variance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Tradeoff:</w:t>
      </w:r>
      <w:r>
        <w:rPr>
          <w:i/>
          <w:spacing w:val="2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Exper-</w:t>
      </w:r>
      <w:r>
        <w:rPr>
          <w:sz w:val="20"/>
        </w:rPr>
        <w:t>iment 2,</w:t>
      </w:r>
    </w:p>
    <w:p>
      <w:pPr>
        <w:pStyle w:val="BodyText"/>
        <w:spacing w:before="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920" w:bottom="280" w:left="720" w:right="720"/>
        </w:sectPr>
      </w:pPr>
    </w:p>
    <w:p>
      <w:pPr>
        <w:spacing w:line="151" w:lineRule="exact" w:before="71"/>
        <w:ind w:left="1500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1207617</wp:posOffset>
                </wp:positionH>
                <wp:positionV relativeFrom="paragraph">
                  <wp:posOffset>87524</wp:posOffset>
                </wp:positionV>
                <wp:extent cx="201930" cy="1270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0193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5"/>
                                <w:w w:val="140"/>
                                <w:sz w:val="20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40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087997pt;margin-top:6.891698pt;width:15.9pt;height:10pt;mso-position-horizontal-relative:page;mso-position-vertical-relative:paragraph;z-index:15737856" type="#_x0000_t202" id="docshape1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5"/>
                          <w:w w:val="140"/>
                          <w:sz w:val="20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40"/>
                          <w:sz w:val="2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51" w:lineRule="exact" w:before="0"/>
        <w:ind w:left="1499" w:right="0" w:firstLine="0"/>
        <w:jc w:val="left"/>
        <w:rPr>
          <w:rFonts w:ascii="Calibri"/>
          <w:sz w:val="14"/>
        </w:rPr>
      </w:pPr>
      <w:r>
        <w:rPr>
          <w:rFonts w:ascii="Calibri"/>
          <w:spacing w:val="-4"/>
          <w:w w:val="130"/>
          <w:sz w:val="14"/>
        </w:rPr>
        <w:t>Exp2</w:t>
      </w:r>
    </w:p>
    <w:p>
      <w:pPr>
        <w:pStyle w:val="BodyText"/>
        <w:tabs>
          <w:tab w:pos="3051" w:val="left" w:leader="none"/>
        </w:tabs>
        <w:spacing w:before="68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9888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5395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7"/>
          <w:w w:val="110"/>
        </w:rPr>
        <w:t> </w:t>
      </w:r>
      <w:r>
        <w:rPr>
          <w:rFonts w:ascii="Calibri" w:hAnsi="Calibri"/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4493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(10)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1858" w:space="40"/>
            <w:col w:w="8902"/>
          </w:cols>
        </w:sectPr>
      </w:pPr>
    </w:p>
    <w:p>
      <w:pPr>
        <w:pStyle w:val="BodyText"/>
        <w:spacing w:before="99"/>
        <w:ind w:left="458"/>
      </w:pPr>
      <w:r>
        <w:rPr/>
        <w:t>For</w:t>
      </w:r>
      <w:r>
        <w:rPr>
          <w:spacing w:val="11"/>
        </w:rPr>
        <w:t> </w:t>
      </w:r>
      <w:r>
        <w:rPr/>
        <w:t>Experiment</w:t>
      </w:r>
      <w:r>
        <w:rPr>
          <w:spacing w:val="11"/>
        </w:rPr>
        <w:t> </w:t>
      </w:r>
      <w:r>
        <w:rPr>
          <w:spacing w:val="-5"/>
        </w:rPr>
        <w:t>3,</w:t>
      </w:r>
    </w:p>
    <w:p>
      <w:pPr>
        <w:pStyle w:val="BodyText"/>
        <w:spacing w:before="10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line="151" w:lineRule="exact" w:before="71"/>
        <w:ind w:left="1500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1207617</wp:posOffset>
                </wp:positionH>
                <wp:positionV relativeFrom="paragraph">
                  <wp:posOffset>87465</wp:posOffset>
                </wp:positionV>
                <wp:extent cx="201930" cy="1270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0193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5"/>
                                <w:w w:val="140"/>
                                <w:sz w:val="20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40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087997pt;margin-top:6.88705pt;width:15.9pt;height:10pt;mso-position-horizontal-relative:page;mso-position-vertical-relative:paragraph;z-index:15738368" type="#_x0000_t202" id="docshape15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5"/>
                          <w:w w:val="140"/>
                          <w:sz w:val="20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40"/>
                          <w:sz w:val="2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51" w:lineRule="exact" w:before="0"/>
        <w:ind w:left="1499" w:right="0" w:firstLine="0"/>
        <w:jc w:val="left"/>
        <w:rPr>
          <w:rFonts w:ascii="Calibri"/>
          <w:sz w:val="14"/>
        </w:rPr>
      </w:pPr>
      <w:r>
        <w:rPr>
          <w:rFonts w:ascii="Calibri"/>
          <w:spacing w:val="-4"/>
          <w:w w:val="130"/>
          <w:sz w:val="14"/>
        </w:rPr>
        <w:t>Exp3</w:t>
      </w:r>
    </w:p>
    <w:p>
      <w:pPr>
        <w:pStyle w:val="BodyText"/>
        <w:tabs>
          <w:tab w:pos="3051" w:val="left" w:leader="none"/>
        </w:tabs>
        <w:spacing w:before="68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7969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4115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7"/>
          <w:w w:val="110"/>
        </w:rPr>
        <w:t> </w:t>
      </w:r>
      <w:r>
        <w:rPr>
          <w:rFonts w:ascii="Calibri" w:hAnsi="Calibri"/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3854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(11)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1858" w:space="40"/>
            <w:col w:w="8902"/>
          </w:cols>
        </w:sectPr>
      </w:pPr>
    </w:p>
    <w:p>
      <w:pPr>
        <w:pStyle w:val="BodyText"/>
        <w:spacing w:before="99"/>
        <w:ind w:left="458"/>
      </w:pPr>
      <w:r>
        <w:rPr/>
        <w:t>The</w:t>
      </w:r>
      <w:r>
        <w:rPr>
          <w:spacing w:val="14"/>
        </w:rPr>
        <w:t> </w:t>
      </w:r>
      <w:r>
        <w:rPr/>
        <w:t>reduction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train-test</w:t>
      </w:r>
      <w:r>
        <w:rPr>
          <w:spacing w:val="15"/>
        </w:rPr>
        <w:t> </w:t>
      </w:r>
      <w:r>
        <w:rPr/>
        <w:t>gap</w:t>
      </w:r>
      <w:r>
        <w:rPr>
          <w:spacing w:val="15"/>
        </w:rPr>
        <w:t> </w:t>
      </w:r>
      <w:r>
        <w:rPr>
          <w:spacing w:val="-5"/>
        </w:rPr>
        <w:t>is</w:t>
      </w:r>
    </w:p>
    <w:p>
      <w:pPr>
        <w:pStyle w:val="BodyText"/>
        <w:tabs>
          <w:tab w:pos="4948" w:val="left" w:leader="none"/>
        </w:tabs>
        <w:spacing w:before="215"/>
        <w:ind w:left="1657"/>
      </w:pP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4493</w:t>
      </w:r>
      <w:r>
        <w:rPr>
          <w:rFonts w:ascii="Calibri" w:hAnsi="Calibri"/>
          <w:spacing w:val="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3854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0639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i/>
        </w:rPr>
        <w:tab/>
      </w:r>
      <w:r>
        <w:rPr>
          <w:spacing w:val="-4"/>
        </w:rPr>
        <w:t>(12)</w:t>
      </w:r>
    </w:p>
    <w:p>
      <w:pPr>
        <w:pStyle w:val="BodyText"/>
        <w:spacing w:before="100"/>
        <w:ind w:left="458"/>
      </w:pPr>
      <w:r>
        <w:rPr/>
        <w:t>The</w:t>
      </w:r>
      <w:r>
        <w:rPr>
          <w:spacing w:val="12"/>
        </w:rPr>
        <w:t> </w:t>
      </w:r>
      <w:r>
        <w:rPr/>
        <w:t>relative</w:t>
      </w:r>
      <w:r>
        <w:rPr>
          <w:spacing w:val="13"/>
        </w:rPr>
        <w:t> </w:t>
      </w:r>
      <w:r>
        <w:rPr/>
        <w:t>reduction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>
          <w:spacing w:val="-2"/>
        </w:rPr>
        <w:t>approximately</w:t>
      </w:r>
    </w:p>
    <w:p>
      <w:pPr>
        <w:pStyle w:val="BodyText"/>
        <w:spacing w:line="141" w:lineRule="exact" w:before="134"/>
        <w:ind w:right="1381"/>
        <w:jc w:val="center"/>
        <w:rPr>
          <w:rFonts w:ascii="Calibri"/>
        </w:rPr>
      </w:pP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0639</w:t>
      </w:r>
    </w:p>
    <w:p>
      <w:pPr>
        <w:pStyle w:val="BodyText"/>
        <w:ind w:left="0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ind w:left="0"/>
        <w:rPr>
          <w:rFonts w:ascii="Calibri"/>
          <w:sz w:val="16"/>
        </w:rPr>
      </w:pPr>
    </w:p>
    <w:p>
      <w:pPr>
        <w:pStyle w:val="BodyText"/>
        <w:ind w:left="0"/>
        <w:rPr>
          <w:rFonts w:ascii="Calibri"/>
          <w:sz w:val="16"/>
        </w:rPr>
      </w:pPr>
    </w:p>
    <w:p>
      <w:pPr>
        <w:pStyle w:val="BodyText"/>
        <w:spacing w:before="133"/>
        <w:ind w:left="0"/>
        <w:rPr>
          <w:rFonts w:ascii="Calibri"/>
          <w:sz w:val="16"/>
        </w:rPr>
      </w:pPr>
    </w:p>
    <w:p>
      <w:pPr>
        <w:spacing w:line="232" w:lineRule="auto" w:before="0"/>
        <w:ind w:left="199" w:right="0" w:firstLine="0"/>
        <w:jc w:val="left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r>
        <w:rPr>
          <w:sz w:val="16"/>
        </w:rPr>
        <w:t>IPL player composite performance ranking for the longevity-</w:t>
      </w:r>
      <w:r>
        <w:rPr>
          <w:sz w:val="16"/>
        </w:rPr>
        <w:t>qualified</w:t>
      </w:r>
      <w:r>
        <w:rPr>
          <w:spacing w:val="40"/>
          <w:sz w:val="16"/>
        </w:rPr>
        <w:t> </w:t>
      </w:r>
      <w:r>
        <w:rPr>
          <w:sz w:val="16"/>
        </w:rPr>
        <w:t>population from the 2012–2025 Study 2 dataset.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"/>
        <w:ind w:left="0"/>
        <w:rPr>
          <w:sz w:val="11"/>
        </w:rPr>
      </w:pPr>
    </w:p>
    <w:p>
      <w:pPr>
        <w:spacing w:line="20" w:lineRule="exact"/>
        <w:ind w:left="1801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1790" cy="5080"/>
                <wp:effectExtent l="9525" t="0" r="635" b="444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51790" cy="5080"/>
                          <a:chExt cx="351790" cy="50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527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0">
                                <a:moveTo>
                                  <a:pt x="0" y="0"/>
                                </a:moveTo>
                                <a:lnTo>
                                  <a:pt x="3514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7pt;height:.4pt;mso-position-horizontal-relative:char;mso-position-vertical-relative:line" id="docshapegroup16" coordorigin="0,0" coordsize="554,8">
                <v:line style="position:absolute" from="0,4" to="55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0"/>
        <w:jc w:val="right"/>
        <w:rPr>
          <w:rFonts w:ascii="Calibri"/>
        </w:rPr>
      </w:pP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4493</w:t>
      </w:r>
    </w:p>
    <w:p>
      <w:pPr>
        <w:pStyle w:val="BodyText"/>
        <w:tabs>
          <w:tab w:pos="2553" w:val="left" w:leader="none"/>
        </w:tabs>
        <w:spacing w:line="272" w:lineRule="exact"/>
        <w:ind w:left="28"/>
      </w:pPr>
      <w:r>
        <w:rPr/>
        <w:br w:type="column"/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"/>
        </w:rPr>
        <w:t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3"/>
        </w:rPr>
        <w:t> </w:t>
      </w:r>
      <w:r>
        <w:rPr>
          <w:rFonts w:ascii="Calibri" w:hAnsi="Calibri"/>
          <w:spacing w:val="-2"/>
        </w:rPr>
        <w:t>14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2%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i/>
        </w:rPr>
        <w:tab/>
      </w:r>
      <w:r>
        <w:rPr>
          <w:spacing w:val="-4"/>
        </w:rPr>
        <w:t>(13)</w:t>
      </w:r>
    </w:p>
    <w:p>
      <w:pPr>
        <w:pStyle w:val="BodyText"/>
        <w:spacing w:line="222" w:lineRule="exact" w:before="212"/>
        <w:ind w:left="398"/>
      </w:pPr>
      <w:r>
        <w:rPr/>
        <w:br w:type="column"/>
      </w:r>
      <w:r>
        <w:rPr/>
        <w:t>These</w:t>
      </w:r>
      <w:r>
        <w:rPr>
          <w:spacing w:val="9"/>
        </w:rPr>
        <w:t> </w:t>
      </w:r>
      <w:r>
        <w:rPr/>
        <w:t>results</w:t>
      </w:r>
      <w:r>
        <w:rPr>
          <w:spacing w:val="10"/>
        </w:rPr>
        <w:t> </w:t>
      </w:r>
      <w:r>
        <w:rPr/>
        <w:t>demonstrate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career</w:t>
      </w:r>
      <w:r>
        <w:rPr>
          <w:spacing w:val="10"/>
        </w:rPr>
        <w:t> </w:t>
      </w:r>
      <w:r>
        <w:rPr/>
        <w:t>runs,</w:t>
      </w:r>
      <w:r>
        <w:rPr>
          <w:spacing w:val="10"/>
        </w:rPr>
        <w:t> </w:t>
      </w:r>
      <w:r>
        <w:rPr/>
        <w:t>batting</w:t>
      </w:r>
      <w:r>
        <w:rPr>
          <w:spacing w:val="9"/>
        </w:rPr>
        <w:t> </w:t>
      </w:r>
      <w:r>
        <w:rPr>
          <w:spacing w:val="-2"/>
        </w:rPr>
        <w:t>average,</w:t>
      </w:r>
    </w:p>
    <w:p>
      <w:pPr>
        <w:pStyle w:val="BodyText"/>
        <w:spacing w:after="0" w:line="222" w:lineRule="exact"/>
        <w:sectPr>
          <w:type w:val="continuous"/>
          <w:pgSz w:w="12240" w:h="15840"/>
          <w:pgMar w:top="900" w:bottom="280" w:left="720" w:right="720"/>
          <w:cols w:num="3" w:equalWidth="0">
            <w:col w:w="2355" w:space="40"/>
            <w:col w:w="2886" w:space="39"/>
            <w:col w:w="5480"/>
          </w:cols>
        </w:sectPr>
      </w:pPr>
    </w:p>
    <w:p>
      <w:pPr>
        <w:pStyle w:val="BodyText"/>
        <w:spacing w:line="238" w:lineRule="exact"/>
        <w:ind w:left="458"/>
      </w:pPr>
      <w:r>
        <w:rPr>
          <w:w w:val="105"/>
        </w:rPr>
        <w:t>However,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test</w:t>
      </w:r>
      <w:r>
        <w:rPr>
          <w:spacing w:val="2"/>
          <w:w w:val="105"/>
        </w:rPr>
        <w:t> </w:t>
      </w:r>
      <w:r>
        <w:rPr>
          <w:rFonts w:ascii="Calibri"/>
          <w:i/>
          <w:w w:val="105"/>
        </w:rPr>
        <w:t>R</w:t>
      </w:r>
      <w:r>
        <w:rPr>
          <w:rFonts w:ascii="Calibri"/>
          <w:w w:val="105"/>
          <w:vertAlign w:val="superscript"/>
        </w:rPr>
        <w:t>2</w:t>
      </w:r>
      <w:r>
        <w:rPr>
          <w:rFonts w:ascii="Calibri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also</w:t>
      </w:r>
      <w:r>
        <w:rPr>
          <w:spacing w:val="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decreases:</w:t>
      </w:r>
    </w:p>
    <w:p>
      <w:pPr>
        <w:pStyle w:val="BodyText"/>
        <w:tabs>
          <w:tab w:pos="4948" w:val="left" w:leader="none"/>
        </w:tabs>
        <w:spacing w:before="205"/>
        <w:ind w:left="1657"/>
      </w:pP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5395</w:t>
      </w:r>
      <w:r>
        <w:rPr>
          <w:rFonts w:ascii="Calibri" w:hAnsi="Calibri"/>
          <w:spacing w:val="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4115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1280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i/>
        </w:rPr>
        <w:tab/>
      </w:r>
      <w:r>
        <w:rPr>
          <w:spacing w:val="-4"/>
        </w:rPr>
        <w:t>(14)</w:t>
      </w:r>
    </w:p>
    <w:p>
      <w:pPr>
        <w:pStyle w:val="BodyText"/>
        <w:spacing w:line="249" w:lineRule="auto" w:before="99"/>
        <w:ind w:firstLine="199"/>
        <w:jc w:val="both"/>
      </w:pPr>
      <w:r>
        <w:rPr/>
        <w:t>Thus,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regularized</w:t>
      </w:r>
      <w:r>
        <w:rPr>
          <w:spacing w:val="-13"/>
        </w:rPr>
        <w:t> </w:t>
      </w:r>
      <w:r>
        <w:rPr/>
        <w:t>configuration</w:t>
      </w:r>
      <w:r>
        <w:rPr>
          <w:spacing w:val="-12"/>
        </w:rPr>
        <w:t> </w:t>
      </w:r>
      <w:r>
        <w:rPr/>
        <w:t>reduces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train-test</w:t>
      </w:r>
      <w:r>
        <w:rPr>
          <w:spacing w:val="-13"/>
        </w:rPr>
        <w:t> </w:t>
      </w:r>
      <w:r>
        <w:rPr/>
        <w:t>gap but does not improve the observed test performance on this </w:t>
      </w:r>
      <w:r>
        <w:rPr>
          <w:spacing w:val="-2"/>
        </w:rPr>
        <w:t>dataset.</w:t>
      </w: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9" w:lineRule="auto" w:before="0" w:after="0"/>
        <w:ind w:left="259" w:right="0" w:firstLine="199"/>
        <w:jc w:val="right"/>
        <w:rPr>
          <w:sz w:val="20"/>
        </w:rPr>
      </w:pPr>
      <w:r>
        <w:rPr>
          <w:i/>
          <w:sz w:val="20"/>
        </w:rPr>
        <w:t>Feature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Importance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Leakage:</w:t>
      </w:r>
      <w:r>
        <w:rPr>
          <w:i/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top</w:t>
      </w:r>
      <w:r>
        <w:rPr>
          <w:spacing w:val="37"/>
          <w:sz w:val="20"/>
        </w:rPr>
        <w:t> </w:t>
      </w:r>
      <w:r>
        <w:rPr>
          <w:sz w:val="20"/>
        </w:rPr>
        <w:t>predictive features</w:t>
      </w:r>
      <w:r>
        <w:rPr>
          <w:spacing w:val="40"/>
          <w:sz w:val="20"/>
        </w:rPr>
        <w:t> </w:t>
      </w:r>
      <w:r>
        <w:rPr>
          <w:sz w:val="20"/>
        </w:rPr>
        <w:t>included</w:t>
      </w:r>
      <w:r>
        <w:rPr>
          <w:spacing w:val="40"/>
          <w:sz w:val="20"/>
        </w:rPr>
        <w:t> </w:t>
      </w:r>
      <w:r>
        <w:rPr>
          <w:i/>
          <w:sz w:val="20"/>
        </w:rPr>
        <w:t>Status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i/>
          <w:sz w:val="20"/>
        </w:rPr>
        <w:t>LMatches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i/>
          <w:sz w:val="20"/>
        </w:rPr>
        <w:t>LRuns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i/>
          <w:sz w:val="20"/>
        </w:rPr>
        <w:t>LSixes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i/>
          <w:sz w:val="20"/>
        </w:rPr>
        <w:t>LWkts</w:t>
      </w:r>
      <w:r>
        <w:rPr>
          <w:sz w:val="20"/>
        </w:rPr>
        <w:t>, </w:t>
      </w:r>
      <w:r>
        <w:rPr>
          <w:i/>
          <w:sz w:val="20"/>
        </w:rPr>
        <w:t>LFours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i/>
          <w:sz w:val="20"/>
        </w:rPr>
        <w:t>Runs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i/>
          <w:sz w:val="20"/>
        </w:rPr>
        <w:t>Matches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i/>
          <w:sz w:val="20"/>
        </w:rPr>
        <w:t>Age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i/>
          <w:sz w:val="20"/>
        </w:rPr>
        <w:t>Year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i/>
          <w:sz w:val="20"/>
        </w:rPr>
        <w:t>Status</w:t>
      </w:r>
      <w:r>
        <w:rPr>
          <w:i/>
          <w:spacing w:val="-12"/>
          <w:sz w:val="20"/>
        </w:rPr>
        <w:t> </w:t>
      </w:r>
      <w:r>
        <w:rPr>
          <w:sz w:val="20"/>
        </w:rPr>
        <w:t>ranked</w:t>
      </w:r>
      <w:r>
        <w:rPr>
          <w:spacing w:val="-13"/>
          <w:sz w:val="20"/>
        </w:rPr>
        <w:t> </w:t>
      </w:r>
      <w:r>
        <w:rPr>
          <w:sz w:val="20"/>
        </w:rPr>
        <w:t>first. Removing</w:t>
      </w:r>
      <w:r>
        <w:rPr>
          <w:spacing w:val="40"/>
          <w:sz w:val="20"/>
        </w:rPr>
        <w:t> </w:t>
      </w:r>
      <w:r>
        <w:rPr>
          <w:i/>
          <w:sz w:val="20"/>
        </w:rPr>
        <w:t>Status</w:t>
      </w:r>
      <w:r>
        <w:rPr>
          <w:i/>
          <w:spacing w:val="40"/>
          <w:sz w:val="20"/>
        </w:rPr>
        <w:t> </w:t>
      </w:r>
      <w:r>
        <w:rPr>
          <w:sz w:val="20"/>
        </w:rPr>
        <w:t>reduced</w:t>
      </w:r>
      <w:r>
        <w:rPr>
          <w:spacing w:val="40"/>
          <w:sz w:val="20"/>
        </w:rPr>
        <w:t> </w:t>
      </w:r>
      <w:r>
        <w:rPr>
          <w:sz w:val="20"/>
        </w:rPr>
        <w:t>model</w:t>
      </w:r>
      <w:r>
        <w:rPr>
          <w:spacing w:val="40"/>
          <w:sz w:val="20"/>
        </w:rPr>
        <w:t> </w:t>
      </w:r>
      <w:r>
        <w:rPr>
          <w:sz w:val="20"/>
        </w:rPr>
        <w:t>performance,</w:t>
      </w:r>
      <w:r>
        <w:rPr>
          <w:spacing w:val="40"/>
          <w:sz w:val="20"/>
        </w:rPr>
        <w:t> </w:t>
      </w:r>
      <w:r>
        <w:rPr>
          <w:sz w:val="20"/>
        </w:rPr>
        <w:t>indicating that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feature</w:t>
      </w:r>
      <w:r>
        <w:rPr>
          <w:spacing w:val="4"/>
          <w:sz w:val="20"/>
        </w:rPr>
        <w:t> </w:t>
      </w:r>
      <w:r>
        <w:rPr>
          <w:sz w:val="20"/>
        </w:rPr>
        <w:t>contains</w:t>
      </w:r>
      <w:r>
        <w:rPr>
          <w:spacing w:val="3"/>
          <w:sz w:val="20"/>
        </w:rPr>
        <w:t> </w:t>
      </w:r>
      <w:r>
        <w:rPr>
          <w:sz w:val="20"/>
        </w:rPr>
        <w:t>statistical</w:t>
      </w:r>
      <w:r>
        <w:rPr>
          <w:spacing w:val="3"/>
          <w:sz w:val="20"/>
        </w:rPr>
        <w:t> </w:t>
      </w:r>
      <w:r>
        <w:rPr>
          <w:sz w:val="20"/>
        </w:rPr>
        <w:t>signal.</w:t>
      </w:r>
      <w:r>
        <w:rPr>
          <w:spacing w:val="4"/>
          <w:sz w:val="20"/>
        </w:rPr>
        <w:t> </w:t>
      </w:r>
      <w:r>
        <w:rPr>
          <w:sz w:val="20"/>
        </w:rPr>
        <w:t>However,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predictive</w:t>
      </w:r>
    </w:p>
    <w:p>
      <w:pPr>
        <w:pStyle w:val="BodyText"/>
        <w:spacing w:line="230" w:lineRule="exact"/>
        <w:jc w:val="both"/>
      </w:pPr>
      <w:r>
        <w:rPr/>
        <w:t>signal</w:t>
      </w:r>
      <w:r>
        <w:rPr>
          <w:spacing w:val="14"/>
        </w:rPr>
        <w:t> </w:t>
      </w:r>
      <w:r>
        <w:rPr/>
        <w:t>does</w:t>
      </w:r>
      <w:r>
        <w:rPr>
          <w:spacing w:val="14"/>
        </w:rPr>
        <w:t> </w:t>
      </w:r>
      <w:r>
        <w:rPr/>
        <w:t>not</w:t>
      </w:r>
      <w:r>
        <w:rPr>
          <w:spacing w:val="15"/>
        </w:rPr>
        <w:t> </w:t>
      </w:r>
      <w:r>
        <w:rPr/>
        <w:t>establish</w:t>
      </w:r>
      <w:r>
        <w:rPr>
          <w:spacing w:val="14"/>
        </w:rPr>
        <w:t> </w:t>
      </w:r>
      <w:r>
        <w:rPr/>
        <w:t>causal</w:t>
      </w:r>
      <w:r>
        <w:rPr>
          <w:spacing w:val="15"/>
        </w:rPr>
        <w:t> </w:t>
      </w:r>
      <w:r>
        <w:rPr>
          <w:spacing w:val="-2"/>
        </w:rPr>
        <w:t>validity.</w:t>
      </w:r>
    </w:p>
    <w:p>
      <w:pPr>
        <w:pStyle w:val="BodyText"/>
        <w:spacing w:line="249" w:lineRule="auto" w:before="9"/>
        <w:ind w:firstLine="199"/>
        <w:jc w:val="both"/>
      </w:pPr>
      <w:r>
        <w:rPr/>
        <w:t>A feature should only be considered appropriate for </w:t>
      </w:r>
      <w:r>
        <w:rPr/>
        <w:t>auction prediction if its value is available before the bidding decision. The exact relationship between </w:t>
      </w:r>
      <w:r>
        <w:rPr>
          <w:i/>
        </w:rPr>
        <w:t>Status </w:t>
      </w:r>
      <w:r>
        <w:rPr/>
        <w:t>and auction outcomes cannot be fully resolved from the available dataset and there-fore represents a limitation.</w:t>
      </w:r>
    </w:p>
    <w:p>
      <w:pPr>
        <w:spacing w:before="135"/>
        <w:ind w:left="259" w:right="0" w:firstLine="0"/>
        <w:jc w:val="both"/>
        <w:rPr>
          <w:i/>
          <w:sz w:val="20"/>
        </w:rPr>
      </w:pPr>
      <w:r>
        <w:rPr>
          <w:i/>
          <w:sz w:val="20"/>
        </w:rPr>
        <w:t>B.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2: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Player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Ranking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Classification</w:t>
      </w:r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49" w:lineRule="auto" w:before="72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Composite Z-Score Ranking: </w:t>
      </w:r>
      <w:r>
        <w:rPr>
          <w:sz w:val="20"/>
        </w:rPr>
        <w:t>The </w:t>
      </w:r>
      <w:r>
        <w:rPr>
          <w:sz w:val="20"/>
        </w:rPr>
        <w:t>supplementary</w:t>
      </w:r>
      <w:r>
        <w:rPr>
          <w:spacing w:val="40"/>
          <w:sz w:val="20"/>
        </w:rPr>
        <w:t> </w:t>
      </w:r>
      <w:r>
        <w:rPr>
          <w:sz w:val="20"/>
        </w:rPr>
        <w:t>batting-weighted composite ranking produced a score of</w:t>
      </w:r>
      <w:r>
        <w:rPr>
          <w:spacing w:val="80"/>
          <w:sz w:val="20"/>
        </w:rPr>
        <w:t> </w:t>
      </w:r>
      <w:r>
        <w:rPr>
          <w:sz w:val="20"/>
        </w:rPr>
        <w:t>0.977 for V. Kohli, followed by R. G. Sharma with 0.482 and</w:t>
      </w:r>
    </w:p>
    <w:p>
      <w:pPr>
        <w:pStyle w:val="BodyText"/>
        <w:spacing w:line="230" w:lineRule="exact"/>
        <w:jc w:val="both"/>
      </w:pPr>
      <w:r>
        <w:rPr/>
        <w:t>M.</w:t>
      </w:r>
      <w:r>
        <w:rPr>
          <w:spacing w:val="15"/>
        </w:rPr>
        <w:t> </w:t>
      </w:r>
      <w:r>
        <w:rPr/>
        <w:t>S.</w:t>
      </w:r>
      <w:r>
        <w:rPr>
          <w:spacing w:val="16"/>
        </w:rPr>
        <w:t> </w:t>
      </w:r>
      <w:r>
        <w:rPr/>
        <w:t>Dhoni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>
          <w:spacing w:val="-2"/>
        </w:rPr>
        <w:t>0.409.</w:t>
      </w:r>
    </w:p>
    <w:p>
      <w:pPr>
        <w:pStyle w:val="BodyText"/>
        <w:spacing w:line="249" w:lineRule="auto" w:before="9"/>
        <w:ind w:firstLine="199"/>
        <w:jc w:val="both"/>
      </w:pPr>
      <w:r>
        <w:rPr/>
        <w:t>B. Kumar and J. D. Unadkat received negative </w:t>
      </w:r>
      <w:r>
        <w:rPr/>
        <w:t>composite</w:t>
      </w:r>
      <w:r>
        <w:rPr/>
        <w:t> scores. These values illustrate the limitation of applying </w:t>
      </w:r>
      <w:r>
        <w:rPr/>
        <w:t>a</w:t>
      </w:r>
      <w:r>
        <w:rPr/>
        <w:t> batting-weighted composite to players with different </w:t>
      </w:r>
      <w:r>
        <w:rPr/>
        <w:t>primary</w:t>
      </w:r>
      <w:r>
        <w:rPr/>
        <w:t> </w:t>
      </w:r>
      <w:r>
        <w:rPr>
          <w:spacing w:val="-2"/>
        </w:rPr>
        <w:t>roles.</w:t>
      </w:r>
    </w:p>
    <w:p>
      <w:pPr>
        <w:pStyle w:val="ListParagraph"/>
        <w:numPr>
          <w:ilvl w:val="0"/>
          <w:numId w:val="7"/>
        </w:numPr>
        <w:tabs>
          <w:tab w:pos="722" w:val="left" w:leader="none"/>
        </w:tabs>
        <w:spacing w:line="249" w:lineRule="auto" w:before="0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Batting Comparison: </w:t>
      </w:r>
      <w:r>
        <w:rPr>
          <w:sz w:val="20"/>
        </w:rPr>
        <w:t>Career runs are led by V. </w:t>
      </w:r>
      <w:r>
        <w:rPr>
          <w:sz w:val="20"/>
        </w:rPr>
        <w:t>Kohli with 8,628, followed by R. G. Sharma with 6,973 and M. S. Dhoni with 5,391.</w:t>
      </w:r>
    </w:p>
    <w:p>
      <w:pPr>
        <w:pStyle w:val="BodyText"/>
        <w:spacing w:line="249" w:lineRule="auto"/>
        <w:ind w:firstLine="199"/>
        <w:jc w:val="both"/>
      </w:pPr>
      <w:r>
        <w:rPr/>
        <w:t>When</w:t>
      </w:r>
      <w:r>
        <w:rPr>
          <w:spacing w:val="-8"/>
        </w:rPr>
        <w:t> </w:t>
      </w:r>
      <w:r>
        <w:rPr/>
        <w:t>batting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considered,</w:t>
      </w:r>
      <w:r>
        <w:rPr>
          <w:spacing w:val="-8"/>
        </w:rPr>
        <w:t> </w:t>
      </w:r>
      <w:r>
        <w:rPr/>
        <w:t>V.</w:t>
      </w:r>
      <w:r>
        <w:rPr>
          <w:spacing w:val="-8"/>
        </w:rPr>
        <w:t> </w:t>
      </w:r>
      <w:r>
        <w:rPr/>
        <w:t>Kohli</w:t>
      </w:r>
      <w:r>
        <w:rPr>
          <w:spacing w:val="-8"/>
        </w:rPr>
        <w:t> </w:t>
      </w:r>
      <w:r>
        <w:rPr/>
        <w:t>records</w:t>
      </w:r>
      <w:r>
        <w:rPr>
          <w:spacing w:val="-8"/>
        </w:rPr>
        <w:t> </w:t>
      </w:r>
      <w:r>
        <w:rPr/>
        <w:t>39.56, followed by M. S. Dhoni with 38.30.</w:t>
      </w:r>
    </w:p>
    <w:p>
      <w:pPr>
        <w:pStyle w:val="BodyText"/>
        <w:spacing w:line="249" w:lineRule="auto"/>
        <w:ind w:firstLine="199"/>
        <w:jc w:val="both"/>
      </w:pPr>
      <w:r>
        <w:rPr/>
        <w:t>D. A. Miller records a batting average of 35.78, </w:t>
      </w:r>
      <w:r>
        <w:rPr/>
        <w:t>illustrating</w:t>
      </w:r>
      <w:r>
        <w:rPr/>
        <w:t> that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relatively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rate-based</w:t>
      </w:r>
      <w:r>
        <w:rPr>
          <w:spacing w:val="-5"/>
        </w:rPr>
        <w:t> </w:t>
      </w:r>
      <w:r>
        <w:rPr/>
        <w:t>performance</w:t>
      </w:r>
      <w:r>
        <w:rPr/>
        <w:t> despite having fewer cumulative career runs than players </w:t>
      </w:r>
      <w:r>
        <w:rPr/>
        <w:t>with</w:t>
      </w:r>
      <w:r>
        <w:rPr/>
        <w:t> longer batting careers.</w:t>
      </w:r>
    </w:p>
    <w:p>
      <w:pPr>
        <w:pStyle w:val="BodyText"/>
        <w:spacing w:line="249" w:lineRule="auto"/>
        <w:ind w:firstLine="199"/>
        <w:jc w:val="both"/>
      </w:pPr>
      <w:r>
        <w:rPr/>
        <w:t>S. P. Narine records the highest strike rate in the study </w:t>
      </w:r>
      <w:r>
        <w:rPr/>
        <w:t>pool</w:t>
      </w:r>
      <w:r>
        <w:rPr/>
        <w:t> at 166.51.</w:t>
      </w:r>
    </w:p>
    <w:p>
      <w:pPr>
        <w:pStyle w:val="BodyText"/>
        <w:spacing w:line="249" w:lineRule="auto" w:before="17"/>
        <w:ind w:left="199" w:right="257"/>
      </w:pPr>
      <w:r>
        <w:rPr/>
        <w:br w:type="column"/>
      </w:r>
      <w:r>
        <w:rPr/>
        <w:t>and</w:t>
      </w:r>
      <w:r>
        <w:rPr>
          <w:spacing w:val="40"/>
        </w:rPr>
        <w:t> </w:t>
      </w:r>
      <w:r>
        <w:rPr/>
        <w:t>strike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measure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aspects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batting</w:t>
      </w:r>
      <w:r>
        <w:rPr>
          <w:spacing w:val="40"/>
        </w:rPr>
        <w:t> </w:t>
      </w:r>
      <w:r>
        <w:rPr/>
        <w:t>perfor-</w:t>
      </w:r>
      <w:r>
        <w:rPr>
          <w:spacing w:val="-2"/>
        </w:rPr>
        <w:t>mance.</w:t>
      </w:r>
    </w:p>
    <w:p>
      <w:pPr>
        <w:pStyle w:val="BodyText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3982173</wp:posOffset>
            </wp:positionH>
            <wp:positionV relativeFrom="paragraph">
              <wp:posOffset>154077</wp:posOffset>
            </wp:positionV>
            <wp:extent cx="3292030" cy="124996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030" cy="124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2" w:lineRule="auto" w:before="160"/>
        <w:ind w:left="199" w:right="255" w:firstLine="0"/>
        <w:jc w:val="left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> </w:t>
      </w:r>
      <w:r>
        <w:rPr>
          <w:sz w:val="16"/>
        </w:rPr>
        <w:t>Batting performance comparison of longevity-qualified players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2012–2025</w:t>
      </w:r>
      <w:r>
        <w:rPr>
          <w:spacing w:val="10"/>
          <w:sz w:val="16"/>
        </w:rPr>
        <w:t> </w:t>
      </w:r>
      <w:r>
        <w:rPr>
          <w:sz w:val="16"/>
        </w:rPr>
        <w:t>Study</w:t>
      </w:r>
      <w:r>
        <w:rPr>
          <w:spacing w:val="11"/>
          <w:sz w:val="16"/>
        </w:rPr>
        <w:t> </w:t>
      </w:r>
      <w:r>
        <w:rPr>
          <w:sz w:val="16"/>
        </w:rPr>
        <w:t>2</w:t>
      </w:r>
      <w:r>
        <w:rPr>
          <w:spacing w:val="10"/>
          <w:sz w:val="16"/>
        </w:rPr>
        <w:t> </w:t>
      </w:r>
      <w:r>
        <w:rPr>
          <w:sz w:val="16"/>
        </w:rPr>
        <w:t>dataset:</w:t>
      </w:r>
      <w:r>
        <w:rPr>
          <w:spacing w:val="11"/>
          <w:sz w:val="16"/>
        </w:rPr>
        <w:t> </w:t>
      </w:r>
      <w:r>
        <w:rPr>
          <w:sz w:val="16"/>
        </w:rPr>
        <w:t>career</w:t>
      </w:r>
      <w:r>
        <w:rPr>
          <w:spacing w:val="10"/>
          <w:sz w:val="16"/>
        </w:rPr>
        <w:t> </w:t>
      </w:r>
      <w:r>
        <w:rPr>
          <w:sz w:val="16"/>
        </w:rPr>
        <w:t>runs,</w:t>
      </w:r>
      <w:r>
        <w:rPr>
          <w:spacing w:val="10"/>
          <w:sz w:val="16"/>
        </w:rPr>
        <w:t> </w:t>
      </w:r>
      <w:r>
        <w:rPr>
          <w:sz w:val="16"/>
        </w:rPr>
        <w:t>batting</w:t>
      </w:r>
      <w:r>
        <w:rPr>
          <w:spacing w:val="11"/>
          <w:sz w:val="16"/>
        </w:rPr>
        <w:t> </w:t>
      </w:r>
      <w:r>
        <w:rPr>
          <w:sz w:val="16"/>
        </w:rPr>
        <w:t>average,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strike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rate.</w:t>
      </w:r>
    </w:p>
    <w:p>
      <w:pPr>
        <w:pStyle w:val="BodyText"/>
        <w:spacing w:before="57"/>
        <w:ind w:left="0"/>
        <w:rPr>
          <w:sz w:val="16"/>
        </w:rPr>
      </w:pPr>
    </w:p>
    <w:p>
      <w:pPr>
        <w:pStyle w:val="BodyText"/>
        <w:spacing w:line="249" w:lineRule="auto"/>
        <w:ind w:left="199" w:right="257" w:firstLine="199"/>
        <w:jc w:val="both"/>
      </w:pPr>
      <w:r>
        <w:rPr/>
        <w:t>In Fig. 4, the colors distinguish the three metrics </w:t>
      </w:r>
      <w:r>
        <w:rPr/>
        <w:t>rather</w:t>
      </w:r>
      <w:r>
        <w:rPr>
          <w:spacing w:val="80"/>
        </w:rPr>
        <w:t> </w:t>
      </w:r>
      <w:r>
        <w:rPr/>
        <w:t>than indicating higher or lower player quality: blue represents career runs, orange represents batting average, and purple represents strike rate. The same color is used for all players within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metric</w:t>
      </w:r>
      <w:r>
        <w:rPr>
          <w:spacing w:val="15"/>
        </w:rPr>
        <w:t> </w:t>
      </w:r>
      <w:r>
        <w:rPr/>
        <w:t>panel</w:t>
      </w:r>
      <w:r>
        <w:rPr>
          <w:spacing w:val="16"/>
        </w:rPr>
        <w:t> </w:t>
      </w:r>
      <w:r>
        <w:rPr/>
        <w:t>so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color</w:t>
      </w:r>
      <w:r>
        <w:rPr>
          <w:spacing w:val="16"/>
        </w:rPr>
        <w:t> </w:t>
      </w:r>
      <w:r>
        <w:rPr/>
        <w:t>itself</w:t>
      </w:r>
      <w:r>
        <w:rPr>
          <w:spacing w:val="16"/>
        </w:rPr>
        <w:t> </w:t>
      </w:r>
      <w:r>
        <w:rPr/>
        <w:t>is</w:t>
      </w:r>
      <w:r>
        <w:rPr>
          <w:spacing w:val="15"/>
        </w:rPr>
        <w:t> </w:t>
      </w:r>
      <w:r>
        <w:rPr/>
        <w:t>not</w:t>
      </w:r>
      <w:r>
        <w:rPr>
          <w:spacing w:val="16"/>
        </w:rPr>
        <w:t> </w:t>
      </w:r>
      <w:r>
        <w:rPr/>
        <w:t>interpreted</w:t>
      </w:r>
      <w:r>
        <w:rPr>
          <w:spacing w:val="16"/>
        </w:rPr>
        <w:t> </w:t>
      </w:r>
      <w:r>
        <w:rPr/>
        <w:t>as a ranking or class label.</w:t>
      </w:r>
    </w:p>
    <w:p>
      <w:pPr>
        <w:pStyle w:val="ListParagraph"/>
        <w:numPr>
          <w:ilvl w:val="0"/>
          <w:numId w:val="7"/>
        </w:numPr>
        <w:tabs>
          <w:tab w:pos="662" w:val="left" w:leader="none"/>
        </w:tabs>
        <w:spacing w:line="249" w:lineRule="auto" w:before="0" w:after="0"/>
        <w:ind w:left="199" w:right="257" w:firstLine="199"/>
        <w:jc w:val="right"/>
        <w:rPr>
          <w:sz w:val="20"/>
        </w:rPr>
      </w:pPr>
      <w:r>
        <w:rPr>
          <w:i/>
          <w:sz w:val="20"/>
        </w:rPr>
        <w:t>Bowling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Comparison:</w:t>
      </w:r>
      <w:r>
        <w:rPr>
          <w:i/>
          <w:spacing w:val="40"/>
          <w:sz w:val="20"/>
        </w:rPr>
        <w:t> </w:t>
      </w:r>
      <w:r>
        <w:rPr>
          <w:sz w:val="20"/>
        </w:rPr>
        <w:t>B.</w:t>
      </w:r>
      <w:r>
        <w:rPr>
          <w:spacing w:val="37"/>
          <w:sz w:val="20"/>
        </w:rPr>
        <w:t> </w:t>
      </w:r>
      <w:r>
        <w:rPr>
          <w:sz w:val="20"/>
        </w:rPr>
        <w:t>Kumar</w:t>
      </w:r>
      <w:r>
        <w:rPr>
          <w:spacing w:val="38"/>
          <w:sz w:val="20"/>
        </w:rPr>
        <w:t> </w:t>
      </w:r>
      <w:r>
        <w:rPr>
          <w:sz w:val="20"/>
        </w:rPr>
        <w:t>records</w:t>
      </w:r>
      <w:r>
        <w:rPr>
          <w:spacing w:val="38"/>
          <w:sz w:val="20"/>
        </w:rPr>
        <w:t> </w:t>
      </w:r>
      <w:r>
        <w:rPr>
          <w:sz w:val="20"/>
        </w:rPr>
        <w:t>198</w:t>
      </w:r>
      <w:r>
        <w:rPr>
          <w:spacing w:val="38"/>
          <w:sz w:val="20"/>
        </w:rPr>
        <w:t> </w:t>
      </w:r>
      <w:r>
        <w:rPr>
          <w:sz w:val="20"/>
        </w:rPr>
        <w:t>wickets and</w:t>
      </w:r>
      <w:r>
        <w:rPr>
          <w:spacing w:val="10"/>
          <w:sz w:val="20"/>
        </w:rPr>
        <w:t> </w:t>
      </w:r>
      <w:r>
        <w:rPr>
          <w:sz w:val="20"/>
        </w:rPr>
        <w:t>S.</w:t>
      </w:r>
      <w:r>
        <w:rPr>
          <w:spacing w:val="10"/>
          <w:sz w:val="20"/>
        </w:rPr>
        <w:t> </w:t>
      </w:r>
      <w:r>
        <w:rPr>
          <w:sz w:val="20"/>
        </w:rPr>
        <w:t>P.</w:t>
      </w:r>
      <w:r>
        <w:rPr>
          <w:spacing w:val="10"/>
          <w:sz w:val="20"/>
        </w:rPr>
        <w:t> </w:t>
      </w:r>
      <w:r>
        <w:rPr>
          <w:sz w:val="20"/>
        </w:rPr>
        <w:t>Narine</w:t>
      </w:r>
      <w:r>
        <w:rPr>
          <w:spacing w:val="10"/>
          <w:sz w:val="20"/>
        </w:rPr>
        <w:t> </w:t>
      </w:r>
      <w:r>
        <w:rPr>
          <w:sz w:val="20"/>
        </w:rPr>
        <w:t>records</w:t>
      </w:r>
      <w:r>
        <w:rPr>
          <w:spacing w:val="10"/>
          <w:sz w:val="20"/>
        </w:rPr>
        <w:t> </w:t>
      </w:r>
      <w:r>
        <w:rPr>
          <w:sz w:val="20"/>
        </w:rPr>
        <w:t>192</w:t>
      </w:r>
      <w:r>
        <w:rPr>
          <w:spacing w:val="10"/>
          <w:sz w:val="20"/>
        </w:rPr>
        <w:t> </w:t>
      </w:r>
      <w:r>
        <w:rPr>
          <w:sz w:val="20"/>
        </w:rPr>
        <w:t>wickets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study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population.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Narine records an economy rate of 1.31, while </w:t>
      </w:r>
      <w:r>
        <w:rPr/>
        <w:t>Kumar records 1.37.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V. Kohli has a bowling average of 27.75 and is represented by a relatively small bowling workload compared with </w:t>
      </w:r>
      <w:r>
        <w:rPr/>
        <w:t>the</w:t>
      </w:r>
      <w:r>
        <w:rPr/>
        <w:t> specialist bowlers in the study pool.</w:t>
      </w:r>
    </w:p>
    <w:p>
      <w:pPr>
        <w:pStyle w:val="ListParagraph"/>
        <w:numPr>
          <w:ilvl w:val="0"/>
          <w:numId w:val="7"/>
        </w:numPr>
        <w:tabs>
          <w:tab w:pos="662" w:val="left" w:leader="none"/>
        </w:tabs>
        <w:spacing w:line="249" w:lineRule="auto" w:before="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Cross-Metric Patterns and Role Specialization: </w:t>
      </w:r>
      <w:r>
        <w:rPr>
          <w:sz w:val="20"/>
        </w:rPr>
        <w:t>The </w:t>
      </w:r>
      <w:r>
        <w:rPr>
          <w:sz w:val="20"/>
        </w:rPr>
        <w:t>z-score matrix in Fig. 6 illustrates differences between batting and bowling profiles.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V.</w:t>
      </w:r>
      <w:r>
        <w:rPr>
          <w:spacing w:val="-8"/>
        </w:rPr>
        <w:t> </w:t>
      </w:r>
      <w:r>
        <w:rPr/>
        <w:t>Kohli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strongly</w:t>
      </w:r>
      <w:r>
        <w:rPr>
          <w:spacing w:val="-8"/>
        </w:rPr>
        <w:t> </w:t>
      </w:r>
      <w:r>
        <w:rPr/>
        <w:t>positive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batting</w:t>
      </w:r>
      <w:r>
        <w:rPr>
          <w:spacing w:val="-8"/>
        </w:rPr>
        <w:t> </w:t>
      </w:r>
      <w:r>
        <w:rPr/>
        <w:t>met-</w:t>
      </w:r>
      <w:r>
        <w:rPr/>
        <w:t>rics and negative values on bowling metrics, while </w:t>
      </w:r>
      <w:r>
        <w:rPr/>
        <w:t>specialist</w:t>
      </w:r>
      <w:r>
        <w:rPr/>
        <w:t> bowlers show the opposite pattern.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The radar comparison in Fig. 7 further illustrates </w:t>
      </w:r>
      <w:r>
        <w:rPr/>
        <w:t>that players with similar overall composite positions can have substantially different metric profiles.</w:t>
      </w:r>
    </w:p>
    <w:p>
      <w:pPr>
        <w:pStyle w:val="ListParagraph"/>
        <w:numPr>
          <w:ilvl w:val="0"/>
          <w:numId w:val="7"/>
        </w:numPr>
        <w:tabs>
          <w:tab w:pos="662" w:val="left" w:leader="none"/>
        </w:tabs>
        <w:spacing w:line="249" w:lineRule="auto" w:before="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Class Definition: </w:t>
      </w:r>
      <w:r>
        <w:rPr>
          <w:sz w:val="20"/>
        </w:rPr>
        <w:t>In the batting classification, a </w:t>
      </w:r>
      <w:r>
        <w:rPr>
          <w:i/>
          <w:sz w:val="20"/>
        </w:rPr>
        <w:t>Class </w:t>
      </w:r>
      <w:r>
        <w:rPr>
          <w:sz w:val="20"/>
        </w:rPr>
        <w:t>represents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player’s</w:t>
      </w:r>
      <w:r>
        <w:rPr>
          <w:spacing w:val="19"/>
          <w:sz w:val="20"/>
        </w:rPr>
        <w:t> </w:t>
      </w:r>
      <w:r>
        <w:rPr>
          <w:sz w:val="20"/>
        </w:rPr>
        <w:t>relative</w:t>
      </w:r>
      <w:r>
        <w:rPr>
          <w:spacing w:val="19"/>
          <w:sz w:val="20"/>
        </w:rPr>
        <w:t> </w:t>
      </w:r>
      <w:r>
        <w:rPr>
          <w:sz w:val="20"/>
        </w:rPr>
        <w:t>position</w:t>
      </w:r>
      <w:r>
        <w:rPr>
          <w:spacing w:val="19"/>
          <w:sz w:val="20"/>
        </w:rPr>
        <w:t> </w:t>
      </w:r>
      <w:r>
        <w:rPr>
          <w:sz w:val="20"/>
        </w:rPr>
        <w:t>within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longevity-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59" w:after="1"/>
        <w:ind w:left="0"/>
      </w:pPr>
    </w:p>
    <w:p>
      <w:pPr>
        <w:spacing w:line="240" w:lineRule="auto"/>
        <w:ind w:left="2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4105" cy="113042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105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1"/>
        <w:ind w:left="0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5.</w:t>
      </w:r>
      <w:r>
        <w:rPr>
          <w:spacing w:val="40"/>
          <w:sz w:val="16"/>
        </w:rPr>
        <w:t> </w:t>
      </w:r>
      <w:r>
        <w:rPr>
          <w:sz w:val="16"/>
        </w:rPr>
        <w:t>Bowling performance comparison of longevity-qualified players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the 2012–2025 Study 2 dataset: career wickets, economy rate, and bowling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average.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9"/>
        <w:ind w:left="0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650854</wp:posOffset>
            </wp:positionH>
            <wp:positionV relativeFrom="paragraph">
              <wp:posOffset>230551</wp:posOffset>
            </wp:positionV>
            <wp:extent cx="3076098" cy="190595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098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ind w:left="0"/>
        <w:rPr>
          <w:sz w:val="16"/>
        </w:rPr>
      </w:pPr>
    </w:p>
    <w:p>
      <w:pPr>
        <w:spacing w:line="232" w:lineRule="auto" w:before="1"/>
        <w:ind w:left="259" w:right="0" w:firstLine="0"/>
        <w:jc w:val="both"/>
        <w:rPr>
          <w:sz w:val="16"/>
        </w:rPr>
      </w:pPr>
      <w:r>
        <w:rPr>
          <w:sz w:val="16"/>
        </w:rPr>
        <w:t>Fig. 6.</w:t>
      </w:r>
      <w:r>
        <w:rPr>
          <w:spacing w:val="40"/>
          <w:sz w:val="16"/>
        </w:rPr>
        <w:t> </w:t>
      </w:r>
      <w:r>
        <w:rPr>
          <w:sz w:val="16"/>
        </w:rPr>
        <w:t>Player performance z-score matrix for the 2012–2025 </w:t>
      </w:r>
      <w:r>
        <w:rPr>
          <w:sz w:val="16"/>
        </w:rPr>
        <w:t>longevity-qualified population.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0"/>
        <w:ind w:left="0"/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666408</wp:posOffset>
            </wp:positionH>
            <wp:positionV relativeFrom="paragraph">
              <wp:posOffset>263003</wp:posOffset>
            </wp:positionV>
            <wp:extent cx="3040380" cy="260832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60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0"/>
        <w:rPr>
          <w:sz w:val="16"/>
        </w:rPr>
      </w:pPr>
    </w:p>
    <w:p>
      <w:pPr>
        <w:spacing w:line="232" w:lineRule="auto" w:before="1"/>
        <w:ind w:left="259" w:right="0" w:firstLine="0"/>
        <w:jc w:val="both"/>
        <w:rPr>
          <w:sz w:val="16"/>
        </w:rPr>
      </w:pPr>
      <w:r>
        <w:rPr>
          <w:sz w:val="16"/>
        </w:rPr>
        <w:t>Fig. 7.</w:t>
      </w:r>
      <w:r>
        <w:rPr>
          <w:spacing w:val="40"/>
          <w:sz w:val="16"/>
        </w:rPr>
        <w:t> </w:t>
      </w:r>
      <w:r>
        <w:rPr>
          <w:sz w:val="16"/>
        </w:rPr>
        <w:t>Batting z-score radar for the top five players in the 2012–</w:t>
      </w:r>
      <w:r>
        <w:rPr>
          <w:sz w:val="16"/>
        </w:rPr>
        <w:t>2025</w:t>
      </w:r>
      <w:r>
        <w:rPr>
          <w:spacing w:val="40"/>
          <w:sz w:val="16"/>
        </w:rPr>
        <w:t> </w:t>
      </w:r>
      <w:r>
        <w:rPr>
          <w:sz w:val="16"/>
        </w:rPr>
        <w:t>longevity-qualified population.</w:t>
      </w:r>
    </w:p>
    <w:p>
      <w:pPr>
        <w:pStyle w:val="BodyText"/>
        <w:spacing w:line="249" w:lineRule="auto" w:before="71"/>
        <w:ind w:left="199" w:right="257"/>
        <w:jc w:val="both"/>
      </w:pPr>
      <w:r>
        <w:rPr/>
        <w:br w:type="column"/>
      </w:r>
      <w:r>
        <w:rPr/>
        <w:t>qualified population based on batting average quintiles. It is a population-relative tier, not an absolute quality grade. Class </w:t>
      </w:r>
      <w:r>
        <w:rPr/>
        <w:t>5 contains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highest</w:t>
      </w:r>
      <w:r>
        <w:rPr>
          <w:spacing w:val="20"/>
        </w:rPr>
        <w:t> </w:t>
      </w:r>
      <w:r>
        <w:rPr/>
        <w:t>quintile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batting-average</w:t>
      </w:r>
      <w:r>
        <w:rPr>
          <w:spacing w:val="19"/>
        </w:rPr>
        <w:t> </w:t>
      </w:r>
      <w:r>
        <w:rPr/>
        <w:t>values,</w:t>
      </w:r>
      <w:r>
        <w:rPr>
          <w:spacing w:val="20"/>
        </w:rPr>
        <w:t> </w:t>
      </w:r>
      <w:r>
        <w:rPr>
          <w:spacing w:val="-2"/>
        </w:rPr>
        <w:t>Class</w:t>
      </w:r>
    </w:p>
    <w:p>
      <w:pPr>
        <w:pStyle w:val="BodyText"/>
        <w:spacing w:line="249" w:lineRule="auto"/>
        <w:ind w:left="199" w:right="257"/>
        <w:jc w:val="both"/>
      </w:pPr>
      <w:r>
        <w:rPr/>
        <w:t>1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lowest</w:t>
      </w:r>
      <w:r>
        <w:rPr>
          <w:spacing w:val="40"/>
        </w:rPr>
        <w:t> </w:t>
      </w:r>
      <w:r>
        <w:rPr/>
        <w:t>quintile,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2–4</w:t>
      </w:r>
      <w:r>
        <w:rPr>
          <w:spacing w:val="40"/>
        </w:rPr>
        <w:t> </w:t>
      </w:r>
      <w:r>
        <w:rPr/>
        <w:t>represent the</w:t>
      </w:r>
      <w:r>
        <w:rPr>
          <w:spacing w:val="31"/>
        </w:rPr>
        <w:t> </w:t>
      </w:r>
      <w:r>
        <w:rPr/>
        <w:t>intervening</w:t>
      </w:r>
      <w:r>
        <w:rPr>
          <w:spacing w:val="31"/>
        </w:rPr>
        <w:t> </w:t>
      </w:r>
      <w:r>
        <w:rPr/>
        <w:t>quintiles.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same</w:t>
      </w:r>
      <w:r>
        <w:rPr>
          <w:spacing w:val="31"/>
        </w:rPr>
        <w:t> </w:t>
      </w:r>
      <w:r>
        <w:rPr/>
        <w:t>interpretation</w:t>
      </w:r>
      <w:r>
        <w:rPr>
          <w:spacing w:val="31"/>
        </w:rPr>
        <w:t> </w:t>
      </w:r>
      <w:r>
        <w:rPr/>
        <w:t>is</w:t>
      </w:r>
      <w:r>
        <w:rPr>
          <w:spacing w:val="31"/>
        </w:rPr>
        <w:t> </w:t>
      </w:r>
      <w:r>
        <w:rPr/>
        <w:t>applied to bowling, where four quartile-based classes are used for wickets-per-match (WPM). Thus, a class can change if the analyzed population or season range changes.</w:t>
      </w:r>
    </w:p>
    <w:p>
      <w:pPr>
        <w:pStyle w:val="BodyText"/>
        <w:spacing w:before="46"/>
        <w:ind w:left="0"/>
      </w:pPr>
    </w:p>
    <w:p>
      <w:pPr>
        <w:spacing w:line="182" w:lineRule="exact" w:before="0"/>
        <w:ind w:left="1094" w:right="115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1094" w:right="1152" w:firstLine="0"/>
        <w:jc w:val="center"/>
        <w:rPr>
          <w:sz w:val="16"/>
        </w:rPr>
      </w:pPr>
      <w:r>
        <w:rPr>
          <w:smallCaps/>
          <w:sz w:val="16"/>
        </w:rPr>
        <w:t>Batting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Rank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Quintile</w:t>
      </w:r>
      <w:r>
        <w:rPr>
          <w:smallCaps/>
          <w:spacing w:val="32"/>
          <w:sz w:val="16"/>
        </w:rPr>
        <w:t> </w:t>
      </w:r>
      <w:r>
        <w:rPr>
          <w:smallCaps/>
          <w:spacing w:val="-2"/>
          <w:sz w:val="16"/>
        </w:rPr>
        <w:t>Classification</w:t>
      </w:r>
    </w:p>
    <w:p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9"/>
        <w:gridCol w:w="609"/>
        <w:gridCol w:w="798"/>
        <w:gridCol w:w="582"/>
        <w:gridCol w:w="417"/>
        <w:gridCol w:w="355"/>
        <w:gridCol w:w="1320"/>
      </w:tblGrid>
      <w:tr>
        <w:trPr>
          <w:trHeight w:val="209" w:hRule="atLeast"/>
        </w:trPr>
        <w:tc>
          <w:tcPr>
            <w:tcW w:w="84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92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Player</w:t>
            </w:r>
          </w:p>
        </w:tc>
        <w:tc>
          <w:tcPr>
            <w:tcW w:w="60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Average</w:t>
            </w:r>
          </w:p>
        </w:tc>
        <w:tc>
          <w:tcPr>
            <w:tcW w:w="79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2"/>
              <w:rPr>
                <w:b/>
                <w:sz w:val="12"/>
              </w:rPr>
            </w:pPr>
            <w:r>
              <w:rPr>
                <w:b/>
                <w:sz w:val="12"/>
              </w:rPr>
              <w:t>Strike</w:t>
            </w:r>
            <w:r>
              <w:rPr>
                <w:b/>
                <w:spacing w:val="20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Rate</w:t>
            </w:r>
          </w:p>
        </w:tc>
        <w:tc>
          <w:tcPr>
            <w:tcW w:w="58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Innings</w:t>
            </w:r>
          </w:p>
        </w:tc>
        <w:tc>
          <w:tcPr>
            <w:tcW w:w="4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100s</w:t>
            </w:r>
          </w:p>
        </w:tc>
        <w:tc>
          <w:tcPr>
            <w:tcW w:w="355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5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50s</w:t>
            </w:r>
          </w:p>
        </w:tc>
        <w:tc>
          <w:tcPr>
            <w:tcW w:w="132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8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Class</w:t>
            </w:r>
          </w:p>
        </w:tc>
      </w:tr>
      <w:tr>
        <w:trPr>
          <w:trHeight w:val="170" w:hRule="atLeast"/>
        </w:trPr>
        <w:tc>
          <w:tcPr>
            <w:tcW w:w="8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V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Kohli</w:t>
            </w:r>
          </w:p>
        </w:tc>
        <w:tc>
          <w:tcPr>
            <w:tcW w:w="6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39.56</w:t>
            </w:r>
          </w:p>
        </w:tc>
        <w:tc>
          <w:tcPr>
            <w:tcW w:w="7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132.89</w:t>
            </w:r>
          </w:p>
        </w:tc>
        <w:tc>
          <w:tcPr>
            <w:tcW w:w="5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259</w:t>
            </w:r>
          </w:p>
        </w:tc>
        <w:tc>
          <w:tcPr>
            <w:tcW w:w="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8</w:t>
            </w:r>
          </w:p>
        </w:tc>
        <w:tc>
          <w:tcPr>
            <w:tcW w:w="3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63</w:t>
            </w:r>
          </w:p>
        </w:tc>
        <w:tc>
          <w:tcPr>
            <w:tcW w:w="132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2" w:lineRule="exact" w:before="29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5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(Top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20%)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MS</w:t>
            </w:r>
            <w:r>
              <w:rPr>
                <w:spacing w:val="16"/>
                <w:sz w:val="12"/>
              </w:rPr>
              <w:t> </w:t>
            </w:r>
            <w:r>
              <w:rPr>
                <w:spacing w:val="-2"/>
                <w:sz w:val="12"/>
              </w:rPr>
              <w:t>Dhoni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38.30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137.45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241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24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5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(Top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20%)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DA</w:t>
            </w:r>
            <w:r>
              <w:rPr>
                <w:spacing w:val="11"/>
                <w:sz w:val="12"/>
              </w:rPr>
              <w:t> </w:t>
            </w:r>
            <w:r>
              <w:rPr>
                <w:spacing w:val="-2"/>
                <w:sz w:val="12"/>
              </w:rPr>
              <w:t>Miller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35.78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138.60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133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13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4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(60–</w:t>
            </w:r>
            <w:r>
              <w:rPr>
                <w:spacing w:val="-4"/>
                <w:sz w:val="12"/>
              </w:rPr>
              <w:t>80%)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AM</w:t>
            </w:r>
            <w:r>
              <w:rPr>
                <w:spacing w:val="16"/>
                <w:sz w:val="12"/>
              </w:rPr>
              <w:t> </w:t>
            </w:r>
            <w:r>
              <w:rPr>
                <w:spacing w:val="-2"/>
                <w:sz w:val="12"/>
              </w:rPr>
              <w:t>Rahane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30.50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125.02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183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33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4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(60–</w:t>
            </w:r>
            <w:r>
              <w:rPr>
                <w:spacing w:val="-4"/>
                <w:sz w:val="12"/>
              </w:rPr>
              <w:t>80%)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RG</w:t>
            </w:r>
            <w:r>
              <w:rPr>
                <w:spacing w:val="16"/>
                <w:sz w:val="12"/>
              </w:rPr>
              <w:t> </w:t>
            </w:r>
            <w:r>
              <w:rPr>
                <w:spacing w:val="-2"/>
                <w:sz w:val="12"/>
              </w:rPr>
              <w:t>Sharma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29.73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132.10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266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47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3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(40–</w:t>
            </w:r>
            <w:r>
              <w:rPr>
                <w:spacing w:val="-4"/>
                <w:sz w:val="12"/>
              </w:rPr>
              <w:t>60%)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MK</w:t>
            </w:r>
            <w:r>
              <w:rPr>
                <w:spacing w:val="16"/>
                <w:sz w:val="12"/>
              </w:rPr>
              <w:t> </w:t>
            </w:r>
            <w:r>
              <w:rPr>
                <w:spacing w:val="-2"/>
                <w:sz w:val="12"/>
              </w:rPr>
              <w:t>Pandey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29.20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121.52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161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22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3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(40–</w:t>
            </w:r>
            <w:r>
              <w:rPr>
                <w:spacing w:val="-4"/>
                <w:sz w:val="12"/>
              </w:rPr>
              <w:t>60%)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RA</w:t>
            </w:r>
            <w:r>
              <w:rPr>
                <w:spacing w:val="16"/>
                <w:sz w:val="12"/>
              </w:rPr>
              <w:t> </w:t>
            </w:r>
            <w:r>
              <w:rPr>
                <w:spacing w:val="-2"/>
                <w:sz w:val="12"/>
              </w:rPr>
              <w:t>Jadeja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27.86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130.30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194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2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(20–</w:t>
            </w:r>
            <w:r>
              <w:rPr>
                <w:spacing w:val="-4"/>
                <w:sz w:val="12"/>
              </w:rPr>
              <w:t>40%)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MA</w:t>
            </w:r>
            <w:r>
              <w:rPr>
                <w:spacing w:val="16"/>
                <w:sz w:val="12"/>
              </w:rPr>
              <w:t> </w:t>
            </w:r>
            <w:r>
              <w:rPr>
                <w:spacing w:val="-2"/>
                <w:sz w:val="12"/>
              </w:rPr>
              <w:t>Agarwal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22.97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133.53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125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5"/>
                <w:sz w:val="12"/>
              </w:rPr>
              <w:t>13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2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(20–</w:t>
            </w:r>
            <w:r>
              <w:rPr>
                <w:spacing w:val="-4"/>
                <w:sz w:val="12"/>
              </w:rPr>
              <w:t>40%)</w:t>
            </w:r>
          </w:p>
        </w:tc>
      </w:tr>
      <w:tr>
        <w:trPr>
          <w:trHeight w:val="138" w:hRule="atLeast"/>
        </w:trPr>
        <w:tc>
          <w:tcPr>
            <w:tcW w:w="849" w:type="dxa"/>
          </w:tcPr>
          <w:p>
            <w:pPr>
              <w:pStyle w:val="TableParagraph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SP</w:t>
            </w:r>
            <w:r>
              <w:rPr>
                <w:spacing w:val="15"/>
                <w:sz w:val="12"/>
              </w:rPr>
              <w:t> </w:t>
            </w:r>
            <w:r>
              <w:rPr>
                <w:spacing w:val="-2"/>
                <w:sz w:val="12"/>
              </w:rPr>
              <w:t>Narine</w:t>
            </w:r>
          </w:p>
        </w:tc>
        <w:tc>
          <w:tcPr>
            <w:tcW w:w="609" w:type="dxa"/>
          </w:tcPr>
          <w:p>
            <w:pPr>
              <w:pStyle w:val="TableParagraph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17.62</w:t>
            </w:r>
          </w:p>
        </w:tc>
        <w:tc>
          <w:tcPr>
            <w:tcW w:w="798" w:type="dxa"/>
          </w:tcPr>
          <w:p>
            <w:pPr>
              <w:pStyle w:val="TableParagraph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166.51</w:t>
            </w:r>
          </w:p>
        </w:tc>
        <w:tc>
          <w:tcPr>
            <w:tcW w:w="582" w:type="dxa"/>
          </w:tcPr>
          <w:p>
            <w:pPr>
              <w:pStyle w:val="TableParagraph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118</w:t>
            </w:r>
          </w:p>
        </w:tc>
        <w:tc>
          <w:tcPr>
            <w:tcW w:w="417" w:type="dxa"/>
          </w:tcPr>
          <w:p>
            <w:pPr>
              <w:pStyle w:val="TableParagraph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355" w:type="dxa"/>
          </w:tcPr>
          <w:p>
            <w:pPr>
              <w:pStyle w:val="TableParagraph"/>
              <w:ind w:left="5"/>
              <w:rPr>
                <w:sz w:val="12"/>
              </w:rPr>
            </w:pPr>
            <w:r>
              <w:rPr>
                <w:spacing w:val="-10"/>
                <w:sz w:val="12"/>
              </w:rPr>
              <w:t>7</w:t>
            </w:r>
          </w:p>
        </w:tc>
        <w:tc>
          <w:tcPr>
            <w:tcW w:w="1320" w:type="dxa"/>
          </w:tcPr>
          <w:p>
            <w:pPr>
              <w:pStyle w:val="TableParagraph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7"/>
                <w:sz w:val="12"/>
              </w:rPr>
              <w:t> </w:t>
            </w:r>
            <w:r>
              <w:rPr>
                <w:sz w:val="12"/>
              </w:rPr>
              <w:t>1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(Bottom</w:t>
            </w:r>
            <w:r>
              <w:rPr>
                <w:spacing w:val="18"/>
                <w:sz w:val="12"/>
              </w:rPr>
              <w:t> </w:t>
            </w:r>
            <w:r>
              <w:rPr>
                <w:spacing w:val="-4"/>
                <w:sz w:val="12"/>
              </w:rPr>
              <w:t>20%)</w:t>
            </w:r>
          </w:p>
        </w:tc>
      </w:tr>
      <w:tr>
        <w:trPr>
          <w:trHeight w:val="176" w:hRule="atLeast"/>
        </w:trPr>
        <w:tc>
          <w:tcPr>
            <w:tcW w:w="8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92"/>
              <w:jc w:val="left"/>
              <w:rPr>
                <w:sz w:val="12"/>
              </w:rPr>
            </w:pPr>
            <w:r>
              <w:rPr>
                <w:sz w:val="12"/>
              </w:rPr>
              <w:t>JD</w:t>
            </w:r>
            <w:r>
              <w:rPr>
                <w:spacing w:val="15"/>
                <w:sz w:val="12"/>
              </w:rPr>
              <w:t> </w:t>
            </w:r>
            <w:r>
              <w:rPr>
                <w:spacing w:val="-2"/>
                <w:sz w:val="12"/>
              </w:rPr>
              <w:t>Unadkat</w:t>
            </w:r>
          </w:p>
        </w:tc>
        <w:tc>
          <w:tcPr>
            <w:tcW w:w="6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1"/>
              <w:rPr>
                <w:sz w:val="12"/>
              </w:rPr>
            </w:pPr>
            <w:r>
              <w:rPr>
                <w:spacing w:val="-2"/>
                <w:sz w:val="12"/>
              </w:rPr>
              <w:t>12.31</w:t>
            </w:r>
          </w:p>
        </w:tc>
        <w:tc>
          <w:tcPr>
            <w:tcW w:w="7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2" w:right="1"/>
              <w:rPr>
                <w:sz w:val="12"/>
              </w:rPr>
            </w:pPr>
            <w:r>
              <w:rPr>
                <w:spacing w:val="-2"/>
                <w:sz w:val="12"/>
              </w:rPr>
              <w:t>118.67</w:t>
            </w:r>
          </w:p>
        </w:tc>
        <w:tc>
          <w:tcPr>
            <w:tcW w:w="5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2"/>
              <w:rPr>
                <w:sz w:val="12"/>
              </w:rPr>
            </w:pPr>
            <w:r>
              <w:rPr>
                <w:spacing w:val="-5"/>
                <w:sz w:val="12"/>
              </w:rPr>
              <w:t>27</w:t>
            </w:r>
          </w:p>
        </w:tc>
        <w:tc>
          <w:tcPr>
            <w:tcW w:w="4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3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3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5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17"/>
                <w:sz w:val="12"/>
              </w:rPr>
              <w:t> </w:t>
            </w:r>
            <w:r>
              <w:rPr>
                <w:sz w:val="12"/>
              </w:rPr>
              <w:t>1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(Bottom</w:t>
            </w:r>
            <w:r>
              <w:rPr>
                <w:spacing w:val="18"/>
                <w:sz w:val="12"/>
              </w:rPr>
              <w:t> </w:t>
            </w:r>
            <w:r>
              <w:rPr>
                <w:spacing w:val="-4"/>
                <w:sz w:val="12"/>
              </w:rPr>
              <w:t>20%)</w:t>
            </w:r>
          </w:p>
        </w:tc>
      </w:tr>
    </w:tbl>
    <w:p>
      <w:pPr>
        <w:pStyle w:val="BodyText"/>
        <w:spacing w:before="64"/>
        <w:ind w:left="0"/>
        <w:rPr>
          <w:sz w:val="12"/>
        </w:rPr>
      </w:pPr>
    </w:p>
    <w:p>
      <w:pPr>
        <w:pStyle w:val="ListParagraph"/>
        <w:numPr>
          <w:ilvl w:val="0"/>
          <w:numId w:val="7"/>
        </w:numPr>
        <w:tabs>
          <w:tab w:pos="662" w:val="left" w:leader="none"/>
        </w:tabs>
        <w:spacing w:line="249" w:lineRule="auto" w:before="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Workload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versus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Output:</w:t>
      </w:r>
      <w:r>
        <w:rPr>
          <w:i/>
          <w:spacing w:val="24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innings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runs provide a view of cumulative workload and output. Figure 8 illustrates this relationship while using batting average and strike rate as additional dimensions.</w:t>
      </w:r>
    </w:p>
    <w:p>
      <w:pPr>
        <w:pStyle w:val="BodyText"/>
        <w:spacing w:before="17"/>
        <w:ind w:left="0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3996367</wp:posOffset>
            </wp:positionH>
            <wp:positionV relativeFrom="paragraph">
              <wp:posOffset>172379</wp:posOffset>
            </wp:positionV>
            <wp:extent cx="3115246" cy="229743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246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0"/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8.</w:t>
      </w:r>
      <w:r>
        <w:rPr>
          <w:spacing w:val="40"/>
          <w:sz w:val="16"/>
        </w:rPr>
        <w:t> </w:t>
      </w:r>
      <w:r>
        <w:rPr>
          <w:sz w:val="16"/>
        </w:rPr>
        <w:t>Career innings versus career runs for the 2012–2025 </w:t>
      </w:r>
      <w:r>
        <w:rPr>
          <w:sz w:val="16"/>
        </w:rPr>
        <w:t>longevity-qualified population, with batting average and strike rate as additional di-</w:t>
      </w:r>
      <w:r>
        <w:rPr>
          <w:spacing w:val="-2"/>
          <w:sz w:val="16"/>
        </w:rPr>
        <w:t>mensions.</w:t>
      </w:r>
    </w:p>
    <w:p>
      <w:pPr>
        <w:pStyle w:val="BodyText"/>
        <w:spacing w:before="32"/>
        <w:ind w:left="0"/>
        <w:rPr>
          <w:sz w:val="16"/>
        </w:rPr>
      </w:pPr>
    </w:p>
    <w:p>
      <w:pPr>
        <w:pStyle w:val="BodyText"/>
        <w:spacing w:line="249" w:lineRule="auto"/>
        <w:ind w:left="199" w:right="257" w:firstLine="199"/>
        <w:jc w:val="both"/>
      </w:pPr>
      <w:r>
        <w:rPr/>
        <w:t>The</w:t>
      </w:r>
      <w:r>
        <w:rPr>
          <w:spacing w:val="-1"/>
        </w:rPr>
        <w:t> </w:t>
      </w:r>
      <w:r>
        <w:rPr/>
        <w:t>visualization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bubble</w:t>
      </w:r>
      <w:r>
        <w:rPr>
          <w:spacing w:val="-1"/>
        </w:rPr>
        <w:t> </w:t>
      </w:r>
      <w:r>
        <w:rPr/>
        <w:t>size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represent</w:t>
      </w:r>
      <w:r>
        <w:rPr>
          <w:spacing w:val="-1"/>
        </w:rPr>
        <w:t> </w:t>
      </w:r>
      <w:r>
        <w:rPr/>
        <w:t>batting</w:t>
      </w:r>
      <w:r>
        <w:rPr>
          <w:spacing w:val="-1"/>
        </w:rPr>
        <w:t> </w:t>
      </w:r>
      <w:r>
        <w:rPr/>
        <w:t>aver-age, while bubble color represents strike rate. Larger bubbles therefore indicate higher batting averages, whereas the color scale</w:t>
      </w:r>
      <w:r>
        <w:rPr>
          <w:spacing w:val="-6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player’s</w:t>
      </w:r>
      <w:r>
        <w:rPr>
          <w:spacing w:val="-6"/>
        </w:rPr>
        <w:t> </w:t>
      </w:r>
      <w:r>
        <w:rPr/>
        <w:t>strike-rate performance. This allows the three batting dimensions to be interpreted together.</w:t>
      </w:r>
    </w:p>
    <w:p>
      <w:pPr>
        <w:pStyle w:val="BodyText"/>
        <w:spacing w:line="228" w:lineRule="exact"/>
        <w:ind w:left="398"/>
        <w:jc w:val="both"/>
      </w:pPr>
      <w:r>
        <w:rPr/>
        <w:t>The</w:t>
      </w:r>
      <w:r>
        <w:rPr>
          <w:spacing w:val="-3"/>
        </w:rPr>
        <w:t> </w:t>
      </w:r>
      <w:r>
        <w:rPr/>
        <w:t>batting-weighted</w:t>
      </w:r>
      <w:r>
        <w:rPr>
          <w:spacing w:val="-2"/>
        </w:rPr>
        <w:t> </w:t>
      </w:r>
      <w:r>
        <w:rPr/>
        <w:t>composite</w:t>
      </w:r>
      <w:r>
        <w:rPr>
          <w:spacing w:val="-3"/>
        </w:rPr>
        <w:t> </w:t>
      </w:r>
      <w:r>
        <w:rPr/>
        <w:t>score</w:t>
      </w:r>
      <w:r>
        <w:rPr>
          <w:spacing w:val="-2"/>
        </w:rPr>
        <w:t> </w:t>
      </w:r>
      <w:r>
        <w:rPr/>
        <w:t>placed</w:t>
      </w:r>
      <w:r>
        <w:rPr>
          <w:spacing w:val="-2"/>
        </w:rPr>
        <w:t> </w:t>
      </w:r>
      <w:r>
        <w:rPr/>
        <w:t>B.</w:t>
      </w:r>
      <w:r>
        <w:rPr>
          <w:spacing w:val="-3"/>
        </w:rPr>
        <w:t> </w:t>
      </w:r>
      <w:r>
        <w:rPr/>
        <w:t>Kumar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 w:before="9"/>
        <w:ind w:left="199" w:right="257"/>
        <w:jc w:val="both"/>
      </w:pPr>
      <w:r>
        <w:rPr/>
        <w:t>J. D. Unadkat at relatively low overall positions despite </w:t>
      </w:r>
      <w:r>
        <w:rPr/>
        <w:t>their</w:t>
      </w:r>
      <w:r>
        <w:rPr/>
        <w:t> bowling contributions.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This demonstrates why the composite score is treated </w:t>
      </w:r>
      <w:r>
        <w:rPr/>
        <w:t>as supplementary rather than as the primary player-classification </w:t>
      </w:r>
      <w:r>
        <w:rPr>
          <w:spacing w:val="-2"/>
        </w:rPr>
        <w:t>method.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109"/>
        <w:ind w:left="259" w:right="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IV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Bowling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Rank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Quartile</w:t>
      </w:r>
      <w:r>
        <w:rPr>
          <w:smallCaps/>
          <w:spacing w:val="32"/>
          <w:sz w:val="16"/>
        </w:rPr>
        <w:t> </w:t>
      </w:r>
      <w:r>
        <w:rPr>
          <w:smallCaps/>
          <w:spacing w:val="-2"/>
          <w:sz w:val="16"/>
        </w:rPr>
        <w:t>Classification</w:t>
      </w:r>
    </w:p>
    <w:p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8"/>
        <w:gridCol w:w="557"/>
        <w:gridCol w:w="580"/>
        <w:gridCol w:w="479"/>
        <w:gridCol w:w="649"/>
        <w:gridCol w:w="667"/>
        <w:gridCol w:w="1264"/>
      </w:tblGrid>
      <w:tr>
        <w:trPr>
          <w:trHeight w:val="199" w:hRule="atLeast"/>
        </w:trPr>
        <w:tc>
          <w:tcPr>
            <w:tcW w:w="74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ind w:left="88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Player</w:t>
            </w:r>
          </w:p>
        </w:tc>
        <w:tc>
          <w:tcPr>
            <w:tcW w:w="55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Innings</w:t>
            </w:r>
          </w:p>
        </w:tc>
        <w:tc>
          <w:tcPr>
            <w:tcW w:w="58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ind w:right="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Wickets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ind w:right="1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WPM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ind w:right="3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Economy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ind w:right="5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Bowl</w:t>
            </w:r>
            <w:r>
              <w:rPr>
                <w:b/>
                <w:spacing w:val="17"/>
                <w:w w:val="105"/>
                <w:sz w:val="11"/>
              </w:rPr>
              <w:t> </w:t>
            </w:r>
            <w:r>
              <w:rPr>
                <w:b/>
                <w:spacing w:val="-5"/>
                <w:w w:val="105"/>
                <w:sz w:val="11"/>
              </w:rPr>
              <w:t>Avg</w:t>
            </w:r>
          </w:p>
        </w:tc>
        <w:tc>
          <w:tcPr>
            <w:tcW w:w="126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1"/>
              <w:ind w:right="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Class</w:t>
            </w:r>
          </w:p>
        </w:tc>
      </w:tr>
      <w:tr>
        <w:trPr>
          <w:trHeight w:val="162" w:hRule="atLeast"/>
        </w:trPr>
        <w:tc>
          <w:tcPr>
            <w:tcW w:w="7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ind w:left="8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B</w:t>
            </w:r>
            <w:r>
              <w:rPr>
                <w:spacing w:val="13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Kumar</w:t>
            </w:r>
          </w:p>
        </w:tc>
        <w:tc>
          <w:tcPr>
            <w:tcW w:w="5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190</w:t>
            </w:r>
          </w:p>
        </w:tc>
        <w:tc>
          <w:tcPr>
            <w:tcW w:w="5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ind w:right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198</w:t>
            </w:r>
          </w:p>
        </w:tc>
        <w:tc>
          <w:tcPr>
            <w:tcW w:w="4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ind w:right="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1.04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ind w:right="3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1.37</w:t>
            </w:r>
          </w:p>
        </w:tc>
        <w:tc>
          <w:tcPr>
            <w:tcW w:w="6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ind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4.85</w:t>
            </w:r>
          </w:p>
        </w:tc>
        <w:tc>
          <w:tcPr>
            <w:tcW w:w="12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1" w:lineRule="exact" w:before="32"/>
              <w:ind w:right="7"/>
              <w:rPr>
                <w:sz w:val="11"/>
              </w:rPr>
            </w:pPr>
            <w:r>
              <w:rPr>
                <w:w w:val="105"/>
                <w:sz w:val="11"/>
              </w:rPr>
              <w:t>Class</w:t>
            </w:r>
            <w:r>
              <w:rPr>
                <w:spacing w:val="1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4</w:t>
            </w:r>
            <w:r>
              <w:rPr>
                <w:spacing w:val="1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(Top</w:t>
            </w:r>
            <w:r>
              <w:rPr>
                <w:spacing w:val="12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25%)</w:t>
            </w:r>
          </w:p>
        </w:tc>
      </w:tr>
      <w:tr>
        <w:trPr>
          <w:trHeight w:val="132" w:hRule="atLeast"/>
        </w:trPr>
        <w:tc>
          <w:tcPr>
            <w:tcW w:w="748" w:type="dxa"/>
          </w:tcPr>
          <w:p>
            <w:pPr>
              <w:pStyle w:val="TableParagraph"/>
              <w:spacing w:line="111" w:lineRule="exact" w:before="1"/>
              <w:ind w:left="8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SP</w:t>
            </w:r>
            <w:r>
              <w:rPr>
                <w:spacing w:val="14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Narine</w:t>
            </w:r>
          </w:p>
        </w:tc>
        <w:tc>
          <w:tcPr>
            <w:tcW w:w="557" w:type="dxa"/>
          </w:tcPr>
          <w:p>
            <w:pPr>
              <w:pStyle w:val="TableParagraph"/>
              <w:spacing w:line="111" w:lineRule="exact" w:before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187</w:t>
            </w:r>
          </w:p>
        </w:tc>
        <w:tc>
          <w:tcPr>
            <w:tcW w:w="580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192</w:t>
            </w:r>
          </w:p>
        </w:tc>
        <w:tc>
          <w:tcPr>
            <w:tcW w:w="479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1.03</w:t>
            </w:r>
          </w:p>
        </w:tc>
        <w:tc>
          <w:tcPr>
            <w:tcW w:w="649" w:type="dxa"/>
          </w:tcPr>
          <w:p>
            <w:pPr>
              <w:pStyle w:val="TableParagraph"/>
              <w:spacing w:line="111" w:lineRule="exact" w:before="1"/>
              <w:ind w:right="3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1.31</w:t>
            </w:r>
          </w:p>
        </w:tc>
        <w:tc>
          <w:tcPr>
            <w:tcW w:w="667" w:type="dxa"/>
          </w:tcPr>
          <w:p>
            <w:pPr>
              <w:pStyle w:val="TableParagraph"/>
              <w:spacing w:line="111" w:lineRule="exact" w:before="1"/>
              <w:ind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4.96</w:t>
            </w:r>
          </w:p>
        </w:tc>
        <w:tc>
          <w:tcPr>
            <w:tcW w:w="1264" w:type="dxa"/>
          </w:tcPr>
          <w:p>
            <w:pPr>
              <w:pStyle w:val="TableParagraph"/>
              <w:spacing w:line="111" w:lineRule="exact" w:before="1"/>
              <w:ind w:right="7"/>
              <w:rPr>
                <w:sz w:val="11"/>
              </w:rPr>
            </w:pPr>
            <w:r>
              <w:rPr>
                <w:w w:val="105"/>
                <w:sz w:val="11"/>
              </w:rPr>
              <w:t>Class</w:t>
            </w:r>
            <w:r>
              <w:rPr>
                <w:spacing w:val="1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4</w:t>
            </w:r>
            <w:r>
              <w:rPr>
                <w:spacing w:val="1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(Top</w:t>
            </w:r>
            <w:r>
              <w:rPr>
                <w:spacing w:val="12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25%)</w:t>
            </w:r>
          </w:p>
        </w:tc>
      </w:tr>
      <w:tr>
        <w:trPr>
          <w:trHeight w:val="132" w:hRule="atLeast"/>
        </w:trPr>
        <w:tc>
          <w:tcPr>
            <w:tcW w:w="748" w:type="dxa"/>
          </w:tcPr>
          <w:p>
            <w:pPr>
              <w:pStyle w:val="TableParagraph"/>
              <w:spacing w:line="111" w:lineRule="exact" w:before="1"/>
              <w:ind w:left="8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JD</w:t>
            </w:r>
            <w:r>
              <w:rPr>
                <w:spacing w:val="14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Unadkat</w:t>
            </w:r>
          </w:p>
        </w:tc>
        <w:tc>
          <w:tcPr>
            <w:tcW w:w="557" w:type="dxa"/>
          </w:tcPr>
          <w:p>
            <w:pPr>
              <w:pStyle w:val="TableParagraph"/>
              <w:spacing w:line="111" w:lineRule="exact" w:before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111</w:t>
            </w:r>
          </w:p>
        </w:tc>
        <w:tc>
          <w:tcPr>
            <w:tcW w:w="580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110</w:t>
            </w:r>
          </w:p>
        </w:tc>
        <w:tc>
          <w:tcPr>
            <w:tcW w:w="479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0.99</w:t>
            </w:r>
          </w:p>
        </w:tc>
        <w:tc>
          <w:tcPr>
            <w:tcW w:w="649" w:type="dxa"/>
          </w:tcPr>
          <w:p>
            <w:pPr>
              <w:pStyle w:val="TableParagraph"/>
              <w:spacing w:line="111" w:lineRule="exact" w:before="1"/>
              <w:ind w:right="3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1.58</w:t>
            </w:r>
          </w:p>
        </w:tc>
        <w:tc>
          <w:tcPr>
            <w:tcW w:w="667" w:type="dxa"/>
          </w:tcPr>
          <w:p>
            <w:pPr>
              <w:pStyle w:val="TableParagraph"/>
              <w:spacing w:line="111" w:lineRule="exact" w:before="1"/>
              <w:ind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5.43</w:t>
            </w:r>
          </w:p>
        </w:tc>
        <w:tc>
          <w:tcPr>
            <w:tcW w:w="1264" w:type="dxa"/>
          </w:tcPr>
          <w:p>
            <w:pPr>
              <w:pStyle w:val="TableParagraph"/>
              <w:spacing w:line="111" w:lineRule="exact" w:before="1"/>
              <w:ind w:right="7"/>
              <w:rPr>
                <w:sz w:val="11"/>
              </w:rPr>
            </w:pPr>
            <w:r>
              <w:rPr>
                <w:w w:val="105"/>
                <w:sz w:val="11"/>
              </w:rPr>
              <w:t>Class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3</w:t>
            </w:r>
            <w:r>
              <w:rPr>
                <w:spacing w:val="1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(50–</w:t>
            </w:r>
            <w:r>
              <w:rPr>
                <w:spacing w:val="-4"/>
                <w:w w:val="105"/>
                <w:sz w:val="11"/>
              </w:rPr>
              <w:t>75%)</w:t>
            </w:r>
          </w:p>
        </w:tc>
      </w:tr>
      <w:tr>
        <w:trPr>
          <w:trHeight w:val="132" w:hRule="atLeast"/>
        </w:trPr>
        <w:tc>
          <w:tcPr>
            <w:tcW w:w="748" w:type="dxa"/>
          </w:tcPr>
          <w:p>
            <w:pPr>
              <w:pStyle w:val="TableParagraph"/>
              <w:spacing w:line="111" w:lineRule="exact" w:before="1"/>
              <w:ind w:left="8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RA</w:t>
            </w:r>
            <w:r>
              <w:rPr>
                <w:spacing w:val="14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Jadeja</w:t>
            </w:r>
          </w:p>
        </w:tc>
        <w:tc>
          <w:tcPr>
            <w:tcW w:w="557" w:type="dxa"/>
          </w:tcPr>
          <w:p>
            <w:pPr>
              <w:pStyle w:val="TableParagraph"/>
              <w:spacing w:line="111" w:lineRule="exact" w:before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225</w:t>
            </w:r>
          </w:p>
        </w:tc>
        <w:tc>
          <w:tcPr>
            <w:tcW w:w="580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170</w:t>
            </w:r>
          </w:p>
        </w:tc>
        <w:tc>
          <w:tcPr>
            <w:tcW w:w="479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0.76</w:t>
            </w:r>
          </w:p>
        </w:tc>
        <w:tc>
          <w:tcPr>
            <w:tcW w:w="649" w:type="dxa"/>
          </w:tcPr>
          <w:p>
            <w:pPr>
              <w:pStyle w:val="TableParagraph"/>
              <w:spacing w:line="111" w:lineRule="exact" w:before="1"/>
              <w:ind w:right="3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1.68</w:t>
            </w:r>
          </w:p>
        </w:tc>
        <w:tc>
          <w:tcPr>
            <w:tcW w:w="667" w:type="dxa"/>
          </w:tcPr>
          <w:p>
            <w:pPr>
              <w:pStyle w:val="TableParagraph"/>
              <w:spacing w:line="111" w:lineRule="exact" w:before="1"/>
              <w:ind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6.68</w:t>
            </w:r>
          </w:p>
        </w:tc>
        <w:tc>
          <w:tcPr>
            <w:tcW w:w="1264" w:type="dxa"/>
          </w:tcPr>
          <w:p>
            <w:pPr>
              <w:pStyle w:val="TableParagraph"/>
              <w:spacing w:line="111" w:lineRule="exact" w:before="1"/>
              <w:ind w:right="7"/>
              <w:rPr>
                <w:sz w:val="11"/>
              </w:rPr>
            </w:pPr>
            <w:r>
              <w:rPr>
                <w:w w:val="105"/>
                <w:sz w:val="11"/>
              </w:rPr>
              <w:t>Class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2</w:t>
            </w:r>
            <w:r>
              <w:rPr>
                <w:spacing w:val="1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(25–</w:t>
            </w:r>
            <w:r>
              <w:rPr>
                <w:spacing w:val="-4"/>
                <w:w w:val="105"/>
                <w:sz w:val="11"/>
              </w:rPr>
              <w:t>50%)</w:t>
            </w:r>
          </w:p>
        </w:tc>
      </w:tr>
      <w:tr>
        <w:trPr>
          <w:trHeight w:val="132" w:hRule="atLeast"/>
        </w:trPr>
        <w:tc>
          <w:tcPr>
            <w:tcW w:w="748" w:type="dxa"/>
          </w:tcPr>
          <w:p>
            <w:pPr>
              <w:pStyle w:val="TableParagraph"/>
              <w:spacing w:line="111" w:lineRule="exact" w:before="1"/>
              <w:ind w:left="8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RG</w:t>
            </w:r>
            <w:r>
              <w:rPr>
                <w:spacing w:val="14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Sharma</w:t>
            </w:r>
          </w:p>
        </w:tc>
        <w:tc>
          <w:tcPr>
            <w:tcW w:w="557" w:type="dxa"/>
          </w:tcPr>
          <w:p>
            <w:pPr>
              <w:pStyle w:val="TableParagraph"/>
              <w:spacing w:line="111" w:lineRule="exact" w:before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32</w:t>
            </w:r>
          </w:p>
        </w:tc>
        <w:tc>
          <w:tcPr>
            <w:tcW w:w="580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15</w:t>
            </w:r>
          </w:p>
        </w:tc>
        <w:tc>
          <w:tcPr>
            <w:tcW w:w="479" w:type="dxa"/>
          </w:tcPr>
          <w:p>
            <w:pPr>
              <w:pStyle w:val="TableParagraph"/>
              <w:spacing w:line="111" w:lineRule="exact" w:before="1"/>
              <w:ind w:right="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0.47</w:t>
            </w:r>
          </w:p>
        </w:tc>
        <w:tc>
          <w:tcPr>
            <w:tcW w:w="649" w:type="dxa"/>
          </w:tcPr>
          <w:p>
            <w:pPr>
              <w:pStyle w:val="TableParagraph"/>
              <w:spacing w:line="111" w:lineRule="exact" w:before="1"/>
              <w:ind w:right="3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2.39</w:t>
            </w:r>
          </w:p>
        </w:tc>
        <w:tc>
          <w:tcPr>
            <w:tcW w:w="667" w:type="dxa"/>
          </w:tcPr>
          <w:p>
            <w:pPr>
              <w:pStyle w:val="TableParagraph"/>
              <w:spacing w:line="111" w:lineRule="exact" w:before="1"/>
              <w:ind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9.00</w:t>
            </w:r>
          </w:p>
        </w:tc>
        <w:tc>
          <w:tcPr>
            <w:tcW w:w="1264" w:type="dxa"/>
          </w:tcPr>
          <w:p>
            <w:pPr>
              <w:pStyle w:val="TableParagraph"/>
              <w:spacing w:line="111" w:lineRule="exact" w:before="1"/>
              <w:ind w:right="7"/>
              <w:rPr>
                <w:sz w:val="11"/>
              </w:rPr>
            </w:pPr>
            <w:r>
              <w:rPr>
                <w:w w:val="105"/>
                <w:sz w:val="11"/>
              </w:rPr>
              <w:t>Class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1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(Bottom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25%)</w:t>
            </w:r>
          </w:p>
        </w:tc>
      </w:tr>
      <w:tr>
        <w:trPr>
          <w:trHeight w:val="168" w:hRule="atLeast"/>
        </w:trPr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left="88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V</w:t>
            </w:r>
            <w:r>
              <w:rPr>
                <w:spacing w:val="13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Kohli</w:t>
            </w:r>
          </w:p>
        </w:tc>
        <w:tc>
          <w:tcPr>
            <w:tcW w:w="5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26</w:t>
            </w:r>
          </w:p>
        </w:tc>
        <w:tc>
          <w:tcPr>
            <w:tcW w:w="5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right="1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4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right="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0.15</w:t>
            </w:r>
          </w:p>
        </w:tc>
        <w:tc>
          <w:tcPr>
            <w:tcW w:w="6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right="3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2.65</w:t>
            </w:r>
          </w:p>
        </w:tc>
        <w:tc>
          <w:tcPr>
            <w:tcW w:w="6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right="5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27.75</w:t>
            </w:r>
          </w:p>
        </w:tc>
        <w:tc>
          <w:tcPr>
            <w:tcW w:w="12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"/>
              <w:ind w:right="7"/>
              <w:rPr>
                <w:sz w:val="11"/>
              </w:rPr>
            </w:pPr>
            <w:r>
              <w:rPr>
                <w:w w:val="105"/>
                <w:sz w:val="11"/>
              </w:rPr>
              <w:t>Class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1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(Bottom</w:t>
            </w:r>
            <w:r>
              <w:rPr>
                <w:spacing w:val="16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25%)</w:t>
            </w:r>
          </w:p>
        </w:tc>
      </w:tr>
    </w:tbl>
    <w:p>
      <w:pPr>
        <w:pStyle w:val="BodyText"/>
        <w:ind w:left="0"/>
        <w:rPr>
          <w:sz w:val="12"/>
        </w:rPr>
      </w:pPr>
    </w:p>
    <w:p>
      <w:pPr>
        <w:pStyle w:val="BodyText"/>
        <w:ind w:left="0"/>
        <w:rPr>
          <w:sz w:val="12"/>
        </w:rPr>
      </w:pPr>
    </w:p>
    <w:p>
      <w:pPr>
        <w:pStyle w:val="BodyText"/>
        <w:spacing w:before="13"/>
        <w:ind w:left="0"/>
        <w:rPr>
          <w:sz w:val="12"/>
        </w:rPr>
      </w:pPr>
    </w:p>
    <w:p>
      <w:pPr>
        <w:spacing w:before="1"/>
        <w:ind w:left="259" w:right="0" w:firstLine="0"/>
        <w:jc w:val="both"/>
        <w:rPr>
          <w:i/>
          <w:sz w:val="20"/>
        </w:rPr>
      </w:pPr>
      <w:r>
        <w:rPr>
          <w:i/>
          <w:sz w:val="20"/>
        </w:rPr>
        <w:t>C.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Pairwise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Head-to-Head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Comparison</w:t>
      </w:r>
    </w:p>
    <w:p>
      <w:pPr>
        <w:pStyle w:val="BodyText"/>
        <w:spacing w:line="249" w:lineRule="auto" w:before="84"/>
        <w:ind w:firstLine="199"/>
        <w:jc w:val="both"/>
      </w:pPr>
      <w:r>
        <w:rPr/>
        <w:t>The</w:t>
      </w:r>
      <w:r>
        <w:rPr>
          <w:spacing w:val="-8"/>
        </w:rPr>
        <w:t> </w:t>
      </w:r>
      <w:r>
        <w:rPr/>
        <w:t>quantile-based</w:t>
      </w:r>
      <w:r>
        <w:rPr>
          <w:spacing w:val="-8"/>
        </w:rPr>
        <w:t> </w:t>
      </w:r>
      <w:r>
        <w:rPr/>
        <w:t>tier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positions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player</w:t>
      </w:r>
      <w:r>
        <w:rPr>
          <w:spacing w:val="-8"/>
        </w:rPr>
        <w:t> </w:t>
      </w:r>
      <w:r>
        <w:rPr/>
        <w:t>relative to the population. However, players within the same tier can still exhibit substantial differences in individual performance </w:t>
      </w:r>
      <w:r>
        <w:rPr>
          <w:spacing w:val="-2"/>
        </w:rPr>
        <w:t>metrics.</w:t>
      </w:r>
    </w:p>
    <w:p>
      <w:pPr>
        <w:pStyle w:val="BodyText"/>
        <w:spacing w:line="249" w:lineRule="auto" w:before="4"/>
        <w:ind w:firstLine="199"/>
        <w:jc w:val="both"/>
      </w:pPr>
      <w:r>
        <w:rPr/>
        <w:t>A pairwise comparison layer was therefore developed </w:t>
      </w:r>
      <w:r>
        <w:rPr/>
        <w:t>to quantify direct player-to-player differences.</w:t>
      </w:r>
    </w:p>
    <w:p>
      <w:pPr>
        <w:pStyle w:val="BodyText"/>
        <w:spacing w:line="260" w:lineRule="exact"/>
        <w:ind w:left="458"/>
        <w:jc w:val="both"/>
        <w:rPr>
          <w:rFonts w:ascii="Calibri" w:hAnsi="Calibri"/>
          <w:i/>
        </w:rPr>
      </w:pPr>
      <w:r>
        <w:rPr/>
        <w:t>For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pair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players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14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4"/>
        </w:rPr>
        <w:t> </w:t>
      </w:r>
      <w:r>
        <w:rPr>
          <w:rFonts w:ascii="Calibri" w:hAnsi="Calibri"/>
          <w:i/>
          <w:spacing w:val="-10"/>
        </w:rPr>
        <w:t>n</w:t>
      </w:r>
    </w:p>
    <w:p>
      <w:pPr>
        <w:pStyle w:val="BodyText"/>
        <w:spacing w:line="212" w:lineRule="exact"/>
        <w:jc w:val="both"/>
      </w:pPr>
      <w:r>
        <w:rPr/>
        <w:t>comparison</w:t>
      </w:r>
      <w:r>
        <w:rPr>
          <w:spacing w:val="12"/>
        </w:rPr>
        <w:t> </w:t>
      </w:r>
      <w:r>
        <w:rPr/>
        <w:t>matrix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constructed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each</w:t>
      </w:r>
      <w:r>
        <w:rPr>
          <w:spacing w:val="12"/>
        </w:rPr>
        <w:t> </w:t>
      </w:r>
      <w:r>
        <w:rPr/>
        <w:t>relevant</w:t>
      </w:r>
      <w:r>
        <w:rPr>
          <w:spacing w:val="12"/>
        </w:rPr>
        <w:t> </w:t>
      </w:r>
      <w:r>
        <w:rPr>
          <w:spacing w:val="-2"/>
        </w:rPr>
        <w:t>metric.</w:t>
      </w:r>
    </w:p>
    <w:p>
      <w:pPr>
        <w:pStyle w:val="BodyText"/>
        <w:spacing w:line="242" w:lineRule="exact" w:before="9"/>
        <w:ind w:left="458"/>
        <w:jc w:val="both"/>
      </w:pP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rFonts w:ascii="Calibri"/>
          <w:i/>
          <w:w w:val="130"/>
        </w:rPr>
        <w:t>x</w:t>
      </w:r>
      <w:r>
        <w:rPr>
          <w:rFonts w:ascii="Calibri"/>
          <w:i/>
          <w:w w:val="130"/>
          <w:vertAlign w:val="subscript"/>
        </w:rPr>
        <w:t>i</w:t>
      </w:r>
      <w:r>
        <w:rPr>
          <w:rFonts w:ascii="Calibri"/>
          <w:i/>
          <w:spacing w:val="-5"/>
          <w:w w:val="130"/>
          <w:vertAlign w:val="baseline"/>
        </w:rPr>
        <w:t> </w:t>
      </w:r>
      <w:r>
        <w:rPr>
          <w:w w:val="105"/>
          <w:vertAlign w:val="baseline"/>
        </w:rPr>
        <w:t>denote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performance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metric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player</w:t>
      </w:r>
    </w:p>
    <w:p>
      <w:pPr>
        <w:spacing w:line="242" w:lineRule="exact" w:before="0"/>
        <w:ind w:left="259" w:right="0" w:firstLine="0"/>
        <w:jc w:val="left"/>
        <w:rPr>
          <w:sz w:val="20"/>
        </w:rPr>
      </w:pPr>
      <w:r>
        <w:rPr>
          <w:rFonts w:ascii="Calibri"/>
          <w:i/>
          <w:spacing w:val="-5"/>
          <w:w w:val="125"/>
          <w:sz w:val="20"/>
        </w:rPr>
        <w:t>i</w:t>
      </w:r>
      <w:r>
        <w:rPr>
          <w:spacing w:val="-5"/>
          <w:w w:val="125"/>
          <w:sz w:val="20"/>
        </w:rPr>
        <w:t>.</w:t>
      </w:r>
    </w:p>
    <w:p>
      <w:pPr>
        <w:pStyle w:val="BodyText"/>
        <w:spacing w:line="249" w:lineRule="auto" w:before="2"/>
        <w:ind w:firstLine="199"/>
        <w:jc w:val="both"/>
      </w:pPr>
      <w:r>
        <w:rPr/>
        <w:t>For a higher-is-better metric, such as batting average </w:t>
      </w:r>
      <w:r>
        <w:rPr/>
        <w:t>or batting strike rate,</w:t>
      </w:r>
    </w:p>
    <w:p>
      <w:pPr>
        <w:tabs>
          <w:tab w:pos="4948" w:val="left" w:leader="none"/>
        </w:tabs>
        <w:spacing w:before="226"/>
        <w:ind w:left="214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4567491</wp:posOffset>
                </wp:positionH>
                <wp:positionV relativeFrom="paragraph">
                  <wp:posOffset>458863</wp:posOffset>
                </wp:positionV>
                <wp:extent cx="104775" cy="1270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44989pt;margin-top:36.131012pt;width:8.25pt;height:10pt;mso-position-horizontal-relative:page;mso-position-vertical-relative:paragraph;z-index:15740928" type="#_x0000_t202" id="docshape1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50"/>
          <w:sz w:val="20"/>
        </w:rPr>
        <w:t>D</w:t>
      </w:r>
      <w:r>
        <w:rPr>
          <w:rFonts w:ascii="Calibri" w:hAnsi="Calibri"/>
          <w:i/>
          <w:w w:val="150"/>
          <w:sz w:val="20"/>
          <w:vertAlign w:val="subscript"/>
        </w:rPr>
        <w:t>ij</w:t>
      </w:r>
      <w:r>
        <w:rPr>
          <w:rFonts w:ascii="Calibri" w:hAnsi="Calibri"/>
          <w:i/>
          <w:spacing w:val="-8"/>
          <w:w w:val="150"/>
          <w:sz w:val="20"/>
          <w:vertAlign w:val="baseline"/>
        </w:rPr>
        <w:t> </w:t>
      </w:r>
      <w:r>
        <w:rPr>
          <w:rFonts w:ascii="Calibri" w:hAnsi="Calibri"/>
          <w:w w:val="150"/>
          <w:sz w:val="20"/>
          <w:vertAlign w:val="baseline"/>
        </w:rPr>
        <w:t>=</w:t>
      </w:r>
      <w:r>
        <w:rPr>
          <w:rFonts w:ascii="Calibri" w:hAnsi="Calibri"/>
          <w:spacing w:val="-17"/>
          <w:w w:val="150"/>
          <w:sz w:val="20"/>
          <w:vertAlign w:val="baseline"/>
        </w:rPr>
        <w:t> </w:t>
      </w:r>
      <w:r>
        <w:rPr>
          <w:rFonts w:ascii="Calibri" w:hAnsi="Calibri"/>
          <w:i/>
          <w:w w:val="150"/>
          <w:sz w:val="20"/>
          <w:vertAlign w:val="baseline"/>
        </w:rPr>
        <w:t>x</w:t>
      </w:r>
      <w:r>
        <w:rPr>
          <w:rFonts w:ascii="Calibri" w:hAnsi="Calibri"/>
          <w:i/>
          <w:w w:val="150"/>
          <w:sz w:val="20"/>
          <w:vertAlign w:val="subscript"/>
        </w:rPr>
        <w:t>i</w:t>
      </w:r>
      <w:r>
        <w:rPr>
          <w:rFonts w:ascii="Calibri" w:hAnsi="Calibri"/>
          <w:i/>
          <w:spacing w:val="-17"/>
          <w:w w:val="150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50"/>
          <w:sz w:val="20"/>
          <w:vertAlign w:val="baseline"/>
        </w:rPr>
        <w:t>x</w:t>
      </w:r>
      <w:r>
        <w:rPr>
          <w:rFonts w:ascii="Calibri" w:hAnsi="Calibri"/>
          <w:i/>
          <w:spacing w:val="-5"/>
          <w:w w:val="150"/>
          <w:sz w:val="20"/>
          <w:vertAlign w:val="subscript"/>
        </w:rPr>
        <w:t>j</w:t>
      </w:r>
      <w:r>
        <w:rPr>
          <w:rFonts w:ascii="Calibri" w:hAnsi="Calibri"/>
          <w:i/>
          <w:spacing w:val="-5"/>
          <w:w w:val="150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(15)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br w:type="column"/>
      </w:r>
      <w:r>
        <w:rPr/>
        <w:t>Four matrices were generated for batting average, </w:t>
      </w:r>
      <w:r>
        <w:rPr/>
        <w:t>batting strike rate, bowling average, and economy rate.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The matrices were visualized using diverging red-to-</w:t>
      </w:r>
      <w:r>
        <w:rPr/>
        <w:t>green heatmaps centered at zero. Green represents an advantage for the</w:t>
      </w:r>
      <w:r>
        <w:rPr>
          <w:spacing w:val="-1"/>
        </w:rPr>
        <w:t> </w:t>
      </w:r>
      <w:r>
        <w:rPr/>
        <w:t>row player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red represents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advantage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column </w:t>
      </w:r>
      <w:r>
        <w:rPr>
          <w:spacing w:val="-2"/>
        </w:rPr>
        <w:t>player.</w:t>
      </w:r>
    </w:p>
    <w:p>
      <w:pPr>
        <w:pStyle w:val="BodyText"/>
        <w:spacing w:before="37"/>
        <w:ind w:left="0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3978497</wp:posOffset>
            </wp:positionH>
            <wp:positionV relativeFrom="paragraph">
              <wp:posOffset>185248</wp:posOffset>
            </wp:positionV>
            <wp:extent cx="3115437" cy="124682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43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ind w:left="0"/>
      </w:pPr>
    </w:p>
    <w:p>
      <w:pPr>
        <w:spacing w:line="232" w:lineRule="auto" w:before="1"/>
        <w:ind w:left="199" w:right="257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-3"/>
          <w:sz w:val="16"/>
        </w:rPr>
        <w:t> </w:t>
      </w:r>
      <w:r>
        <w:rPr>
          <w:sz w:val="16"/>
        </w:rPr>
        <w:t>9.</w:t>
      </w:r>
      <w:r>
        <w:rPr>
          <w:spacing w:val="36"/>
          <w:sz w:val="16"/>
        </w:rPr>
        <w:t> </w:t>
      </w:r>
      <w:r>
        <w:rPr>
          <w:sz w:val="16"/>
        </w:rPr>
        <w:t>Pairwise</w:t>
      </w:r>
      <w:r>
        <w:rPr>
          <w:spacing w:val="-3"/>
          <w:sz w:val="16"/>
        </w:rPr>
        <w:t> </w:t>
      </w:r>
      <w:r>
        <w:rPr>
          <w:sz w:val="16"/>
        </w:rPr>
        <w:t>head-to-head</w:t>
      </w:r>
      <w:r>
        <w:rPr>
          <w:spacing w:val="-3"/>
          <w:sz w:val="16"/>
        </w:rPr>
        <w:t> </w:t>
      </w:r>
      <w:r>
        <w:rPr>
          <w:sz w:val="16"/>
        </w:rPr>
        <w:t>comparison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longevity-qualified</w:t>
      </w:r>
      <w:r>
        <w:rPr>
          <w:spacing w:val="-3"/>
          <w:sz w:val="16"/>
        </w:rPr>
        <w:t> </w:t>
      </w:r>
      <w:r>
        <w:rPr>
          <w:sz w:val="16"/>
        </w:rPr>
        <w:t>batters.</w:t>
      </w:r>
      <w:r>
        <w:rPr>
          <w:spacing w:val="-3"/>
          <w:sz w:val="16"/>
        </w:rPr>
        <w:t> </w:t>
      </w:r>
      <w:r>
        <w:rPr>
          <w:sz w:val="16"/>
        </w:rPr>
        <w:t>Left:</w:t>
      </w:r>
      <w:r>
        <w:rPr>
          <w:spacing w:val="40"/>
          <w:sz w:val="16"/>
        </w:rPr>
        <w:t> </w:t>
      </w:r>
      <w:r>
        <w:rPr>
          <w:sz w:val="16"/>
        </w:rPr>
        <w:t>pairwise difference in batting average. Right: pairwise difference in batting</w:t>
      </w:r>
      <w:r>
        <w:rPr>
          <w:spacing w:val="40"/>
          <w:sz w:val="16"/>
        </w:rPr>
        <w:t> </w:t>
      </w:r>
      <w:r>
        <w:rPr>
          <w:sz w:val="16"/>
        </w:rPr>
        <w:t>strike rate. Green cells indicate an advantage for the row player, while red</w:t>
      </w:r>
      <w:r>
        <w:rPr>
          <w:spacing w:val="40"/>
          <w:sz w:val="16"/>
        </w:rPr>
        <w:t> </w:t>
      </w:r>
      <w:r>
        <w:rPr>
          <w:sz w:val="16"/>
        </w:rPr>
        <w:t>cells indicate an advantage for the column player. Diagonal elements are zero</w:t>
      </w:r>
      <w:r>
        <w:rPr>
          <w:spacing w:val="40"/>
          <w:sz w:val="16"/>
        </w:rPr>
        <w:t> </w:t>
      </w:r>
      <w:r>
        <w:rPr>
          <w:sz w:val="16"/>
        </w:rPr>
        <w:t>by construction.</w:t>
      </w:r>
    </w:p>
    <w:p>
      <w:pPr>
        <w:pStyle w:val="BodyText"/>
        <w:spacing w:before="33"/>
        <w:ind w:left="0"/>
        <w:rPr>
          <w:sz w:val="16"/>
        </w:rPr>
      </w:pPr>
    </w:p>
    <w:p>
      <w:pPr>
        <w:pStyle w:val="BodyText"/>
        <w:ind w:left="398"/>
      </w:pPr>
      <w:r>
        <w:rPr/>
        <w:t>Figure</w:t>
      </w:r>
      <w:r>
        <w:rPr>
          <w:spacing w:val="14"/>
        </w:rPr>
        <w:t> </w:t>
      </w:r>
      <w:r>
        <w:rPr/>
        <w:t>9</w:t>
      </w:r>
      <w:r>
        <w:rPr>
          <w:spacing w:val="14"/>
        </w:rPr>
        <w:t> </w:t>
      </w:r>
      <w:r>
        <w:rPr/>
        <w:t>presents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pairwise</w:t>
      </w:r>
      <w:r>
        <w:rPr>
          <w:spacing w:val="15"/>
        </w:rPr>
        <w:t> </w:t>
      </w:r>
      <w:r>
        <w:rPr/>
        <w:t>batting</w:t>
      </w:r>
      <w:r>
        <w:rPr>
          <w:spacing w:val="14"/>
        </w:rPr>
        <w:t> </w:t>
      </w:r>
      <w:r>
        <w:rPr>
          <w:spacing w:val="-2"/>
        </w:rPr>
        <w:t>comparisons.</w:t>
      </w:r>
    </w:p>
    <w:p>
      <w:pPr>
        <w:pStyle w:val="BodyText"/>
        <w:spacing w:line="249" w:lineRule="auto" w:before="9"/>
        <w:ind w:left="199" w:right="257" w:firstLine="199"/>
        <w:jc w:val="both"/>
      </w:pPr>
      <w:r>
        <w:rPr/>
        <w:t>For</w:t>
      </w:r>
      <w:r>
        <w:rPr>
          <w:spacing w:val="-11"/>
        </w:rPr>
        <w:t> </w:t>
      </w:r>
      <w:r>
        <w:rPr/>
        <w:t>V.</w:t>
      </w:r>
      <w:r>
        <w:rPr>
          <w:spacing w:val="-11"/>
        </w:rPr>
        <w:t> </w:t>
      </w:r>
      <w:r>
        <w:rPr/>
        <w:t>Kohli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M.</w:t>
      </w:r>
      <w:r>
        <w:rPr>
          <w:spacing w:val="-11"/>
        </w:rPr>
        <w:t> </w:t>
      </w:r>
      <w:r>
        <w:rPr/>
        <w:t>S.</w:t>
      </w:r>
      <w:r>
        <w:rPr>
          <w:spacing w:val="-11"/>
        </w:rPr>
        <w:t> </w:t>
      </w:r>
      <w:r>
        <w:rPr/>
        <w:t>Dhoni,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batting</w:t>
      </w:r>
      <w:r>
        <w:rPr>
          <w:spacing w:val="-11"/>
        </w:rPr>
        <w:t> </w:t>
      </w:r>
      <w:r>
        <w:rPr/>
        <w:t>averages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39.56 and 38.30: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19"/>
        <w:ind w:left="458"/>
      </w:pPr>
      <w:r>
        <w:rPr>
          <w:spacing w:val="-2"/>
        </w:rPr>
        <w:t>Therefore,</w:t>
      </w:r>
    </w:p>
    <w:p>
      <w:pPr>
        <w:spacing w:line="218" w:lineRule="auto" w:before="121"/>
        <w:ind w:left="458" w:right="0" w:firstLine="5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4"/>
          <w:w w:val="130"/>
          <w:sz w:val="14"/>
        </w:rPr>
        <w:t>Avg</w:t>
      </w:r>
      <w:r>
        <w:rPr>
          <w:rFonts w:ascii="Calibri"/>
          <w:spacing w:val="40"/>
          <w:w w:val="130"/>
          <w:sz w:val="14"/>
        </w:rPr>
        <w:t> </w:t>
      </w:r>
      <w:r>
        <w:rPr>
          <w:rFonts w:ascii="Calibri"/>
          <w:spacing w:val="-2"/>
          <w:w w:val="125"/>
          <w:sz w:val="14"/>
        </w:rPr>
        <w:t>Kohli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Dhoni</w:t>
      </w:r>
    </w:p>
    <w:p>
      <w:pPr>
        <w:pStyle w:val="BodyText"/>
        <w:tabs>
          <w:tab w:pos="2683" w:val="left" w:leader="none"/>
        </w:tabs>
        <w:spacing w:before="119"/>
        <w:ind w:left="25"/>
      </w:pPr>
      <w:r>
        <w:rPr/>
        <w:br w:type="column"/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4"/>
          <w:w w:val="120"/>
        </w:rPr>
        <w:t> </w:t>
      </w:r>
      <w:r>
        <w:rPr>
          <w:rFonts w:ascii="Calibri" w:hAnsi="Calibri"/>
          <w:w w:val="110"/>
        </w:rPr>
        <w:t>39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56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38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30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0"/>
          <w:w w:val="120"/>
        </w:rPr>
        <w:t> </w:t>
      </w:r>
      <w:r>
        <w:rPr>
          <w:rFonts w:ascii="Calibri" w:hAnsi="Calibri"/>
          <w:spacing w:val="-4"/>
          <w:w w:val="110"/>
        </w:rPr>
        <w:t>1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spacing w:val="-4"/>
          <w:w w:val="110"/>
        </w:rPr>
        <w:t>26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(22)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1334" w:space="4845"/>
            <w:col w:w="1306" w:space="40"/>
            <w:col w:w="3275"/>
          </w:cols>
        </w:sectPr>
      </w:pPr>
    </w:p>
    <w:p>
      <w:pPr>
        <w:pStyle w:val="BodyText"/>
        <w:spacing w:before="57"/>
        <w:ind w:left="0"/>
      </w:pPr>
    </w:p>
    <w:p>
      <w:pPr>
        <w:tabs>
          <w:tab w:pos="2819" w:val="left" w:leader="none"/>
          <w:tab w:pos="4948" w:val="left" w:leader="none"/>
        </w:tabs>
        <w:spacing w:line="285" w:lineRule="exact" w:before="0"/>
        <w:ind w:left="708" w:right="0" w:firstLine="0"/>
        <w:jc w:val="left"/>
        <w:rPr>
          <w:sz w:val="20"/>
        </w:rPr>
      </w:pPr>
      <w:r>
        <w:rPr>
          <w:rFonts w:ascii="Calibri" w:hAnsi="Calibri"/>
          <w:i/>
          <w:w w:val="155"/>
          <w:sz w:val="20"/>
        </w:rPr>
        <w:t>D</w:t>
      </w:r>
      <w:r>
        <w:rPr>
          <w:rFonts w:ascii="Calibri" w:hAnsi="Calibri"/>
          <w:i/>
          <w:w w:val="155"/>
          <w:sz w:val="20"/>
          <w:vertAlign w:val="subscript"/>
        </w:rPr>
        <w:t>ij</w:t>
      </w:r>
      <w:r>
        <w:rPr>
          <w:rFonts w:ascii="Calibri" w:hAnsi="Calibri"/>
          <w:i/>
          <w:spacing w:val="-18"/>
          <w:w w:val="15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baseline"/>
        </w:rPr>
        <w:t>&gt;</w:t>
      </w:r>
      <w:r>
        <w:rPr>
          <w:rFonts w:ascii="Calibri" w:hAnsi="Calibri"/>
          <w:i/>
          <w:spacing w:val="-18"/>
          <w:w w:val="15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spacing w:val="-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⇒</w:t>
      </w:r>
      <w:r>
        <w:rPr>
          <w:rFonts w:ascii="Lucida Sans Unicode" w:hAnsi="Lucida Sans Unicode"/>
          <w:spacing w:val="-1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baseline"/>
        </w:rPr>
        <w:t>x</w:t>
      </w:r>
      <w:r>
        <w:rPr>
          <w:rFonts w:ascii="Calibri" w:hAnsi="Calibri"/>
          <w:i/>
          <w:w w:val="155"/>
          <w:sz w:val="20"/>
          <w:vertAlign w:val="subscript"/>
        </w:rPr>
        <w:t>i</w:t>
      </w:r>
      <w:r>
        <w:rPr>
          <w:rFonts w:ascii="Calibri" w:hAnsi="Calibri"/>
          <w:i/>
          <w:spacing w:val="-14"/>
          <w:w w:val="15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baseline"/>
        </w:rPr>
        <w:t>&gt;</w:t>
      </w:r>
      <w:r>
        <w:rPr>
          <w:rFonts w:ascii="Calibri" w:hAnsi="Calibri"/>
          <w:i/>
          <w:spacing w:val="-17"/>
          <w:w w:val="15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55"/>
          <w:sz w:val="20"/>
          <w:vertAlign w:val="baseline"/>
        </w:rPr>
        <w:t>x</w:t>
      </w:r>
      <w:r>
        <w:rPr>
          <w:rFonts w:ascii="Calibri" w:hAnsi="Calibri"/>
          <w:i/>
          <w:spacing w:val="-5"/>
          <w:w w:val="155"/>
          <w:sz w:val="20"/>
          <w:vertAlign w:val="subscript"/>
        </w:rPr>
        <w:t>j</w:t>
      </w:r>
      <w:r>
        <w:rPr>
          <w:rFonts w:ascii="Calibri" w:hAnsi="Calibri"/>
          <w:i/>
          <w:spacing w:val="-5"/>
          <w:w w:val="155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55"/>
          <w:sz w:val="20"/>
          <w:vertAlign w:val="baseline"/>
        </w:rPr>
        <w:t>D</w:t>
      </w:r>
      <w:r>
        <w:rPr>
          <w:rFonts w:ascii="Calibri" w:hAnsi="Calibri"/>
          <w:i/>
          <w:w w:val="155"/>
          <w:sz w:val="20"/>
          <w:vertAlign w:val="subscript"/>
        </w:rPr>
        <w:t>ij</w:t>
      </w:r>
      <w:r>
        <w:rPr>
          <w:rFonts w:ascii="Calibri" w:hAnsi="Calibri"/>
          <w:i/>
          <w:spacing w:val="-18"/>
          <w:w w:val="15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baseline"/>
        </w:rPr>
        <w:t>&lt;</w:t>
      </w:r>
      <w:r>
        <w:rPr>
          <w:rFonts w:ascii="Calibri" w:hAnsi="Calibri"/>
          <w:i/>
          <w:spacing w:val="-18"/>
          <w:w w:val="15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spacing w:val="-9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⇒</w:t>
      </w:r>
      <w:r>
        <w:rPr>
          <w:rFonts w:ascii="Lucida Sans Unicode" w:hAnsi="Lucida Sans Unicode"/>
          <w:spacing w:val="-1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baseline"/>
        </w:rPr>
        <w:t>x</w:t>
      </w:r>
      <w:r>
        <w:rPr>
          <w:rFonts w:ascii="Calibri" w:hAnsi="Calibri"/>
          <w:i/>
          <w:w w:val="155"/>
          <w:sz w:val="20"/>
          <w:vertAlign w:val="subscript"/>
        </w:rPr>
        <w:t>i</w:t>
      </w:r>
      <w:r>
        <w:rPr>
          <w:rFonts w:ascii="Calibri" w:hAnsi="Calibri"/>
          <w:i/>
          <w:spacing w:val="-14"/>
          <w:w w:val="155"/>
          <w:sz w:val="20"/>
          <w:vertAlign w:val="baseline"/>
        </w:rPr>
        <w:t> </w:t>
      </w:r>
      <w:r>
        <w:rPr>
          <w:rFonts w:ascii="Calibri" w:hAnsi="Calibri"/>
          <w:i/>
          <w:w w:val="155"/>
          <w:sz w:val="20"/>
          <w:vertAlign w:val="baseline"/>
        </w:rPr>
        <w:t>&lt;</w:t>
      </w:r>
      <w:r>
        <w:rPr>
          <w:rFonts w:ascii="Calibri" w:hAnsi="Calibri"/>
          <w:i/>
          <w:spacing w:val="-17"/>
          <w:w w:val="15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55"/>
          <w:sz w:val="20"/>
          <w:vertAlign w:val="baseline"/>
        </w:rPr>
        <w:t>x</w:t>
      </w:r>
      <w:r>
        <w:rPr>
          <w:rFonts w:ascii="Calibri" w:hAnsi="Calibri"/>
          <w:i/>
          <w:spacing w:val="-5"/>
          <w:w w:val="155"/>
          <w:sz w:val="20"/>
          <w:vertAlign w:val="subscript"/>
        </w:rPr>
        <w:t>j</w:t>
      </w:r>
      <w:r>
        <w:rPr>
          <w:rFonts w:ascii="Calibri" w:hAnsi="Calibri"/>
          <w:i/>
          <w:spacing w:val="-5"/>
          <w:w w:val="15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(16)</w:t>
      </w:r>
    </w:p>
    <w:p>
      <w:pPr>
        <w:pStyle w:val="BodyText"/>
        <w:spacing w:before="94"/>
        <w:ind w:left="398"/>
      </w:pPr>
      <w:r>
        <w:rPr/>
        <w:br w:type="column"/>
      </w:r>
      <w:r>
        <w:rPr/>
        <w:t>The</w:t>
      </w:r>
      <w:r>
        <w:rPr>
          <w:spacing w:val="14"/>
        </w:rPr>
        <w:t> </w:t>
      </w:r>
      <w:r>
        <w:rPr/>
        <w:t>strike</w:t>
      </w:r>
      <w:r>
        <w:rPr>
          <w:spacing w:val="15"/>
        </w:rPr>
        <w:t> </w:t>
      </w:r>
      <w:r>
        <w:rPr/>
        <w:t>rates</w:t>
      </w:r>
      <w:r>
        <w:rPr>
          <w:spacing w:val="15"/>
        </w:rPr>
        <w:t> </w:t>
      </w:r>
      <w:r>
        <w:rPr/>
        <w:t>are</w:t>
      </w:r>
      <w:r>
        <w:rPr>
          <w:spacing w:val="15"/>
        </w:rPr>
        <w:t> </w:t>
      </w:r>
      <w:r>
        <w:rPr/>
        <w:t>132.89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137.45: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41"/>
        <w:ind w:left="458"/>
      </w:pPr>
      <w:r>
        <w:rPr/>
        <w:t>A</w:t>
      </w:r>
      <w:r>
        <w:rPr>
          <w:spacing w:val="10"/>
        </w:rPr>
        <w:t> </w:t>
      </w:r>
      <w:r>
        <w:rPr/>
        <w:t>positive</w:t>
      </w:r>
      <w:r>
        <w:rPr>
          <w:spacing w:val="10"/>
        </w:rPr>
        <w:t> </w:t>
      </w:r>
      <w:r>
        <w:rPr/>
        <w:t>value</w:t>
      </w:r>
      <w:r>
        <w:rPr>
          <w:spacing w:val="10"/>
        </w:rPr>
        <w:t> </w:t>
      </w:r>
      <w:r>
        <w:rPr/>
        <w:t>indicates</w:t>
      </w:r>
      <w:r>
        <w:rPr>
          <w:spacing w:val="11"/>
        </w:rPr>
        <w:t> </w:t>
      </w:r>
      <w:r>
        <w:rPr/>
        <w:t>an</w:t>
      </w:r>
      <w:r>
        <w:rPr>
          <w:spacing w:val="10"/>
        </w:rPr>
        <w:t> </w:t>
      </w:r>
      <w:r>
        <w:rPr/>
        <w:t>advantage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row</w:t>
      </w:r>
      <w:r>
        <w:rPr>
          <w:spacing w:val="10"/>
        </w:rPr>
        <w:t> </w:t>
      </w:r>
      <w:r>
        <w:rPr>
          <w:spacing w:val="-2"/>
        </w:rPr>
        <w:t>player,</w:t>
      </w:r>
    </w:p>
    <w:p>
      <w:pPr>
        <w:spacing w:line="123" w:lineRule="exact" w:before="0"/>
        <w:ind w:left="464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45"/>
          <w:sz w:val="14"/>
        </w:rPr>
        <w:t>SR</w:t>
      </w:r>
    </w:p>
    <w:p>
      <w:pPr>
        <w:spacing w:line="151" w:lineRule="exact" w:before="0"/>
        <w:ind w:left="458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4455033</wp:posOffset>
                </wp:positionH>
                <wp:positionV relativeFrom="paragraph">
                  <wp:posOffset>-54024</wp:posOffset>
                </wp:positionV>
                <wp:extent cx="104775" cy="1270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790009pt;margin-top:-4.253873pt;width:8.25pt;height:10pt;mso-position-horizontal-relative:page;mso-position-vertical-relative:paragraph;z-index:15741440" type="#_x0000_t202" id="docshape1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25"/>
          <w:sz w:val="14"/>
        </w:rPr>
        <w:t>Kohli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Dhoni</w:t>
      </w:r>
    </w:p>
    <w:p>
      <w:pPr>
        <w:pStyle w:val="BodyText"/>
        <w:tabs>
          <w:tab w:pos="2860" w:val="left" w:leader="none"/>
        </w:tabs>
        <w:spacing w:line="275" w:lineRule="exact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10"/>
        </w:rPr>
        <w:t>132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89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137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45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7"/>
          <w:w w:val="110"/>
        </w:rPr>
        <w:t> </w:t>
      </w:r>
      <w:r>
        <w:rPr>
          <w:rFonts w:ascii="Lucida Sans Unicode" w:hAnsi="Lucida Sans Unicode"/>
          <w:spacing w:val="-2"/>
          <w:w w:val="110"/>
        </w:rPr>
        <w:t>−</w:t>
      </w:r>
      <w:r>
        <w:rPr>
          <w:rFonts w:ascii="Calibri" w:hAnsi="Calibri"/>
          <w:spacing w:val="-2"/>
          <w:w w:val="110"/>
        </w:rPr>
        <w:t>4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56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(23)</w:t>
      </w:r>
    </w:p>
    <w:p>
      <w:pPr>
        <w:pStyle w:val="BodyText"/>
        <w:spacing w:after="0" w:line="275" w:lineRule="exact"/>
        <w:sectPr>
          <w:type w:val="continuous"/>
          <w:pgSz w:w="12240" w:h="15840"/>
          <w:pgMar w:top="900" w:bottom="280" w:left="720" w:right="720"/>
          <w:cols w:num="3" w:equalWidth="0">
            <w:col w:w="5321" w:space="681"/>
            <w:col w:w="1306" w:space="40"/>
            <w:col w:w="3452"/>
          </w:cols>
        </w:sectPr>
      </w:pPr>
    </w:p>
    <w:p>
      <w:pPr>
        <w:pStyle w:val="BodyText"/>
        <w:spacing w:line="249" w:lineRule="auto" w:before="9"/>
      </w:pPr>
      <w:r>
        <w:rPr/>
        <w:t>while a negative value indicates an advantage for the </w:t>
      </w:r>
      <w:r>
        <w:rPr/>
        <w:t>column </w:t>
      </w:r>
      <w:r>
        <w:rPr>
          <w:spacing w:val="-2"/>
        </w:rPr>
        <w:t>player.</w:t>
      </w:r>
    </w:p>
    <w:p>
      <w:pPr>
        <w:pStyle w:val="BodyText"/>
        <w:spacing w:line="249" w:lineRule="auto"/>
        <w:ind w:firstLine="199"/>
      </w:pPr>
      <w:r>
        <w:rPr/>
        <w:t>For</w:t>
      </w:r>
      <w:r>
        <w:rPr>
          <w:spacing w:val="-11"/>
        </w:rPr>
        <w:t> </w:t>
      </w:r>
      <w:r>
        <w:rPr/>
        <w:t>lower-is-better</w:t>
      </w:r>
      <w:r>
        <w:rPr>
          <w:spacing w:val="-11"/>
        </w:rPr>
        <w:t> </w:t>
      </w:r>
      <w:r>
        <w:rPr/>
        <w:t>bowling</w:t>
      </w:r>
      <w:r>
        <w:rPr>
          <w:spacing w:val="-11"/>
        </w:rPr>
        <w:t> </w:t>
      </w:r>
      <w:r>
        <w:rPr/>
        <w:t>metrics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bowling</w:t>
      </w:r>
      <w:r>
        <w:rPr>
          <w:spacing w:val="-11"/>
        </w:rPr>
        <w:t> </w:t>
      </w:r>
      <w:r>
        <w:rPr/>
        <w:t>average and economy rate, the formulation is reversed:</w:t>
      </w:r>
    </w:p>
    <w:p>
      <w:pPr>
        <w:pStyle w:val="BodyText"/>
        <w:spacing w:line="249" w:lineRule="auto" w:before="3"/>
        <w:ind w:left="199" w:right="255" w:firstLine="199"/>
      </w:pPr>
      <w:r>
        <w:rPr/>
        <w:br w:type="column"/>
      </w:r>
      <w:r>
        <w:rPr/>
        <w:t>Thus,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metrics</w:t>
      </w:r>
      <w:r>
        <w:rPr>
          <w:spacing w:val="-5"/>
        </w:rPr>
        <w:t> </w:t>
      </w:r>
      <w:r>
        <w:rPr/>
        <w:t>provide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numerical</w:t>
      </w:r>
      <w:r>
        <w:rPr>
          <w:spacing w:val="-6"/>
        </w:rPr>
        <w:t> </w:t>
      </w:r>
      <w:r>
        <w:rPr/>
        <w:t>directions for this pair.</w:t>
      </w:r>
    </w:p>
    <w:p>
      <w:pPr>
        <w:pStyle w:val="BodyText"/>
        <w:ind w:left="398"/>
      </w:pPr>
      <w:r>
        <w:rPr/>
        <w:t>For</w:t>
      </w:r>
      <w:r>
        <w:rPr>
          <w:spacing w:val="10"/>
        </w:rPr>
        <w:t> </w:t>
      </w:r>
      <w:r>
        <w:rPr/>
        <w:t>V.</w:t>
      </w:r>
      <w:r>
        <w:rPr>
          <w:spacing w:val="10"/>
        </w:rPr>
        <w:t> </w:t>
      </w:r>
      <w:r>
        <w:rPr/>
        <w:t>Kohli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D.</w:t>
      </w:r>
      <w:r>
        <w:rPr>
          <w:spacing w:val="10"/>
        </w:rPr>
        <w:t> </w:t>
      </w:r>
      <w:r>
        <w:rPr/>
        <w:t>A.</w:t>
      </w:r>
      <w:r>
        <w:rPr>
          <w:spacing w:val="10"/>
        </w:rPr>
        <w:t> </w:t>
      </w:r>
      <w:r>
        <w:rPr>
          <w:spacing w:val="-2"/>
        </w:rPr>
        <w:t>Miller,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4948" w:val="left" w:leader="none"/>
        </w:tabs>
        <w:spacing w:line="350" w:lineRule="atLeast" w:before="147"/>
        <w:ind w:left="458" w:firstLine="1687"/>
      </w:pPr>
      <w:r>
        <w:rPr>
          <w:rFonts w:ascii="Calibri" w:hAnsi="Calibri"/>
          <w:i/>
          <w:w w:val="150"/>
        </w:rPr>
        <w:t>D</w:t>
      </w:r>
      <w:r>
        <w:rPr>
          <w:rFonts w:ascii="Calibri" w:hAnsi="Calibri"/>
          <w:i/>
          <w:w w:val="150"/>
          <w:vertAlign w:val="subscript"/>
        </w:rPr>
        <w:t>ij</w:t>
      </w:r>
      <w:r>
        <w:rPr>
          <w:rFonts w:ascii="Calibri" w:hAnsi="Calibri"/>
          <w:i/>
          <w:w w:val="150"/>
          <w:vertAlign w:val="baseline"/>
        </w:rPr>
        <w:t> </w:t>
      </w:r>
      <w:r>
        <w:rPr>
          <w:rFonts w:ascii="Calibri" w:hAnsi="Calibri"/>
          <w:w w:val="150"/>
          <w:vertAlign w:val="baseline"/>
        </w:rPr>
        <w:t>= </w:t>
      </w:r>
      <w:r>
        <w:rPr>
          <w:rFonts w:ascii="Calibri" w:hAnsi="Calibri"/>
          <w:i/>
          <w:w w:val="150"/>
          <w:vertAlign w:val="baseline"/>
        </w:rPr>
        <w:t>x</w:t>
      </w:r>
      <w:r>
        <w:rPr>
          <w:rFonts w:ascii="Calibri" w:hAnsi="Calibri"/>
          <w:i/>
          <w:w w:val="150"/>
          <w:vertAlign w:val="subscript"/>
        </w:rPr>
        <w:t>j</w:t>
      </w:r>
      <w:r>
        <w:rPr>
          <w:rFonts w:ascii="Calibri" w:hAnsi="Calibri"/>
          <w:i/>
          <w:w w:val="15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 </w:t>
      </w:r>
      <w:r>
        <w:rPr>
          <w:rFonts w:ascii="Calibri" w:hAnsi="Calibri"/>
          <w:i/>
          <w:w w:val="150"/>
          <w:vertAlign w:val="baseline"/>
        </w:rPr>
        <w:t>x</w:t>
      </w:r>
      <w:r>
        <w:rPr>
          <w:rFonts w:ascii="Calibri" w:hAnsi="Calibri"/>
          <w:i/>
          <w:w w:val="150"/>
          <w:vertAlign w:val="subscript"/>
        </w:rPr>
        <w:t>i</w:t>
      </w:r>
      <w:r>
        <w:rPr>
          <w:rFonts w:ascii="Calibri" w:hAnsi="Calibri"/>
          <w:i/>
          <w:w w:val="150"/>
          <w:vertAlign w:val="baseline"/>
        </w:rPr>
        <w:t>.</w:t>
      </w:r>
      <w:r>
        <w:rPr>
          <w:rFonts w:ascii="Calibri" w:hAnsi="Calibri"/>
          <w:i/>
          <w:vertAlign w:val="baseline"/>
        </w:rPr>
        <w:tab/>
      </w:r>
      <w:r>
        <w:rPr>
          <w:spacing w:val="-8"/>
          <w:w w:val="105"/>
          <w:vertAlign w:val="baseline"/>
        </w:rPr>
        <w:t>(17) </w:t>
      </w:r>
      <w:r>
        <w:rPr>
          <w:vertAlign w:val="baseline"/>
        </w:rPr>
        <w:t>This</w:t>
      </w:r>
      <w:r>
        <w:rPr>
          <w:spacing w:val="32"/>
          <w:vertAlign w:val="baseline"/>
        </w:rPr>
        <w:t> </w:t>
      </w:r>
      <w:r>
        <w:rPr>
          <w:vertAlign w:val="baseline"/>
        </w:rPr>
        <w:t>transformation</w:t>
      </w:r>
      <w:r>
        <w:rPr>
          <w:spacing w:val="32"/>
          <w:vertAlign w:val="baseline"/>
        </w:rPr>
        <w:t> </w:t>
      </w:r>
      <w:r>
        <w:rPr>
          <w:vertAlign w:val="baseline"/>
        </w:rPr>
        <w:t>preserves</w:t>
      </w:r>
      <w:r>
        <w:rPr>
          <w:spacing w:val="33"/>
          <w:vertAlign w:val="baseline"/>
        </w:rPr>
        <w:t> </w:t>
      </w:r>
      <w:r>
        <w:rPr>
          <w:vertAlign w:val="baseline"/>
        </w:rPr>
        <w:t>a</w:t>
      </w:r>
      <w:r>
        <w:rPr>
          <w:spacing w:val="32"/>
          <w:vertAlign w:val="baseline"/>
        </w:rPr>
        <w:t> </w:t>
      </w:r>
      <w:r>
        <w:rPr>
          <w:vertAlign w:val="baseline"/>
        </w:rPr>
        <w:t>common</w:t>
      </w:r>
      <w:r>
        <w:rPr>
          <w:spacing w:val="33"/>
          <w:vertAlign w:val="baseline"/>
        </w:rPr>
        <w:t> </w:t>
      </w:r>
      <w:r>
        <w:rPr>
          <w:vertAlign w:val="baseline"/>
        </w:rPr>
        <w:t>interpretation:</w:t>
      </w:r>
      <w:r>
        <w:rPr>
          <w:spacing w:val="32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spacing w:line="116" w:lineRule="exact" w:before="0"/>
        <w:ind w:left="1327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35"/>
          <w:sz w:val="14"/>
        </w:rPr>
        <w:t>Avg</w:t>
      </w:r>
    </w:p>
    <w:p>
      <w:pPr>
        <w:spacing w:line="163" w:lineRule="exact" w:before="0"/>
        <w:ind w:left="1321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4570260</wp:posOffset>
                </wp:positionH>
                <wp:positionV relativeFrom="paragraph">
                  <wp:posOffset>-53198</wp:posOffset>
                </wp:positionV>
                <wp:extent cx="104775" cy="1270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863007pt;margin-top:-4.188877pt;width:8.25pt;height:10pt;mso-position-horizontal-relative:page;mso-position-vertical-relative:paragraph;z-index:15741952" type="#_x0000_t202" id="docshape1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25"/>
          <w:sz w:val="14"/>
        </w:rPr>
        <w:t>Kohli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Miller</w:t>
      </w:r>
    </w:p>
    <w:p>
      <w:pPr>
        <w:pStyle w:val="BodyText"/>
        <w:spacing w:before="89"/>
        <w:ind w:left="398"/>
      </w:pPr>
      <w:r>
        <w:rPr/>
        <w:t>For</w:t>
      </w:r>
      <w:r>
        <w:rPr>
          <w:spacing w:val="12"/>
        </w:rPr>
        <w:t> </w:t>
      </w:r>
      <w:r>
        <w:rPr/>
        <w:t>strike</w:t>
      </w:r>
      <w:r>
        <w:rPr>
          <w:spacing w:val="13"/>
        </w:rPr>
        <w:t> </w:t>
      </w:r>
      <w:r>
        <w:rPr>
          <w:spacing w:val="-2"/>
        </w:rPr>
        <w:t>rate,</w:t>
      </w:r>
    </w:p>
    <w:p>
      <w:pPr>
        <w:pStyle w:val="BodyText"/>
        <w:tabs>
          <w:tab w:pos="2687" w:val="left" w:leader="none"/>
        </w:tabs>
        <w:spacing w:line="269" w:lineRule="exact"/>
        <w:ind w:left="25"/>
      </w:pPr>
      <w:r>
        <w:rPr/>
        <w:br w:type="column"/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4"/>
          <w:w w:val="120"/>
        </w:rPr>
        <w:t> </w:t>
      </w:r>
      <w:r>
        <w:rPr>
          <w:rFonts w:ascii="Calibri" w:hAnsi="Calibri"/>
          <w:w w:val="110"/>
        </w:rPr>
        <w:t>39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56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35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78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0"/>
          <w:w w:val="120"/>
        </w:rPr>
        <w:t> </w:t>
      </w:r>
      <w:r>
        <w:rPr>
          <w:rFonts w:ascii="Calibri" w:hAnsi="Calibri"/>
          <w:spacing w:val="-4"/>
          <w:w w:val="110"/>
        </w:rPr>
        <w:t>3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spacing w:val="-4"/>
          <w:w w:val="110"/>
        </w:rPr>
        <w:t>78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(24)</w:t>
      </w:r>
    </w:p>
    <w:p>
      <w:pPr>
        <w:pStyle w:val="BodyText"/>
        <w:spacing w:after="0" w:line="269" w:lineRule="exact"/>
        <w:sectPr>
          <w:type w:val="continuous"/>
          <w:pgSz w:w="12240" w:h="15840"/>
          <w:pgMar w:top="900" w:bottom="280" w:left="720" w:right="720"/>
          <w:cols w:num="3" w:equalWidth="0">
            <w:col w:w="5281" w:space="40"/>
            <w:col w:w="2161" w:space="39"/>
            <w:col w:w="3279"/>
          </w:cols>
        </w:sectPr>
      </w:pPr>
    </w:p>
    <w:p>
      <w:pPr>
        <w:pStyle w:val="BodyText"/>
        <w:spacing w:before="48"/>
      </w:pPr>
      <w:r>
        <w:rPr/>
        <w:t>positive</w:t>
      </w:r>
      <w:r>
        <w:rPr>
          <w:spacing w:val="11"/>
        </w:rPr>
        <w:t> </w:t>
      </w:r>
      <w:r>
        <w:rPr/>
        <w:t>value</w:t>
      </w:r>
      <w:r>
        <w:rPr>
          <w:spacing w:val="12"/>
        </w:rPr>
        <w:t> </w:t>
      </w:r>
      <w:r>
        <w:rPr/>
        <w:t>represents</w:t>
      </w:r>
      <w:r>
        <w:rPr>
          <w:spacing w:val="11"/>
        </w:rPr>
        <w:t> </w:t>
      </w:r>
      <w:r>
        <w:rPr/>
        <w:t>an</w:t>
      </w:r>
      <w:r>
        <w:rPr>
          <w:spacing w:val="12"/>
        </w:rPr>
        <w:t> </w:t>
      </w:r>
      <w:r>
        <w:rPr/>
        <w:t>advantage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row</w:t>
      </w:r>
      <w:r>
        <w:rPr>
          <w:spacing w:val="12"/>
        </w:rPr>
        <w:t> </w:t>
      </w:r>
      <w:r>
        <w:rPr>
          <w:spacing w:val="-2"/>
        </w:rPr>
        <w:t>player.</w:t>
      </w:r>
    </w:p>
    <w:p>
      <w:pPr>
        <w:spacing w:line="123" w:lineRule="exact" w:before="0"/>
        <w:ind w:left="264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45"/>
          <w:sz w:val="14"/>
        </w:rPr>
        <w:t>SR</w:t>
      </w:r>
    </w:p>
    <w:p>
      <w:pPr>
        <w:spacing w:line="151" w:lineRule="exact" w:before="0"/>
        <w:ind w:left="259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4457788</wp:posOffset>
                </wp:positionH>
                <wp:positionV relativeFrom="paragraph">
                  <wp:posOffset>-54024</wp:posOffset>
                </wp:positionV>
                <wp:extent cx="104775" cy="1270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006989pt;margin-top:-4.253860pt;width:8.25pt;height:10pt;mso-position-horizontal-relative:page;mso-position-vertical-relative:paragraph;z-index:15742464" type="#_x0000_t202" id="docshape2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25"/>
          <w:sz w:val="14"/>
        </w:rPr>
        <w:t>Kohli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Miller</w:t>
      </w:r>
    </w:p>
    <w:p>
      <w:pPr>
        <w:pStyle w:val="BodyText"/>
        <w:tabs>
          <w:tab w:pos="2865" w:val="left" w:leader="none"/>
        </w:tabs>
        <w:spacing w:line="275" w:lineRule="exact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10"/>
        </w:rPr>
        <w:t>132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89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138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60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7"/>
          <w:w w:val="110"/>
        </w:rPr>
        <w:t> </w:t>
      </w:r>
      <w:r>
        <w:rPr>
          <w:rFonts w:ascii="Lucida Sans Unicode" w:hAnsi="Lucida Sans Unicode"/>
          <w:spacing w:val="-2"/>
          <w:w w:val="110"/>
        </w:rPr>
        <w:t>−</w:t>
      </w:r>
      <w:r>
        <w:rPr>
          <w:rFonts w:ascii="Calibri" w:hAnsi="Calibri"/>
          <w:spacing w:val="-2"/>
          <w:w w:val="110"/>
        </w:rPr>
        <w:t>5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71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(25)</w:t>
      </w:r>
    </w:p>
    <w:p>
      <w:pPr>
        <w:pStyle w:val="BodyText"/>
        <w:spacing w:after="0" w:line="275" w:lineRule="exact"/>
        <w:sectPr>
          <w:type w:val="continuous"/>
          <w:pgSz w:w="12240" w:h="15840"/>
          <w:pgMar w:top="900" w:bottom="280" w:left="720" w:right="720"/>
          <w:cols w:num="3" w:equalWidth="0">
            <w:col w:w="5023" w:space="1182"/>
            <w:col w:w="1098" w:space="40"/>
            <w:col w:w="3457"/>
          </w:cols>
        </w:sectPr>
      </w:pPr>
    </w:p>
    <w:p>
      <w:pPr>
        <w:pStyle w:val="BodyText"/>
        <w:spacing w:before="13"/>
        <w:ind w:left="458"/>
      </w:pPr>
      <w:r>
        <w:rPr/>
        <w:t>The</w:t>
      </w:r>
      <w:r>
        <w:rPr>
          <w:spacing w:val="13"/>
        </w:rPr>
        <w:t> </w:t>
      </w:r>
      <w:r>
        <w:rPr/>
        <w:t>absolute</w:t>
      </w:r>
      <w:r>
        <w:rPr>
          <w:spacing w:val="14"/>
        </w:rPr>
        <w:t> </w:t>
      </w:r>
      <w:r>
        <w:rPr/>
        <w:t>numerical</w:t>
      </w:r>
      <w:r>
        <w:rPr>
          <w:spacing w:val="13"/>
        </w:rPr>
        <w:t> </w:t>
      </w:r>
      <w:r>
        <w:rPr/>
        <w:t>gap</w:t>
      </w:r>
      <w:r>
        <w:rPr>
          <w:spacing w:val="14"/>
        </w:rPr>
        <w:t> </w:t>
      </w:r>
      <w:r>
        <w:rPr>
          <w:spacing w:val="-5"/>
        </w:rPr>
        <w:t>is</w:t>
      </w:r>
    </w:p>
    <w:p>
      <w:pPr>
        <w:pStyle w:val="BodyText"/>
        <w:spacing w:before="5"/>
        <w:ind w:left="0"/>
      </w:pPr>
    </w:p>
    <w:p>
      <w:pPr>
        <w:tabs>
          <w:tab w:pos="4948" w:val="left" w:leader="none"/>
        </w:tabs>
        <w:spacing w:before="1"/>
        <w:ind w:left="2252" w:right="0" w:firstLine="0"/>
        <w:jc w:val="left"/>
        <w:rPr>
          <w:sz w:val="20"/>
        </w:rPr>
      </w:pPr>
      <w:r>
        <w:rPr>
          <w:rFonts w:ascii="Calibri"/>
          <w:i/>
          <w:w w:val="155"/>
          <w:sz w:val="20"/>
        </w:rPr>
        <w:t>G</w:t>
      </w:r>
      <w:r>
        <w:rPr>
          <w:rFonts w:ascii="Calibri"/>
          <w:i/>
          <w:w w:val="155"/>
          <w:sz w:val="20"/>
          <w:vertAlign w:val="subscript"/>
        </w:rPr>
        <w:t>ij</w:t>
      </w:r>
      <w:r>
        <w:rPr>
          <w:rFonts w:ascii="Calibri"/>
          <w:i/>
          <w:spacing w:val="-8"/>
          <w:w w:val="155"/>
          <w:sz w:val="20"/>
          <w:vertAlign w:val="baseline"/>
        </w:rPr>
        <w:t> </w:t>
      </w:r>
      <w:r>
        <w:rPr>
          <w:rFonts w:ascii="Calibri"/>
          <w:w w:val="155"/>
          <w:sz w:val="20"/>
          <w:vertAlign w:val="baseline"/>
        </w:rPr>
        <w:t>=</w:t>
      </w:r>
      <w:r>
        <w:rPr>
          <w:rFonts w:ascii="Calibri"/>
          <w:spacing w:val="-18"/>
          <w:w w:val="155"/>
          <w:sz w:val="20"/>
          <w:vertAlign w:val="baseline"/>
        </w:rPr>
        <w:t> </w:t>
      </w:r>
      <w:r>
        <w:rPr>
          <w:rFonts w:ascii="Lucida Sans Unicode"/>
          <w:spacing w:val="-2"/>
          <w:w w:val="120"/>
          <w:sz w:val="20"/>
          <w:vertAlign w:val="baseline"/>
        </w:rPr>
        <w:t>|</w:t>
      </w:r>
      <w:r>
        <w:rPr>
          <w:rFonts w:ascii="Calibri"/>
          <w:i/>
          <w:spacing w:val="-2"/>
          <w:w w:val="120"/>
          <w:sz w:val="20"/>
          <w:vertAlign w:val="baseline"/>
        </w:rPr>
        <w:t>D</w:t>
      </w:r>
      <w:r>
        <w:rPr>
          <w:rFonts w:ascii="Calibri"/>
          <w:i/>
          <w:spacing w:val="-2"/>
          <w:w w:val="120"/>
          <w:sz w:val="20"/>
          <w:vertAlign w:val="subscript"/>
        </w:rPr>
        <w:t>ij</w:t>
      </w:r>
      <w:r>
        <w:rPr>
          <w:rFonts w:ascii="Lucida Sans Unicode"/>
          <w:spacing w:val="-2"/>
          <w:w w:val="120"/>
          <w:sz w:val="20"/>
          <w:vertAlign w:val="baseline"/>
        </w:rPr>
        <w:t>|</w:t>
      </w:r>
      <w:r>
        <w:rPr>
          <w:rFonts w:ascii="Calibri"/>
          <w:i/>
          <w:spacing w:val="-2"/>
          <w:w w:val="120"/>
          <w:sz w:val="20"/>
          <w:vertAlign w:val="baseline"/>
        </w:rPr>
        <w:t>.</w:t>
      </w:r>
      <w:r>
        <w:rPr>
          <w:rFonts w:asci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(18)</w:t>
      </w:r>
    </w:p>
    <w:p>
      <w:pPr>
        <w:pStyle w:val="BodyText"/>
        <w:spacing w:before="118"/>
        <w:ind w:left="458"/>
      </w:pPr>
      <w:r>
        <w:rPr/>
        <w:t>The</w:t>
      </w:r>
      <w:r>
        <w:rPr>
          <w:spacing w:val="14"/>
        </w:rPr>
        <w:t> </w:t>
      </w:r>
      <w:r>
        <w:rPr/>
        <w:t>pairwise</w:t>
      </w:r>
      <w:r>
        <w:rPr>
          <w:spacing w:val="14"/>
        </w:rPr>
        <w:t> </w:t>
      </w:r>
      <w:r>
        <w:rPr/>
        <w:t>matrices</w:t>
      </w:r>
      <w:r>
        <w:rPr>
          <w:spacing w:val="14"/>
        </w:rPr>
        <w:t> </w:t>
      </w:r>
      <w:r>
        <w:rPr/>
        <w:t>are</w:t>
      </w:r>
      <w:r>
        <w:rPr>
          <w:spacing w:val="14"/>
        </w:rPr>
        <w:t> </w:t>
      </w:r>
      <w:r>
        <w:rPr>
          <w:spacing w:val="-2"/>
        </w:rPr>
        <w:t>antisymmetric:</w:t>
      </w:r>
    </w:p>
    <w:p>
      <w:pPr>
        <w:pStyle w:val="BodyText"/>
        <w:spacing w:line="249" w:lineRule="auto" w:before="96"/>
        <w:ind w:left="199" w:firstLine="199"/>
      </w:pPr>
      <w:r>
        <w:rPr/>
        <w:br w:type="column"/>
      </w:r>
      <w:r>
        <w:rPr/>
        <w:t>Therefore,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pairwise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differ</w:t>
      </w:r>
      <w:r>
        <w:rPr>
          <w:spacing w:val="-4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metric being examined.</w:t>
      </w:r>
    </w:p>
    <w:p>
      <w:pPr>
        <w:pStyle w:val="BodyText"/>
        <w:spacing w:line="249" w:lineRule="auto"/>
        <w:ind w:left="199" w:firstLine="199"/>
      </w:pPr>
      <w:r>
        <w:rPr/>
        <w:t>The</w:t>
      </w:r>
      <w:r>
        <w:rPr>
          <w:spacing w:val="40"/>
        </w:rPr>
        <w:t> </w:t>
      </w:r>
      <w:r>
        <w:rPr/>
        <w:t>largest</w:t>
      </w:r>
      <w:r>
        <w:rPr>
          <w:spacing w:val="40"/>
        </w:rPr>
        <w:t> </w:t>
      </w:r>
      <w:r>
        <w:rPr/>
        <w:t>observed</w:t>
      </w:r>
      <w:r>
        <w:rPr>
          <w:spacing w:val="40"/>
        </w:rPr>
        <w:t> </w:t>
      </w:r>
      <w:r>
        <w:rPr/>
        <w:t>strike-rate</w:t>
      </w:r>
      <w:r>
        <w:rPr>
          <w:spacing w:val="40"/>
        </w:rPr>
        <w:t> </w:t>
      </w:r>
      <w:r>
        <w:rPr/>
        <w:t>difference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batting pool occurs between S. P. Narine and J. D. Unadkat: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6"/>
        <w:ind w:left="0"/>
      </w:pPr>
    </w:p>
    <w:p>
      <w:pPr>
        <w:tabs>
          <w:tab w:pos="4948" w:val="left" w:leader="none"/>
        </w:tabs>
        <w:spacing w:line="299" w:lineRule="exact" w:before="0"/>
        <w:ind w:left="2226" w:right="0" w:firstLine="0"/>
        <w:jc w:val="left"/>
        <w:rPr>
          <w:sz w:val="20"/>
        </w:rPr>
      </w:pPr>
      <w:r>
        <w:rPr>
          <w:rFonts w:ascii="Calibri" w:hAnsi="Calibri"/>
          <w:i/>
          <w:w w:val="155"/>
          <w:sz w:val="20"/>
        </w:rPr>
        <w:t>D</w:t>
      </w:r>
      <w:r>
        <w:rPr>
          <w:rFonts w:ascii="Calibri" w:hAnsi="Calibri"/>
          <w:i/>
          <w:w w:val="155"/>
          <w:sz w:val="20"/>
          <w:vertAlign w:val="subscript"/>
        </w:rPr>
        <w:t>ij</w:t>
      </w:r>
      <w:r>
        <w:rPr>
          <w:rFonts w:ascii="Calibri" w:hAnsi="Calibri"/>
          <w:i/>
          <w:spacing w:val="1"/>
          <w:w w:val="155"/>
          <w:sz w:val="20"/>
          <w:vertAlign w:val="baseline"/>
        </w:rPr>
        <w:t> </w:t>
      </w:r>
      <w:r>
        <w:rPr>
          <w:rFonts w:ascii="Calibri" w:hAnsi="Calibri"/>
          <w:w w:val="155"/>
          <w:sz w:val="20"/>
          <w:vertAlign w:val="baseline"/>
        </w:rPr>
        <w:t>=</w:t>
      </w:r>
      <w:r>
        <w:rPr>
          <w:rFonts w:ascii="Calibri" w:hAnsi="Calibri"/>
          <w:spacing w:val="-14"/>
          <w:w w:val="15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55"/>
          <w:sz w:val="20"/>
          <w:vertAlign w:val="baseline"/>
        </w:rPr>
        <w:t>−</w:t>
      </w:r>
      <w:r>
        <w:rPr>
          <w:rFonts w:ascii="Calibri" w:hAnsi="Calibri"/>
          <w:i/>
          <w:spacing w:val="-2"/>
          <w:w w:val="155"/>
          <w:sz w:val="20"/>
          <w:vertAlign w:val="baseline"/>
        </w:rPr>
        <w:t>D</w:t>
      </w:r>
      <w:r>
        <w:rPr>
          <w:rFonts w:ascii="Calibri" w:hAnsi="Calibri"/>
          <w:i/>
          <w:spacing w:val="-2"/>
          <w:w w:val="155"/>
          <w:sz w:val="20"/>
          <w:vertAlign w:val="subscript"/>
        </w:rPr>
        <w:t>ji</w:t>
      </w:r>
      <w:r>
        <w:rPr>
          <w:rFonts w:ascii="Calibri" w:hAnsi="Calibri"/>
          <w:i/>
          <w:spacing w:val="-2"/>
          <w:w w:val="15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(19)</w:t>
      </w:r>
    </w:p>
    <w:p>
      <w:pPr>
        <w:spacing w:line="151" w:lineRule="exact" w:before="129"/>
        <w:ind w:left="1047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45"/>
          <w:sz w:val="14"/>
        </w:rPr>
        <w:t>SR</w:t>
      </w:r>
    </w:p>
    <w:p>
      <w:pPr>
        <w:spacing w:line="151" w:lineRule="exact" w:before="0"/>
        <w:ind w:left="1041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4392244</wp:posOffset>
                </wp:positionH>
                <wp:positionV relativeFrom="paragraph">
                  <wp:posOffset>-53881</wp:posOffset>
                </wp:positionV>
                <wp:extent cx="104775" cy="1270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846008pt;margin-top:-4.242655pt;width:8.25pt;height:10pt;mso-position-horizontal-relative:page;mso-position-vertical-relative:paragraph;z-index:15742976" type="#_x0000_t202" id="docshape21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20"/>
          <w:sz w:val="14"/>
        </w:rPr>
        <w:t>Narine</w:t>
      </w:r>
      <w:r>
        <w:rPr>
          <w:rFonts w:ascii="Calibri"/>
          <w:i/>
          <w:spacing w:val="-2"/>
          <w:w w:val="120"/>
          <w:sz w:val="14"/>
        </w:rPr>
        <w:t>,</w:t>
      </w:r>
      <w:r>
        <w:rPr>
          <w:rFonts w:ascii="Calibri"/>
          <w:spacing w:val="-2"/>
          <w:w w:val="120"/>
          <w:sz w:val="14"/>
        </w:rPr>
        <w:t>Unadkat</w:t>
      </w:r>
    </w:p>
    <w:p>
      <w:pPr>
        <w:pStyle w:val="BodyText"/>
        <w:tabs>
          <w:tab w:pos="2706" w:val="left" w:leader="none"/>
        </w:tabs>
        <w:spacing w:before="125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10"/>
        </w:rPr>
        <w:t>166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51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118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67</w:t>
      </w:r>
      <w:r>
        <w:rPr>
          <w:rFonts w:ascii="Calibri" w:hAnsi="Calibri"/>
          <w:spacing w:val="-1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-7"/>
          <w:w w:val="110"/>
        </w:rPr>
        <w:t> </w:t>
      </w:r>
      <w:r>
        <w:rPr>
          <w:rFonts w:ascii="Calibri" w:hAnsi="Calibri"/>
          <w:spacing w:val="-2"/>
          <w:w w:val="110"/>
        </w:rPr>
        <w:t>47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84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(26)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5281" w:space="40"/>
            <w:col w:w="2142" w:space="39"/>
            <w:col w:w="3298"/>
          </w:cols>
        </w:sectPr>
      </w:pPr>
    </w:p>
    <w:p>
      <w:pPr>
        <w:pStyle w:val="BodyText"/>
        <w:spacing w:before="127"/>
        <w:ind w:left="458"/>
      </w:pPr>
      <w:r>
        <w:rPr/>
        <w:t>The</w:t>
      </w:r>
      <w:r>
        <w:rPr>
          <w:spacing w:val="14"/>
        </w:rPr>
        <w:t> </w:t>
      </w:r>
      <w:r>
        <w:rPr/>
        <w:t>diagonal</w:t>
      </w:r>
      <w:r>
        <w:rPr>
          <w:spacing w:val="14"/>
        </w:rPr>
        <w:t> </w:t>
      </w:r>
      <w:r>
        <w:rPr/>
        <w:t>elements</w:t>
      </w:r>
      <w:r>
        <w:rPr>
          <w:spacing w:val="14"/>
        </w:rPr>
        <w:t> </w:t>
      </w:r>
      <w:r>
        <w:rPr/>
        <w:t>are</w:t>
      </w:r>
      <w:r>
        <w:rPr>
          <w:spacing w:val="14"/>
        </w:rPr>
        <w:t> </w:t>
      </w:r>
      <w:r>
        <w:rPr>
          <w:spacing w:val="-2"/>
        </w:rPr>
        <w:t>zero:</w:t>
      </w:r>
    </w:p>
    <w:p>
      <w:pPr>
        <w:pStyle w:val="BodyText"/>
        <w:spacing w:before="6"/>
        <w:ind w:left="0"/>
      </w:pPr>
    </w:p>
    <w:p>
      <w:pPr>
        <w:tabs>
          <w:tab w:pos="4948" w:val="left" w:leader="none"/>
        </w:tabs>
        <w:spacing w:before="0"/>
        <w:ind w:left="1980" w:right="0" w:firstLine="0"/>
        <w:jc w:val="left"/>
        <w:rPr>
          <w:sz w:val="20"/>
        </w:rPr>
      </w:pPr>
      <w:r>
        <w:rPr>
          <w:rFonts w:ascii="Calibri" w:hAnsi="Calibri"/>
          <w:i/>
          <w:w w:val="150"/>
          <w:sz w:val="20"/>
        </w:rPr>
        <w:t>D</w:t>
      </w:r>
      <w:r>
        <w:rPr>
          <w:rFonts w:ascii="Calibri" w:hAnsi="Calibri"/>
          <w:i/>
          <w:w w:val="150"/>
          <w:sz w:val="20"/>
          <w:vertAlign w:val="subscript"/>
        </w:rPr>
        <w:t>ii</w:t>
      </w:r>
      <w:r>
        <w:rPr>
          <w:rFonts w:ascii="Calibri" w:hAnsi="Calibri"/>
          <w:i/>
          <w:spacing w:val="-13"/>
          <w:w w:val="150"/>
          <w:sz w:val="20"/>
          <w:vertAlign w:val="baseline"/>
        </w:rPr>
        <w:t> </w:t>
      </w:r>
      <w:r>
        <w:rPr>
          <w:rFonts w:ascii="Calibri" w:hAnsi="Calibri"/>
          <w:w w:val="150"/>
          <w:sz w:val="20"/>
          <w:vertAlign w:val="baseline"/>
        </w:rPr>
        <w:t>=</w:t>
      </w:r>
      <w:r>
        <w:rPr>
          <w:rFonts w:ascii="Calibri" w:hAnsi="Calibri"/>
          <w:spacing w:val="-17"/>
          <w:w w:val="150"/>
          <w:sz w:val="20"/>
          <w:vertAlign w:val="baseline"/>
        </w:rPr>
        <w:t> </w:t>
      </w:r>
      <w:r>
        <w:rPr>
          <w:rFonts w:ascii="Calibri" w:hAnsi="Calibri"/>
          <w:i/>
          <w:w w:val="150"/>
          <w:sz w:val="20"/>
          <w:vertAlign w:val="baseline"/>
        </w:rPr>
        <w:t>x</w:t>
      </w:r>
      <w:r>
        <w:rPr>
          <w:rFonts w:ascii="Calibri" w:hAnsi="Calibri"/>
          <w:i/>
          <w:w w:val="150"/>
          <w:sz w:val="20"/>
          <w:vertAlign w:val="subscript"/>
        </w:rPr>
        <w:t>i</w:t>
      </w:r>
      <w:r>
        <w:rPr>
          <w:rFonts w:ascii="Calibri" w:hAnsi="Calibri"/>
          <w:i/>
          <w:spacing w:val="-17"/>
          <w:w w:val="150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50"/>
          <w:sz w:val="20"/>
          <w:vertAlign w:val="baseline"/>
        </w:rPr>
        <w:t>x</w:t>
      </w:r>
      <w:r>
        <w:rPr>
          <w:rFonts w:ascii="Calibri" w:hAnsi="Calibri"/>
          <w:i/>
          <w:w w:val="150"/>
          <w:sz w:val="20"/>
          <w:vertAlign w:val="subscript"/>
        </w:rPr>
        <w:t>i</w:t>
      </w:r>
      <w:r>
        <w:rPr>
          <w:rFonts w:ascii="Calibri" w:hAnsi="Calibri"/>
          <w:i/>
          <w:spacing w:val="-8"/>
          <w:w w:val="150"/>
          <w:sz w:val="20"/>
          <w:vertAlign w:val="baseline"/>
        </w:rPr>
        <w:t> </w:t>
      </w:r>
      <w:r>
        <w:rPr>
          <w:rFonts w:ascii="Calibri" w:hAnsi="Calibri"/>
          <w:w w:val="150"/>
          <w:sz w:val="20"/>
          <w:vertAlign w:val="baseline"/>
        </w:rPr>
        <w:t>=</w:t>
      </w:r>
      <w:r>
        <w:rPr>
          <w:rFonts w:ascii="Calibri" w:hAnsi="Calibri"/>
          <w:spacing w:val="-17"/>
          <w:w w:val="150"/>
          <w:sz w:val="20"/>
          <w:vertAlign w:val="baseline"/>
        </w:rPr>
        <w:t> </w:t>
      </w:r>
      <w:r>
        <w:rPr>
          <w:rFonts w:ascii="Calibri" w:hAnsi="Calibri"/>
          <w:spacing w:val="-5"/>
          <w:w w:val="115"/>
          <w:sz w:val="20"/>
          <w:vertAlign w:val="baseline"/>
        </w:rPr>
        <w:t>0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(20)</w:t>
      </w:r>
    </w:p>
    <w:p>
      <w:pPr>
        <w:pStyle w:val="BodyText"/>
        <w:spacing w:before="119"/>
        <w:ind w:left="458"/>
      </w:pPr>
      <w:r>
        <w:rPr>
          <w:spacing w:val="-2"/>
        </w:rPr>
        <w:t>Therefore,</w:t>
      </w:r>
    </w:p>
    <w:p>
      <w:pPr>
        <w:pStyle w:val="BodyText"/>
        <w:tabs>
          <w:tab w:pos="2702" w:val="left" w:leader="none"/>
          <w:tab w:pos="4948" w:val="left" w:leader="none"/>
        </w:tabs>
        <w:spacing w:line="380" w:lineRule="atLeast" w:before="127"/>
        <w:ind w:left="458" w:firstLine="1103"/>
      </w:pPr>
      <w:r>
        <w:rPr>
          <w:rFonts w:ascii="Calibri"/>
          <w:i/>
          <w:w w:val="150"/>
        </w:rPr>
        <w:t>D</w:t>
      </w:r>
      <w:r>
        <w:rPr>
          <w:rFonts w:ascii="Calibri"/>
          <w:i/>
          <w:w w:val="150"/>
          <w:vertAlign w:val="subscript"/>
        </w:rPr>
        <w:t>ii</w:t>
      </w:r>
      <w:r>
        <w:rPr>
          <w:rFonts w:ascii="Calibri"/>
          <w:i/>
          <w:w w:val="150"/>
          <w:vertAlign w:val="baseline"/>
        </w:rPr>
        <w:t> </w:t>
      </w:r>
      <w:r>
        <w:rPr>
          <w:rFonts w:ascii="Calibri"/>
          <w:w w:val="150"/>
          <w:vertAlign w:val="baseline"/>
        </w:rPr>
        <w:t>= </w:t>
      </w:r>
      <w:r>
        <w:rPr>
          <w:rFonts w:ascii="Calibri"/>
          <w:w w:val="110"/>
          <w:vertAlign w:val="baseline"/>
        </w:rPr>
        <w:t>0</w:t>
      </w:r>
      <w:r>
        <w:rPr>
          <w:rFonts w:ascii="Calibri"/>
          <w:i/>
          <w:w w:val="110"/>
          <w:vertAlign w:val="baseline"/>
        </w:rPr>
        <w:t>,</w:t>
      </w:r>
      <w:r>
        <w:rPr>
          <w:rFonts w:ascii="Calibri"/>
          <w:i/>
          <w:vertAlign w:val="baseline"/>
        </w:rPr>
        <w:tab/>
      </w:r>
      <w:r>
        <w:rPr>
          <w:rFonts w:ascii="Calibri"/>
          <w:i/>
          <w:w w:val="150"/>
          <w:vertAlign w:val="baseline"/>
        </w:rPr>
        <w:t>D</w:t>
      </w:r>
      <w:r>
        <w:rPr>
          <w:rFonts w:ascii="Calibri"/>
          <w:i/>
          <w:w w:val="150"/>
          <w:vertAlign w:val="subscript"/>
        </w:rPr>
        <w:t>ij</w:t>
      </w:r>
      <w:r>
        <w:rPr>
          <w:rFonts w:ascii="Calibri"/>
          <w:i/>
          <w:w w:val="150"/>
          <w:vertAlign w:val="baseline"/>
        </w:rPr>
        <w:t> </w:t>
      </w:r>
      <w:r>
        <w:rPr>
          <w:rFonts w:ascii="Calibri"/>
          <w:w w:val="150"/>
          <w:vertAlign w:val="baseline"/>
        </w:rPr>
        <w:t>+ </w:t>
      </w:r>
      <w:r>
        <w:rPr>
          <w:rFonts w:ascii="Calibri"/>
          <w:i/>
          <w:w w:val="150"/>
          <w:vertAlign w:val="baseline"/>
        </w:rPr>
        <w:t>D</w:t>
      </w:r>
      <w:r>
        <w:rPr>
          <w:rFonts w:ascii="Calibri"/>
          <w:i/>
          <w:w w:val="150"/>
          <w:vertAlign w:val="subscript"/>
        </w:rPr>
        <w:t>ji</w:t>
      </w:r>
      <w:r>
        <w:rPr>
          <w:rFonts w:ascii="Calibri"/>
          <w:i/>
          <w:w w:val="150"/>
          <w:vertAlign w:val="baseline"/>
        </w:rPr>
        <w:t> </w:t>
      </w:r>
      <w:r>
        <w:rPr>
          <w:rFonts w:ascii="Calibri"/>
          <w:w w:val="150"/>
          <w:vertAlign w:val="baseline"/>
        </w:rPr>
        <w:t>= </w:t>
      </w:r>
      <w:r>
        <w:rPr>
          <w:rFonts w:ascii="Calibri"/>
          <w:w w:val="110"/>
          <w:vertAlign w:val="baseline"/>
        </w:rPr>
        <w:t>0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i/>
          <w:vertAlign w:val="baseline"/>
        </w:rPr>
        <w:tab/>
      </w:r>
      <w:r>
        <w:rPr>
          <w:spacing w:val="-8"/>
          <w:w w:val="105"/>
          <w:vertAlign w:val="baseline"/>
        </w:rPr>
        <w:t>(21) </w:t>
      </w:r>
      <w:r>
        <w:rPr>
          <w:vertAlign w:val="baseline"/>
        </w:rPr>
        <w:t>These</w:t>
      </w:r>
      <w:r>
        <w:rPr>
          <w:spacing w:val="-2"/>
          <w:vertAlign w:val="baseline"/>
        </w:rPr>
        <w:t> </w:t>
      </w:r>
      <w:r>
        <w:rPr>
          <w:vertAlign w:val="baseline"/>
        </w:rPr>
        <w:t>properties</w:t>
      </w:r>
      <w:r>
        <w:rPr>
          <w:spacing w:val="-2"/>
          <w:vertAlign w:val="baseline"/>
        </w:rPr>
        <w:t> </w:t>
      </w:r>
      <w:r>
        <w:rPr>
          <w:vertAlign w:val="baseline"/>
        </w:rPr>
        <w:t>provide</w:t>
      </w:r>
      <w:r>
        <w:rPr>
          <w:spacing w:val="-2"/>
          <w:vertAlign w:val="baseline"/>
        </w:rPr>
        <w:t> </w:t>
      </w:r>
      <w:r>
        <w:rPr>
          <w:vertAlign w:val="baseline"/>
        </w:rPr>
        <w:t>internal</w:t>
      </w:r>
      <w:r>
        <w:rPr>
          <w:spacing w:val="-2"/>
          <w:vertAlign w:val="baseline"/>
        </w:rPr>
        <w:t> </w:t>
      </w:r>
      <w:r>
        <w:rPr>
          <w:vertAlign w:val="baseline"/>
        </w:rPr>
        <w:t>consistency</w:t>
      </w:r>
      <w:r>
        <w:rPr>
          <w:spacing w:val="-2"/>
          <w:vertAlign w:val="baseline"/>
        </w:rPr>
        <w:t> </w:t>
      </w:r>
      <w:r>
        <w:rPr>
          <w:vertAlign w:val="baseline"/>
        </w:rPr>
        <w:t>checks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br w:type="column"/>
      </w:r>
      <w:r>
        <w:rPr/>
        <w:t>Narine has 118 batting innings in the study </w:t>
      </w:r>
      <w:r>
        <w:rPr/>
        <w:t>population, whereas Unadkat has 27 innings.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Consequently, this numerical comparison should be </w:t>
      </w:r>
      <w:r>
        <w:rPr/>
        <w:t>inter-preted in the context of different levels of batting exposure</w:t>
      </w:r>
      <w:r>
        <w:rPr>
          <w:spacing w:val="40"/>
        </w:rPr>
        <w:t> </w:t>
      </w:r>
      <w:r>
        <w:rPr/>
        <w:t>and player roles.</w:t>
      </w:r>
    </w:p>
    <w:p>
      <w:pPr>
        <w:pStyle w:val="BodyText"/>
        <w:spacing w:line="249" w:lineRule="auto"/>
        <w:ind w:left="398" w:right="257"/>
        <w:jc w:val="both"/>
      </w:pPr>
      <w:r>
        <w:rPr/>
        <w:t>Figure 10 presents the</w:t>
      </w:r>
      <w:r>
        <w:rPr>
          <w:spacing w:val="-1"/>
        </w:rPr>
        <w:t> </w:t>
      </w:r>
      <w:r>
        <w:rPr/>
        <w:t>corresponding bowling </w:t>
      </w:r>
      <w:r>
        <w:rPr/>
        <w:t>comparisons. For</w:t>
      </w:r>
      <w:r>
        <w:rPr>
          <w:spacing w:val="23"/>
        </w:rPr>
        <w:t> </w:t>
      </w:r>
      <w:r>
        <w:rPr/>
        <w:t>B.</w:t>
      </w:r>
      <w:r>
        <w:rPr>
          <w:spacing w:val="23"/>
        </w:rPr>
        <w:t> </w:t>
      </w:r>
      <w:r>
        <w:rPr/>
        <w:t>Kumar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S.</w:t>
      </w:r>
      <w:r>
        <w:rPr>
          <w:spacing w:val="23"/>
        </w:rPr>
        <w:t> </w:t>
      </w:r>
      <w:r>
        <w:rPr/>
        <w:t>P.</w:t>
      </w:r>
      <w:r>
        <w:rPr>
          <w:spacing w:val="23"/>
        </w:rPr>
        <w:t> </w:t>
      </w:r>
      <w:r>
        <w:rPr/>
        <w:t>Narine,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bowling</w:t>
      </w:r>
      <w:r>
        <w:rPr>
          <w:spacing w:val="23"/>
        </w:rPr>
        <w:t> </w:t>
      </w:r>
      <w:r>
        <w:rPr/>
        <w:t>averages</w:t>
      </w:r>
      <w:r>
        <w:rPr>
          <w:spacing w:val="23"/>
        </w:rPr>
        <w:t> </w:t>
      </w:r>
      <w:r>
        <w:rPr>
          <w:spacing w:val="-5"/>
        </w:rPr>
        <w:t>are</w:t>
      </w:r>
    </w:p>
    <w:p>
      <w:pPr>
        <w:pStyle w:val="BodyText"/>
        <w:ind w:left="199"/>
        <w:jc w:val="both"/>
      </w:pPr>
      <w:r>
        <w:rPr/>
        <w:t>4.85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2"/>
        </w:rPr>
        <w:t>4.96: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4"/>
      </w:pPr>
      <w:r>
        <w:rPr/>
        <w:t>pairwise</w:t>
      </w:r>
      <w:r>
        <w:rPr>
          <w:spacing w:val="10"/>
        </w:rPr>
        <w:t> </w:t>
      </w:r>
      <w:r>
        <w:rPr/>
        <w:t>comparison</w:t>
      </w:r>
      <w:r>
        <w:rPr>
          <w:spacing w:val="11"/>
        </w:rPr>
        <w:t> </w:t>
      </w:r>
      <w:r>
        <w:rPr>
          <w:spacing w:val="-2"/>
        </w:rPr>
        <w:t>calculations.</w:t>
      </w:r>
    </w:p>
    <w:p>
      <w:pPr>
        <w:spacing w:line="134" w:lineRule="exact" w:before="0"/>
        <w:ind w:left="264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35"/>
          <w:sz w:val="14"/>
        </w:rPr>
        <w:t>Avg</w:t>
      </w:r>
    </w:p>
    <w:p>
      <w:pPr>
        <w:spacing w:line="163" w:lineRule="exact" w:before="0"/>
        <w:ind w:left="259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4584496</wp:posOffset>
                </wp:positionH>
                <wp:positionV relativeFrom="paragraph">
                  <wp:posOffset>-52690</wp:posOffset>
                </wp:positionV>
                <wp:extent cx="104775" cy="1270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84009pt;margin-top:-4.148871pt;width:8.25pt;height:10pt;mso-position-horizontal-relative:page;mso-position-vertical-relative:paragraph;z-index:15743488" type="#_x0000_t202" id="docshape2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25"/>
          <w:sz w:val="14"/>
        </w:rPr>
        <w:t>Kumar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Narine</w:t>
      </w:r>
    </w:p>
    <w:p>
      <w:pPr>
        <w:pStyle w:val="BodyText"/>
        <w:tabs>
          <w:tab w:pos="2510" w:val="left" w:leader="none"/>
        </w:tabs>
        <w:spacing w:line="289" w:lineRule="exact"/>
        <w:ind w:left="25"/>
      </w:pPr>
      <w:r>
        <w:rPr/>
        <w:br w:type="column"/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96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85</w:t>
      </w:r>
      <w:r>
        <w:rPr>
          <w:rFonts w:ascii="Calibri" w:hAnsi="Calibri"/>
          <w:spacing w:val="-2"/>
          <w:w w:val="110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9"/>
          <w:w w:val="125"/>
        </w:rPr>
        <w:t> </w:t>
      </w:r>
      <w:r>
        <w:rPr>
          <w:rFonts w:ascii="Calibri" w:hAnsi="Calibri"/>
          <w:spacing w:val="-4"/>
          <w:w w:val="110"/>
        </w:rPr>
        <w:t>0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spacing w:val="-4"/>
          <w:w w:val="110"/>
        </w:rPr>
        <w:t>11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4"/>
          <w:w w:val="110"/>
        </w:rPr>
        <w:t>(27)</w:t>
      </w:r>
    </w:p>
    <w:p>
      <w:pPr>
        <w:pStyle w:val="BodyText"/>
        <w:spacing w:after="0" w:line="289" w:lineRule="exact"/>
        <w:sectPr>
          <w:type w:val="continuous"/>
          <w:pgSz w:w="12240" w:h="15840"/>
          <w:pgMar w:top="900" w:bottom="280" w:left="720" w:right="720"/>
          <w:cols w:num="3" w:equalWidth="0">
            <w:col w:w="3046" w:space="3360"/>
            <w:col w:w="1253" w:space="39"/>
            <w:col w:w="3102"/>
          </w:cols>
        </w:sectPr>
      </w:pPr>
    </w:p>
    <w:p>
      <w:pPr>
        <w:pStyle w:val="BodyText"/>
        <w:spacing w:before="4"/>
        <w:ind w:left="0"/>
        <w:rPr>
          <w:sz w:val="10"/>
        </w:rPr>
      </w:pPr>
    </w:p>
    <w:p>
      <w:pPr>
        <w:spacing w:line="240" w:lineRule="auto"/>
        <w:ind w:left="2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9916" cy="121253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916" cy="1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5"/>
        <w:ind w:left="0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10.</w:t>
      </w:r>
      <w:r>
        <w:rPr>
          <w:spacing w:val="40"/>
          <w:sz w:val="16"/>
        </w:rPr>
        <w:t> </w:t>
      </w:r>
      <w:r>
        <w:rPr>
          <w:sz w:val="16"/>
        </w:rPr>
        <w:t>Pairwise head-to-head comparison of longevity-qualified </w:t>
      </w:r>
      <w:r>
        <w:rPr>
          <w:sz w:val="16"/>
        </w:rPr>
        <w:t>bowlers.</w:t>
      </w:r>
      <w:r>
        <w:rPr>
          <w:spacing w:val="40"/>
          <w:sz w:val="16"/>
        </w:rPr>
        <w:t> </w:t>
      </w:r>
      <w:r>
        <w:rPr>
          <w:sz w:val="16"/>
        </w:rPr>
        <w:t>Left:</w:t>
      </w:r>
      <w:r>
        <w:rPr>
          <w:spacing w:val="-7"/>
          <w:sz w:val="16"/>
        </w:rPr>
        <w:t> </w:t>
      </w:r>
      <w:r>
        <w:rPr>
          <w:sz w:val="16"/>
        </w:rPr>
        <w:t>pairwise</w:t>
      </w:r>
      <w:r>
        <w:rPr>
          <w:spacing w:val="-7"/>
          <w:sz w:val="16"/>
        </w:rPr>
        <w:t> </w:t>
      </w:r>
      <w:r>
        <w:rPr>
          <w:sz w:val="16"/>
        </w:rPr>
        <w:t>advantage</w:t>
      </w:r>
      <w:r>
        <w:rPr>
          <w:spacing w:val="-7"/>
          <w:sz w:val="16"/>
        </w:rPr>
        <w:t> </w:t>
      </w:r>
      <w:r>
        <w:rPr>
          <w:sz w:val="16"/>
        </w:rPr>
        <w:t>based</w:t>
      </w:r>
      <w:r>
        <w:rPr>
          <w:spacing w:val="-7"/>
          <w:sz w:val="16"/>
        </w:rPr>
        <w:t> </w:t>
      </w: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bowling</w:t>
      </w:r>
      <w:r>
        <w:rPr>
          <w:spacing w:val="-7"/>
          <w:sz w:val="16"/>
        </w:rPr>
        <w:t> </w:t>
      </w:r>
      <w:r>
        <w:rPr>
          <w:sz w:val="16"/>
        </w:rPr>
        <w:t>average.</w:t>
      </w:r>
      <w:r>
        <w:rPr>
          <w:spacing w:val="-7"/>
          <w:sz w:val="16"/>
        </w:rPr>
        <w:t> </w:t>
      </w:r>
      <w:r>
        <w:rPr>
          <w:sz w:val="16"/>
        </w:rPr>
        <w:t>Right:</w:t>
      </w:r>
      <w:r>
        <w:rPr>
          <w:spacing w:val="-7"/>
          <w:sz w:val="16"/>
        </w:rPr>
        <w:t> </w:t>
      </w:r>
      <w:r>
        <w:rPr>
          <w:sz w:val="16"/>
        </w:rPr>
        <w:t>pairwise</w:t>
      </w:r>
      <w:r>
        <w:rPr>
          <w:spacing w:val="-7"/>
          <w:sz w:val="16"/>
        </w:rPr>
        <w:t> </w:t>
      </w:r>
      <w:r>
        <w:rPr>
          <w:sz w:val="16"/>
        </w:rPr>
        <w:t>advantage</w:t>
      </w:r>
      <w:r>
        <w:rPr>
          <w:spacing w:val="40"/>
          <w:sz w:val="16"/>
        </w:rPr>
        <w:t> </w:t>
      </w:r>
      <w:r>
        <w:rPr>
          <w:sz w:val="16"/>
        </w:rPr>
        <w:t>based on economy rate. Green indicates an advantage for the row player and</w:t>
      </w:r>
      <w:r>
        <w:rPr>
          <w:spacing w:val="40"/>
          <w:sz w:val="16"/>
        </w:rPr>
        <w:t> </w:t>
      </w:r>
      <w:r>
        <w:rPr>
          <w:sz w:val="16"/>
        </w:rPr>
        <w:t>red indicates an advantage for the column player.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40"/>
        <w:ind w:left="0"/>
        <w:rPr>
          <w:sz w:val="16"/>
        </w:rPr>
      </w:pPr>
    </w:p>
    <w:p>
      <w:pPr>
        <w:pStyle w:val="BodyText"/>
        <w:ind w:left="458"/>
      </w:pPr>
      <w:r>
        <w:rPr/>
        <w:t>Their</w:t>
      </w:r>
      <w:r>
        <w:rPr>
          <w:spacing w:val="14"/>
        </w:rPr>
        <w:t> </w:t>
      </w:r>
      <w:r>
        <w:rPr/>
        <w:t>economy</w:t>
      </w:r>
      <w:r>
        <w:rPr>
          <w:spacing w:val="15"/>
        </w:rPr>
        <w:t> </w:t>
      </w:r>
      <w:r>
        <w:rPr/>
        <w:t>rates</w:t>
      </w:r>
      <w:r>
        <w:rPr>
          <w:spacing w:val="15"/>
        </w:rPr>
        <w:t> </w:t>
      </w:r>
      <w:r>
        <w:rPr/>
        <w:t>are</w:t>
      </w:r>
      <w:r>
        <w:rPr>
          <w:spacing w:val="15"/>
        </w:rPr>
        <w:t> </w:t>
      </w:r>
      <w:r>
        <w:rPr/>
        <w:t>1.37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1.31: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br w:type="column"/>
      </w:r>
      <w:r>
        <w:rPr/>
        <w:t>Overall, the pairwise comparison layer complements </w:t>
      </w:r>
      <w:r>
        <w:rPr/>
        <w:t>rather than replaces the quantile-based tier classification.</w:t>
      </w:r>
    </w:p>
    <w:p>
      <w:pPr>
        <w:pStyle w:val="BodyText"/>
        <w:spacing w:line="249" w:lineRule="auto" w:before="5"/>
        <w:ind w:left="199" w:right="257" w:firstLine="199"/>
        <w:jc w:val="both"/>
      </w:pPr>
      <w:r>
        <w:rPr/>
        <w:t>The tier system provides population-level </w:t>
      </w:r>
      <w:r>
        <w:rPr/>
        <w:t>classification, while the pairwise matrices provide direct numerical compar-isons between individual players.</w:t>
      </w:r>
    </w:p>
    <w:p>
      <w:pPr>
        <w:pStyle w:val="ListParagraph"/>
        <w:numPr>
          <w:ilvl w:val="0"/>
          <w:numId w:val="1"/>
        </w:numPr>
        <w:tabs>
          <w:tab w:pos="2353" w:val="left" w:leader="none"/>
        </w:tabs>
        <w:spacing w:line="240" w:lineRule="auto" w:before="179" w:after="0"/>
        <w:ind w:left="2353" w:right="0" w:hanging="367"/>
        <w:jc w:val="left"/>
        <w:rPr>
          <w:sz w:val="20"/>
        </w:rPr>
      </w:pP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99" w:after="0"/>
        <w:ind w:left="469" w:right="0" w:hanging="270"/>
        <w:jc w:val="both"/>
        <w:rPr>
          <w:i/>
          <w:sz w:val="20"/>
        </w:rPr>
      </w:pPr>
      <w:r>
        <w:rPr>
          <w:i/>
          <w:w w:val="105"/>
          <w:sz w:val="20"/>
        </w:rPr>
        <w:t>Why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5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R</w:t>
      </w:r>
      <w:r>
        <w:rPr>
          <w:rFonts w:ascii="Calibri"/>
          <w:w w:val="105"/>
          <w:sz w:val="20"/>
          <w:vertAlign w:val="superscript"/>
        </w:rPr>
        <w:t>2</w:t>
      </w:r>
      <w:r>
        <w:rPr>
          <w:rFonts w:ascii="Calibri"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Ceiling</w:t>
      </w:r>
      <w:r>
        <w:rPr>
          <w:i/>
          <w:spacing w:val="5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Is</w:t>
      </w:r>
      <w:r>
        <w:rPr>
          <w:i/>
          <w:spacing w:val="4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Data-</w:t>
      </w:r>
      <w:r>
        <w:rPr>
          <w:i/>
          <w:spacing w:val="-2"/>
          <w:w w:val="105"/>
          <w:sz w:val="20"/>
          <w:vertAlign w:val="baseline"/>
        </w:rPr>
        <w:t>Bound</w:t>
      </w:r>
    </w:p>
    <w:p>
      <w:pPr>
        <w:pStyle w:val="BodyText"/>
        <w:spacing w:line="249" w:lineRule="auto" w:before="80"/>
        <w:ind w:left="199" w:right="257" w:firstLine="199"/>
        <w:jc w:val="both"/>
      </w:pPr>
      <w:r>
        <w:rPr/>
        <w:t>Three observations support the interpretation that the </w:t>
      </w:r>
      <w:r>
        <w:rPr/>
        <w:t>test-performance ceiling is influenced by data limitations.</w:t>
      </w:r>
    </w:p>
    <w:p>
      <w:pPr>
        <w:pStyle w:val="BodyText"/>
        <w:spacing w:line="244" w:lineRule="auto" w:before="1"/>
        <w:ind w:left="199" w:right="257" w:firstLine="199"/>
        <w:jc w:val="both"/>
      </w:pPr>
      <w:r>
        <w:rPr/>
        <w:t>First, the train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of 0.9888 under the unregularized </w:t>
      </w:r>
      <w:r>
        <w:rPr>
          <w:vertAlign w:val="baseline"/>
        </w:rPr>
        <w:t>model demonstrates that XGBoost has sufficient capacity to fit the training data.</w:t>
      </w:r>
    </w:p>
    <w:p>
      <w:pPr>
        <w:pStyle w:val="BodyText"/>
        <w:spacing w:line="249" w:lineRule="auto" w:before="8"/>
        <w:ind w:left="199" w:right="257" w:firstLine="199"/>
        <w:jc w:val="both"/>
      </w:pPr>
      <w:r>
        <w:rPr/>
        <w:t>Second,</w:t>
      </w:r>
      <w:r>
        <w:rPr>
          <w:spacing w:val="-2"/>
        </w:rPr>
        <w:t> </w:t>
      </w:r>
      <w:r>
        <w:rPr/>
        <w:t>regularization</w:t>
      </w:r>
      <w:r>
        <w:rPr>
          <w:spacing w:val="-2"/>
        </w:rPr>
        <w:t> </w:t>
      </w:r>
      <w:r>
        <w:rPr/>
        <w:t>reduced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train-test</w:t>
      </w:r>
      <w:r>
        <w:rPr>
          <w:spacing w:val="-2"/>
        </w:rPr>
        <w:t> </w:t>
      </w:r>
      <w:r>
        <w:rPr/>
        <w:t>gap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 recover test performance.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4" w:lineRule="auto" w:before="91"/>
        <w:ind w:left="1326" w:right="0" w:firstLine="5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1195019</wp:posOffset>
                </wp:positionH>
                <wp:positionV relativeFrom="paragraph">
                  <wp:posOffset>80415</wp:posOffset>
                </wp:positionV>
                <wp:extent cx="104775" cy="1270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96001pt;margin-top:6.331956pt;width:8.25pt;height:10pt;mso-position-horizontal-relative:page;mso-position-vertical-relative:paragraph;z-index:15744000" type="#_x0000_t202" id="docshape2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25"/>
          <w:sz w:val="14"/>
        </w:rPr>
        <w:t>Econ</w:t>
      </w:r>
      <w:r>
        <w:rPr>
          <w:rFonts w:ascii="Calibri"/>
          <w:spacing w:val="40"/>
          <w:w w:val="125"/>
          <w:sz w:val="14"/>
        </w:rPr>
        <w:t> </w:t>
      </w:r>
      <w:r>
        <w:rPr>
          <w:rFonts w:ascii="Calibri"/>
          <w:spacing w:val="-2"/>
          <w:w w:val="125"/>
          <w:sz w:val="14"/>
        </w:rPr>
        <w:t>Kumar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Narine</w:t>
      </w:r>
    </w:p>
    <w:p>
      <w:pPr>
        <w:pStyle w:val="BodyText"/>
        <w:tabs>
          <w:tab w:pos="2588" w:val="left" w:leader="none"/>
        </w:tabs>
        <w:spacing w:before="56"/>
        <w:ind w:left="25"/>
      </w:pPr>
      <w:r>
        <w:rPr/>
        <w:br w:type="column"/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3"/>
          <w:w w:val="110"/>
        </w:rPr>
        <w:t>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31</w:t>
      </w:r>
      <w:r>
        <w:rPr>
          <w:rFonts w:ascii="Calibri" w:hAnsi="Calibri"/>
          <w:spacing w:val="-6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>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37</w:t>
      </w:r>
      <w:r>
        <w:rPr>
          <w:rFonts w:ascii="Calibri" w:hAnsi="Calibri"/>
          <w:spacing w:val="5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"/>
          <w:w w:val="110"/>
        </w:rPr>
        <w:t> </w:t>
      </w:r>
      <w:r>
        <w:rPr>
          <w:rFonts w:ascii="Lucida Sans Unicode" w:hAnsi="Lucida Sans Unicode"/>
          <w:spacing w:val="-2"/>
          <w:w w:val="110"/>
        </w:rPr>
        <w:t>−</w:t>
      </w:r>
      <w:r>
        <w:rPr>
          <w:rFonts w:ascii="Calibri" w:hAnsi="Calibri"/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06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8"/>
          <w:w w:val="105"/>
        </w:rPr>
        <w:t>(28)</w:t>
      </w:r>
    </w:p>
    <w:p>
      <w:pPr>
        <w:pStyle w:val="BodyText"/>
        <w:spacing w:line="249" w:lineRule="auto"/>
        <w:ind w:left="199" w:right="257" w:firstLine="199"/>
      </w:pPr>
      <w:r>
        <w:rPr/>
        <w:br w:type="column"/>
      </w:r>
      <w:r>
        <w:rPr/>
        <w:t>Third, the auction dataset does not contain several </w:t>
      </w:r>
      <w:r>
        <w:rPr/>
        <w:t>contex-tual</w:t>
      </w:r>
      <w:r>
        <w:rPr>
          <w:spacing w:val="35"/>
        </w:rPr>
        <w:t> </w:t>
      </w:r>
      <w:r>
        <w:rPr/>
        <w:t>variables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may</w:t>
      </w:r>
      <w:r>
        <w:rPr>
          <w:spacing w:val="36"/>
        </w:rPr>
        <w:t> </w:t>
      </w:r>
      <w:r>
        <w:rPr/>
        <w:t>affect</w:t>
      </w:r>
      <w:r>
        <w:rPr>
          <w:spacing w:val="36"/>
        </w:rPr>
        <w:t> </w:t>
      </w:r>
      <w:r>
        <w:rPr/>
        <w:t>auction</w:t>
      </w:r>
      <w:r>
        <w:rPr>
          <w:spacing w:val="36"/>
        </w:rPr>
        <w:t> </w:t>
      </w:r>
      <w:r>
        <w:rPr/>
        <w:t>price,</w:t>
      </w:r>
      <w:r>
        <w:rPr>
          <w:spacing w:val="36"/>
        </w:rPr>
        <w:t> </w:t>
      </w:r>
      <w:r>
        <w:rPr/>
        <w:t>including</w:t>
      </w:r>
      <w:r>
        <w:rPr>
          <w:spacing w:val="35"/>
        </w:rPr>
        <w:t> </w:t>
      </w:r>
      <w:r>
        <w:rPr>
          <w:spacing w:val="-2"/>
        </w:rPr>
        <w:t>prior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3" w:equalWidth="0">
            <w:col w:w="2321" w:space="40"/>
            <w:col w:w="2921" w:space="39"/>
            <w:col w:w="5479"/>
          </w:cols>
        </w:sectPr>
      </w:pPr>
    </w:p>
    <w:p>
      <w:pPr>
        <w:pStyle w:val="BodyText"/>
        <w:spacing w:line="205" w:lineRule="exact"/>
        <w:ind w:left="458"/>
      </w:pPr>
      <w:r>
        <w:rPr/>
        <w:t>The</w:t>
      </w:r>
      <w:r>
        <w:rPr>
          <w:spacing w:val="54"/>
        </w:rPr>
        <w:t> </w:t>
      </w:r>
      <w:r>
        <w:rPr/>
        <w:t>relatively</w:t>
      </w:r>
      <w:r>
        <w:rPr>
          <w:spacing w:val="54"/>
        </w:rPr>
        <w:t> </w:t>
      </w:r>
      <w:r>
        <w:rPr/>
        <w:t>small</w:t>
      </w:r>
      <w:r>
        <w:rPr>
          <w:spacing w:val="55"/>
        </w:rPr>
        <w:t> </w:t>
      </w:r>
      <w:r>
        <w:rPr/>
        <w:t>magnitudes</w:t>
      </w:r>
      <w:r>
        <w:rPr>
          <w:spacing w:val="54"/>
        </w:rPr>
        <w:t> </w:t>
      </w:r>
      <w:r>
        <w:rPr/>
        <w:t>indicate</w:t>
      </w:r>
      <w:r>
        <w:rPr>
          <w:spacing w:val="55"/>
        </w:rPr>
        <w:t> </w:t>
      </w:r>
      <w:r>
        <w:rPr/>
        <w:t>that</w:t>
      </w:r>
      <w:r>
        <w:rPr>
          <w:spacing w:val="54"/>
        </w:rPr>
        <w:t> </w:t>
      </w:r>
      <w:r>
        <w:rPr/>
        <w:t>these</w:t>
      </w:r>
      <w:r>
        <w:rPr>
          <w:spacing w:val="55"/>
        </w:rPr>
        <w:t> </w:t>
      </w:r>
      <w:r>
        <w:rPr>
          <w:spacing w:val="-5"/>
        </w:rPr>
        <w:t>two</w:t>
      </w:r>
    </w:p>
    <w:p>
      <w:pPr>
        <w:pStyle w:val="BodyText"/>
        <w:spacing w:line="249" w:lineRule="auto" w:before="9"/>
      </w:pPr>
      <w:r>
        <w:rPr/>
        <w:t>players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numerically</w:t>
      </w:r>
      <w:r>
        <w:rPr>
          <w:spacing w:val="40"/>
        </w:rPr>
        <w:t> </w:t>
      </w:r>
      <w:r>
        <w:rPr/>
        <w:t>close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particular </w:t>
      </w:r>
      <w:r>
        <w:rPr>
          <w:spacing w:val="-2"/>
        </w:rPr>
        <w:t>metrics.</w:t>
      </w:r>
    </w:p>
    <w:p>
      <w:pPr>
        <w:pStyle w:val="BodyText"/>
        <w:spacing w:line="228" w:lineRule="exact"/>
        <w:ind w:left="458"/>
      </w:pPr>
      <w:r>
        <w:rPr/>
        <w:t>For</w:t>
      </w:r>
      <w:r>
        <w:rPr>
          <w:spacing w:val="21"/>
        </w:rPr>
        <w:t> </w:t>
      </w:r>
      <w:r>
        <w:rPr/>
        <w:t>B.</w:t>
      </w:r>
      <w:r>
        <w:rPr>
          <w:spacing w:val="21"/>
        </w:rPr>
        <w:t> </w:t>
      </w:r>
      <w:r>
        <w:rPr/>
        <w:t>Kumar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R.</w:t>
      </w:r>
      <w:r>
        <w:rPr>
          <w:spacing w:val="21"/>
        </w:rPr>
        <w:t> </w:t>
      </w:r>
      <w:r>
        <w:rPr/>
        <w:t>A.</w:t>
      </w:r>
      <w:r>
        <w:rPr>
          <w:spacing w:val="22"/>
        </w:rPr>
        <w:t> </w:t>
      </w:r>
      <w:r>
        <w:rPr/>
        <w:t>Jadeja,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bowling</w:t>
      </w:r>
      <w:r>
        <w:rPr>
          <w:spacing w:val="22"/>
        </w:rPr>
        <w:t> </w:t>
      </w:r>
      <w:r>
        <w:rPr/>
        <w:t>averages</w:t>
      </w:r>
      <w:r>
        <w:rPr>
          <w:spacing w:val="21"/>
        </w:rPr>
        <w:t> </w:t>
      </w:r>
      <w:r>
        <w:rPr>
          <w:spacing w:val="-5"/>
        </w:rPr>
        <w:t>are</w:t>
      </w:r>
    </w:p>
    <w:p>
      <w:pPr>
        <w:pStyle w:val="BodyText"/>
        <w:spacing w:before="9"/>
      </w:pPr>
      <w:r>
        <w:rPr/>
        <w:t>4.85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2"/>
        </w:rPr>
        <w:t>6.68:</w:t>
      </w:r>
    </w:p>
    <w:p>
      <w:pPr>
        <w:pStyle w:val="BodyText"/>
        <w:spacing w:line="249" w:lineRule="auto" w:before="5"/>
        <w:ind w:left="199" w:right="257"/>
        <w:jc w:val="both"/>
      </w:pPr>
      <w:r>
        <w:rPr/>
        <w:br w:type="column"/>
      </w:r>
      <w:r>
        <w:rPr/>
        <w:t>auction price, retention decisions, franchise budget </w:t>
      </w:r>
      <w:r>
        <w:rPr/>
        <w:t>headroom, recent-form information, and injury status.</w:t>
      </w:r>
    </w:p>
    <w:p>
      <w:pPr>
        <w:pStyle w:val="BodyText"/>
        <w:spacing w:line="249" w:lineRule="auto" w:before="5"/>
        <w:ind w:left="199" w:right="257" w:firstLine="199"/>
        <w:jc w:val="both"/>
      </w:pPr>
      <w:r>
        <w:rPr/>
        <w:t>Therefore, the observed test performance should be </w:t>
      </w:r>
      <w:r>
        <w:rPr/>
        <w:t>inter-preted in the context of the available features rather than as a complete representation of auction valuation.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9"/>
        <w:ind w:left="0"/>
        <w:rPr>
          <w:sz w:val="14"/>
        </w:rPr>
      </w:pPr>
    </w:p>
    <w:p>
      <w:pPr>
        <w:spacing w:line="218" w:lineRule="auto" w:before="0"/>
        <w:ind w:left="1411" w:right="0" w:firstLine="5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1248930</wp:posOffset>
                </wp:positionH>
                <wp:positionV relativeFrom="paragraph">
                  <wp:posOffset>43075</wp:posOffset>
                </wp:positionV>
                <wp:extent cx="104775" cy="1270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341003pt;margin-top:3.391749pt;width:8.25pt;height:10pt;mso-position-horizontal-relative:page;mso-position-vertical-relative:paragraph;z-index:15744512" type="#_x0000_t202" id="docshape2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30"/>
          <w:sz w:val="14"/>
        </w:rPr>
        <w:t>Avg</w:t>
      </w:r>
      <w:r>
        <w:rPr>
          <w:rFonts w:ascii="Calibri"/>
          <w:spacing w:val="40"/>
          <w:w w:val="130"/>
          <w:sz w:val="14"/>
        </w:rPr>
        <w:t> </w:t>
      </w:r>
      <w:r>
        <w:rPr>
          <w:rFonts w:ascii="Calibri"/>
          <w:spacing w:val="-2"/>
          <w:w w:val="125"/>
          <w:sz w:val="14"/>
        </w:rPr>
        <w:t>Kumar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rFonts w:ascii="Calibri"/>
          <w:spacing w:val="-2"/>
          <w:w w:val="125"/>
          <w:sz w:val="14"/>
        </w:rPr>
        <w:t>Jadeja</w:t>
      </w:r>
    </w:p>
    <w:p>
      <w:pPr>
        <w:pStyle w:val="BodyText"/>
        <w:tabs>
          <w:tab w:pos="2518" w:val="left" w:leader="none"/>
        </w:tabs>
        <w:spacing w:before="168"/>
        <w:ind w:left="25"/>
      </w:pPr>
      <w:r>
        <w:rPr/>
        <w:br w:type="column"/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w w:val="110"/>
        </w:rPr>
        <w:t>6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68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85</w:t>
      </w:r>
      <w:r>
        <w:rPr>
          <w:rFonts w:ascii="Calibri" w:hAnsi="Calibri"/>
          <w:spacing w:val="-2"/>
          <w:w w:val="110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9"/>
          <w:w w:val="125"/>
        </w:rPr>
        <w:t> </w:t>
      </w:r>
      <w:r>
        <w:rPr>
          <w:rFonts w:ascii="Calibri" w:hAnsi="Calibri"/>
          <w:spacing w:val="-4"/>
          <w:w w:val="110"/>
        </w:rPr>
        <w:t>1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spacing w:val="-4"/>
          <w:w w:val="110"/>
        </w:rPr>
        <w:t>83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8"/>
          <w:w w:val="105"/>
        </w:rPr>
        <w:t>(29)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79" w:after="0"/>
        <w:ind w:left="469" w:right="0" w:hanging="270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Value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Limits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Ranking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Framework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2390" w:space="40"/>
            <w:col w:w="2851" w:space="39"/>
            <w:col w:w="5480"/>
          </w:cols>
        </w:sectPr>
      </w:pPr>
    </w:p>
    <w:p>
      <w:pPr>
        <w:pStyle w:val="BodyText"/>
        <w:spacing w:before="83"/>
        <w:ind w:left="458"/>
      </w:pPr>
      <w:r>
        <w:rPr/>
        <w:t>For</w:t>
      </w:r>
      <w:r>
        <w:rPr>
          <w:spacing w:val="9"/>
        </w:rPr>
        <w:t> </w:t>
      </w:r>
      <w:r>
        <w:rPr/>
        <w:t>B.</w:t>
      </w:r>
      <w:r>
        <w:rPr>
          <w:spacing w:val="10"/>
        </w:rPr>
        <w:t> </w:t>
      </w:r>
      <w:r>
        <w:rPr/>
        <w:t>Kumar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V.</w:t>
      </w:r>
      <w:r>
        <w:rPr>
          <w:spacing w:val="10"/>
        </w:rPr>
        <w:t> </w:t>
      </w:r>
      <w:r>
        <w:rPr>
          <w:spacing w:val="-2"/>
        </w:rPr>
        <w:t>Kohli,</w:t>
      </w:r>
    </w:p>
    <w:p>
      <w:pPr>
        <w:pStyle w:val="BodyText"/>
        <w:tabs>
          <w:tab w:pos="1173" w:val="left" w:leader="none"/>
          <w:tab w:pos="2541" w:val="left" w:leader="none"/>
          <w:tab w:pos="3355" w:val="left" w:leader="none"/>
          <w:tab w:pos="4428" w:val="left" w:leader="none"/>
        </w:tabs>
        <w:spacing w:line="249" w:lineRule="auto" w:before="18"/>
        <w:ind w:left="458" w:right="257" w:firstLine="199"/>
      </w:pPr>
      <w:r>
        <w:rPr/>
        <w:br w:type="column"/>
      </w:r>
      <w:r>
        <w:rPr>
          <w:spacing w:val="-4"/>
        </w:rPr>
        <w:t>The</w:t>
      </w:r>
      <w:r>
        <w:rPr/>
        <w:tab/>
      </w:r>
      <w:r>
        <w:rPr>
          <w:spacing w:val="-2"/>
        </w:rPr>
        <w:t>quantile-based</w:t>
      </w:r>
      <w:r>
        <w:rPr/>
        <w:tab/>
      </w:r>
      <w:r>
        <w:rPr>
          <w:spacing w:val="-2"/>
        </w:rPr>
        <w:t>ranking</w:t>
      </w:r>
      <w:r>
        <w:rPr/>
        <w:tab/>
      </w:r>
      <w:r>
        <w:rPr>
          <w:spacing w:val="-2"/>
        </w:rPr>
        <w:t>framework</w:t>
      </w:r>
      <w:r>
        <w:rPr/>
        <w:tab/>
      </w:r>
      <w:r>
        <w:rPr>
          <w:spacing w:val="-2"/>
        </w:rPr>
        <w:t>demonstrates </w:t>
      </w:r>
      <w:r>
        <w:rPr/>
        <w:t>how</w:t>
      </w:r>
      <w:r>
        <w:rPr>
          <w:spacing w:val="30"/>
        </w:rPr>
        <w:t>  </w:t>
      </w:r>
      <w:r>
        <w:rPr/>
        <w:t>match-level</w:t>
      </w:r>
      <w:r>
        <w:rPr>
          <w:spacing w:val="31"/>
        </w:rPr>
        <w:t>  </w:t>
      </w:r>
      <w:r>
        <w:rPr/>
        <w:t>aggregation,</w:t>
      </w:r>
      <w:r>
        <w:rPr>
          <w:spacing w:val="31"/>
        </w:rPr>
        <w:t>  </w:t>
      </w:r>
      <w:r>
        <w:rPr/>
        <w:t>rate-based</w:t>
      </w:r>
      <w:r>
        <w:rPr>
          <w:spacing w:val="31"/>
        </w:rPr>
        <w:t>  </w:t>
      </w:r>
      <w:r>
        <w:rPr/>
        <w:t>measures,</w:t>
      </w:r>
      <w:r>
        <w:rPr>
          <w:spacing w:val="31"/>
        </w:rPr>
        <w:t>  </w:t>
      </w:r>
      <w:r>
        <w:rPr>
          <w:spacing w:val="-5"/>
        </w:rPr>
        <w:t>and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2807" w:space="2254"/>
            <w:col w:w="5739"/>
          </w:cols>
        </w:sectPr>
      </w:pPr>
    </w:p>
    <w:p>
      <w:pPr>
        <w:spacing w:line="218" w:lineRule="auto" w:before="33"/>
        <w:ind w:left="1346" w:right="0" w:firstLine="5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1207541</wp:posOffset>
                </wp:positionH>
                <wp:positionV relativeFrom="paragraph">
                  <wp:posOffset>64249</wp:posOffset>
                </wp:positionV>
                <wp:extent cx="104775" cy="1270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082001pt;margin-top:5.059022pt;width:8.25pt;height:10pt;mso-position-horizontal-relative:page;mso-position-vertical-relative:paragraph;z-index:15745024" type="#_x0000_t202" id="docshape25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30"/>
          <w:sz w:val="14"/>
        </w:rPr>
        <w:t>Avg</w:t>
      </w:r>
      <w:r>
        <w:rPr>
          <w:rFonts w:ascii="Calibri"/>
          <w:spacing w:val="40"/>
          <w:w w:val="130"/>
          <w:sz w:val="14"/>
        </w:rPr>
        <w:t> </w:t>
      </w:r>
      <w:r>
        <w:rPr>
          <w:rFonts w:ascii="Calibri"/>
          <w:spacing w:val="-2"/>
          <w:w w:val="130"/>
          <w:sz w:val="14"/>
        </w:rPr>
        <w:t>Kumar</w:t>
      </w:r>
      <w:r>
        <w:rPr>
          <w:rFonts w:ascii="Calibri"/>
          <w:i/>
          <w:spacing w:val="-2"/>
          <w:w w:val="130"/>
          <w:sz w:val="14"/>
        </w:rPr>
        <w:t>,</w:t>
      </w:r>
      <w:r>
        <w:rPr>
          <w:rFonts w:ascii="Calibri"/>
          <w:spacing w:val="-2"/>
          <w:w w:val="130"/>
          <w:sz w:val="14"/>
        </w:rPr>
        <w:t>Kohli</w:t>
      </w:r>
    </w:p>
    <w:p>
      <w:pPr>
        <w:pStyle w:val="BodyText"/>
        <w:tabs>
          <w:tab w:pos="2652" w:val="left" w:leader="none"/>
        </w:tabs>
        <w:spacing w:before="31"/>
        <w:ind w:left="25"/>
      </w:pPr>
      <w:r>
        <w:rPr/>
        <w:br w:type="column"/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w w:val="110"/>
        </w:rPr>
        <w:t>27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75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85</w:t>
      </w:r>
      <w:r>
        <w:rPr>
          <w:rFonts w:ascii="Calibri" w:hAnsi="Calibri"/>
          <w:spacing w:val="-12"/>
          <w:w w:val="110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2"/>
          <w:w w:val="125"/>
        </w:rPr>
        <w:t> </w:t>
      </w:r>
      <w:r>
        <w:rPr>
          <w:rFonts w:ascii="Calibri" w:hAnsi="Calibri"/>
          <w:spacing w:val="-2"/>
          <w:w w:val="110"/>
        </w:rPr>
        <w:t>22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90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8"/>
          <w:w w:val="105"/>
        </w:rPr>
        <w:t>(30)</w:t>
      </w:r>
    </w:p>
    <w:p>
      <w:pPr>
        <w:pStyle w:val="BodyText"/>
        <w:spacing w:line="249" w:lineRule="auto"/>
        <w:ind w:left="199" w:right="41"/>
      </w:pPr>
      <w:r>
        <w:rPr/>
        <w:br w:type="column"/>
      </w:r>
      <w:r>
        <w:rPr/>
        <w:t>distribution-relative</w:t>
      </w:r>
      <w:r>
        <w:rPr>
          <w:spacing w:val="40"/>
        </w:rPr>
        <w:t> </w:t>
      </w:r>
      <w:r>
        <w:rPr/>
        <w:t>tiers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interpretable</w:t>
      </w:r>
      <w:r>
        <w:rPr>
          <w:spacing w:val="40"/>
        </w:rPr>
        <w:t> </w:t>
      </w:r>
      <w:r>
        <w:rPr/>
        <w:t>outputs from existing ball-by-ball data.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3" w:equalWidth="0">
            <w:col w:w="2256" w:space="40"/>
            <w:col w:w="2985" w:space="39"/>
            <w:col w:w="5480"/>
          </w:cols>
        </w:sectPr>
      </w:pPr>
    </w:p>
    <w:p>
      <w:pPr>
        <w:pStyle w:val="BodyText"/>
        <w:spacing w:line="180" w:lineRule="exact"/>
        <w:ind w:left="458"/>
      </w:pPr>
      <w:r>
        <w:rPr/>
        <w:t>Their</w:t>
      </w:r>
      <w:r>
        <w:rPr>
          <w:spacing w:val="-2"/>
        </w:rPr>
        <w:t> </w:t>
      </w:r>
      <w:r>
        <w:rPr/>
        <w:t>economy</w:t>
      </w:r>
      <w:r>
        <w:rPr>
          <w:spacing w:val="-1"/>
        </w:rPr>
        <w:t> </w:t>
      </w:r>
      <w:r>
        <w:rPr/>
        <w:t>rates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1.37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Kumar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2.65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Kohli:</w:t>
      </w:r>
    </w:p>
    <w:p>
      <w:pPr>
        <w:pStyle w:val="BodyText"/>
        <w:spacing w:line="249" w:lineRule="auto"/>
        <w:ind w:left="199" w:right="257" w:firstLine="199"/>
      </w:pPr>
      <w:r>
        <w:rPr/>
        <w:br w:type="column"/>
      </w:r>
      <w:r>
        <w:rPr/>
        <w:t>Unlike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batting-weighted</w:t>
      </w:r>
      <w:r>
        <w:rPr>
          <w:spacing w:val="24"/>
        </w:rPr>
        <w:t> </w:t>
      </w:r>
      <w:r>
        <w:rPr/>
        <w:t>composite</w:t>
      </w:r>
      <w:r>
        <w:rPr>
          <w:spacing w:val="24"/>
        </w:rPr>
        <w:t> </w:t>
      </w:r>
      <w:r>
        <w:rPr/>
        <w:t>score,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separate batting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bowling</w:t>
      </w:r>
      <w:r>
        <w:rPr>
          <w:spacing w:val="27"/>
        </w:rPr>
        <w:t> </w:t>
      </w:r>
      <w:r>
        <w:rPr/>
        <w:t>classifications</w:t>
      </w:r>
      <w:r>
        <w:rPr>
          <w:spacing w:val="27"/>
        </w:rPr>
        <w:t> </w:t>
      </w:r>
      <w:r>
        <w:rPr/>
        <w:t>preserve</w:t>
      </w:r>
      <w:r>
        <w:rPr>
          <w:spacing w:val="27"/>
        </w:rPr>
        <w:t> </w:t>
      </w:r>
      <w:r>
        <w:rPr/>
        <w:t>role-specific</w:t>
      </w:r>
      <w:r>
        <w:rPr>
          <w:spacing w:val="27"/>
        </w:rPr>
        <w:t> </w:t>
      </w:r>
      <w:r>
        <w:rPr>
          <w:spacing w:val="-5"/>
        </w:rPr>
        <w:t>in-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70" w:lineRule="exact" w:before="0"/>
        <w:ind w:left="1451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1270800</wp:posOffset>
                </wp:positionH>
                <wp:positionV relativeFrom="paragraph">
                  <wp:posOffset>-9384</wp:posOffset>
                </wp:positionV>
                <wp:extent cx="104775" cy="1270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47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063004pt;margin-top:-.738915pt;width:8.25pt;height:10pt;mso-position-horizontal-relative:page;mso-position-vertical-relative:paragraph;z-index:15745536" type="#_x0000_t202" id="docshape2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25"/>
          <w:sz w:val="14"/>
        </w:rPr>
        <w:t>Econ</w:t>
      </w:r>
    </w:p>
    <w:p>
      <w:pPr>
        <w:spacing w:line="151" w:lineRule="exact" w:before="0"/>
        <w:ind w:left="1446" w:right="0" w:firstLine="0"/>
        <w:jc w:val="left"/>
        <w:rPr>
          <w:rFonts w:ascii="Calibri"/>
          <w:sz w:val="14"/>
        </w:rPr>
      </w:pPr>
      <w:r>
        <w:rPr>
          <w:rFonts w:ascii="Calibri"/>
          <w:spacing w:val="-2"/>
          <w:w w:val="130"/>
          <w:sz w:val="14"/>
        </w:rPr>
        <w:t>Kumar</w:t>
      </w:r>
      <w:r>
        <w:rPr>
          <w:rFonts w:ascii="Calibri"/>
          <w:i/>
          <w:spacing w:val="-2"/>
          <w:w w:val="130"/>
          <w:sz w:val="14"/>
        </w:rPr>
        <w:t>,</w:t>
      </w:r>
      <w:r>
        <w:rPr>
          <w:rFonts w:ascii="Calibri"/>
          <w:spacing w:val="-2"/>
          <w:w w:val="130"/>
          <w:sz w:val="14"/>
        </w:rPr>
        <w:t>Kohli</w:t>
      </w:r>
    </w:p>
    <w:p>
      <w:pPr>
        <w:pStyle w:val="BodyText"/>
        <w:tabs>
          <w:tab w:pos="2552" w:val="left" w:leader="none"/>
        </w:tabs>
        <w:spacing w:line="223" w:lineRule="exact"/>
        <w:ind w:left="25"/>
      </w:pPr>
      <w:r>
        <w:rPr/>
        <w:br w:type="column"/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65</w:t>
      </w:r>
      <w:r>
        <w:rPr>
          <w:rFonts w:ascii="Calibri" w:hAnsi="Calibri"/>
          <w:spacing w:val="-12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>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37</w:t>
      </w:r>
      <w:r>
        <w:rPr>
          <w:rFonts w:ascii="Calibri" w:hAnsi="Calibri"/>
          <w:spacing w:val="-2"/>
          <w:w w:val="110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9"/>
          <w:w w:val="125"/>
        </w:rPr>
        <w:t> </w:t>
      </w:r>
      <w:r>
        <w:rPr>
          <w:rFonts w:ascii="Calibri" w:hAnsi="Calibri"/>
          <w:spacing w:val="-4"/>
          <w:w w:val="110"/>
        </w:rPr>
        <w:t>1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spacing w:val="-4"/>
          <w:w w:val="110"/>
        </w:rPr>
        <w:t>28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i/>
        </w:rPr>
        <w:tab/>
      </w:r>
      <w:r>
        <w:rPr>
          <w:spacing w:val="-8"/>
          <w:w w:val="105"/>
        </w:rPr>
        <w:t>(31)</w:t>
      </w:r>
    </w:p>
    <w:p>
      <w:pPr>
        <w:pStyle w:val="BodyText"/>
        <w:spacing w:before="5"/>
        <w:ind w:left="199"/>
      </w:pPr>
      <w:r>
        <w:rPr/>
        <w:br w:type="column"/>
      </w:r>
      <w:r>
        <w:rPr>
          <w:spacing w:val="-2"/>
        </w:rPr>
        <w:t>formation.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2356" w:space="40"/>
            <w:col w:w="2885" w:space="39"/>
            <w:col w:w="5480"/>
          </w:cols>
        </w:sectPr>
      </w:pPr>
    </w:p>
    <w:p>
      <w:pPr>
        <w:pStyle w:val="BodyText"/>
        <w:spacing w:line="249" w:lineRule="auto" w:before="77"/>
        <w:ind w:firstLine="199"/>
        <w:jc w:val="both"/>
      </w:pPr>
      <w:r>
        <w:rPr/>
        <w:t>These comparisons should be interpreted in the context </w:t>
      </w:r>
      <w:r>
        <w:rPr/>
        <w:t>of player roles and bowling exposure. B. Kumar is represented primarily as a specialist bowler, whereas V. Kohli has a substantially smaller bowling workload.</w:t>
      </w:r>
    </w:p>
    <w:p>
      <w:pPr>
        <w:pStyle w:val="BodyText"/>
        <w:spacing w:line="249" w:lineRule="auto"/>
        <w:ind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pairwise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therefore</w:t>
      </w:r>
      <w:r>
        <w:rPr>
          <w:spacing w:val="40"/>
        </w:rPr>
        <w:t> </w:t>
      </w:r>
      <w:r>
        <w:rPr/>
        <w:t>adds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 not</w:t>
      </w:r>
      <w:r>
        <w:rPr>
          <w:spacing w:val="30"/>
        </w:rPr>
        <w:t> </w:t>
      </w:r>
      <w:r>
        <w:rPr/>
        <w:t>directly</w:t>
      </w:r>
      <w:r>
        <w:rPr>
          <w:spacing w:val="30"/>
        </w:rPr>
        <w:t> </w:t>
      </w:r>
      <w:r>
        <w:rPr/>
        <w:t>available</w:t>
      </w:r>
      <w:r>
        <w:rPr>
          <w:spacing w:val="30"/>
        </w:rPr>
        <w:t> </w:t>
      </w:r>
      <w:r>
        <w:rPr/>
        <w:t>from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independently</w:t>
      </w:r>
      <w:r>
        <w:rPr>
          <w:spacing w:val="30"/>
        </w:rPr>
        <w:t> </w:t>
      </w:r>
      <w:r>
        <w:rPr/>
        <w:t>ranked</w:t>
      </w:r>
      <w:r>
        <w:rPr>
          <w:spacing w:val="30"/>
        </w:rPr>
        <w:t> </w:t>
      </w:r>
      <w:r>
        <w:rPr/>
        <w:t>tables. A ranking indicates relative population position, while a pairwise matrix quantifies the numerical separation between two players.</w:t>
      </w:r>
    </w:p>
    <w:p>
      <w:pPr>
        <w:pStyle w:val="BodyText"/>
        <w:spacing w:line="228" w:lineRule="exact"/>
        <w:ind w:left="458"/>
        <w:jc w:val="both"/>
      </w:pPr>
      <w:r>
        <w:rPr/>
        <w:t>The</w:t>
      </w:r>
      <w:r>
        <w:rPr>
          <w:spacing w:val="13"/>
        </w:rPr>
        <w:t> </w:t>
      </w:r>
      <w:r>
        <w:rPr/>
        <w:t>distinction</w:t>
      </w:r>
      <w:r>
        <w:rPr>
          <w:spacing w:val="14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expressed</w:t>
      </w:r>
      <w:r>
        <w:rPr>
          <w:spacing w:val="13"/>
        </w:rPr>
        <w:t> </w:t>
      </w:r>
      <w:r>
        <w:rPr>
          <w:spacing w:val="-5"/>
        </w:rPr>
        <w:t>as</w:t>
      </w:r>
    </w:p>
    <w:p>
      <w:pPr>
        <w:pStyle w:val="BodyText"/>
        <w:spacing w:before="137"/>
        <w:ind w:left="0"/>
      </w:pPr>
    </w:p>
    <w:p>
      <w:pPr>
        <w:pStyle w:val="BodyText"/>
        <w:tabs>
          <w:tab w:pos="4948" w:val="left" w:leader="none"/>
        </w:tabs>
        <w:spacing w:before="1"/>
        <w:ind w:left="458" w:firstLine="202"/>
      </w:pPr>
      <w:r>
        <w:rPr/>
        <w:t>Pairwise</w:t>
      </w:r>
      <w:r>
        <w:rPr>
          <w:spacing w:val="40"/>
        </w:rPr>
        <w:t> </w:t>
      </w:r>
      <w:r>
        <w:rPr/>
        <w:t>Information</w:t>
      </w:r>
      <w:r>
        <w:rPr>
          <w:spacing w:val="22"/>
        </w:rPr>
        <w:t> </w:t>
      </w:r>
      <w:r>
        <w:rPr>
          <w:rFonts w:ascii="Calibri"/>
        </w:rPr>
        <w:t>=</w:t>
      </w:r>
      <w:r>
        <w:rPr>
          <w:rFonts w:ascii="Calibri"/>
          <w:spacing w:val="27"/>
        </w:rPr>
        <w:t> </w:t>
      </w:r>
      <w:r>
        <w:rPr/>
        <w:t>Direction</w:t>
      </w:r>
      <w:r>
        <w:rPr>
          <w:spacing w:val="7"/>
        </w:rPr>
        <w:t> </w:t>
      </w:r>
      <w:r>
        <w:rPr>
          <w:rFonts w:ascii="Calibri"/>
        </w:rPr>
        <w:t>+</w:t>
      </w:r>
      <w:r>
        <w:rPr>
          <w:rFonts w:ascii="Calibri"/>
          <w:spacing w:val="13"/>
        </w:rPr>
        <w:t> </w:t>
      </w:r>
      <w:r>
        <w:rPr>
          <w:spacing w:val="-2"/>
        </w:rPr>
        <w:t>Magnitude</w:t>
      </w:r>
      <w:r>
        <w:rPr>
          <w:rFonts w:ascii="Calibri"/>
          <w:i/>
          <w:spacing w:val="-2"/>
        </w:rPr>
        <w:t>.</w:t>
      </w:r>
      <w:r>
        <w:rPr>
          <w:rFonts w:ascii="Calibri"/>
          <w:i/>
        </w:rPr>
        <w:tab/>
      </w:r>
      <w:r>
        <w:rPr>
          <w:spacing w:val="-4"/>
        </w:rPr>
        <w:t>(32)</w:t>
      </w:r>
    </w:p>
    <w:p>
      <w:pPr>
        <w:pStyle w:val="BodyText"/>
        <w:spacing w:line="211" w:lineRule="auto" w:before="143"/>
        <w:ind w:firstLine="199"/>
        <w:jc w:val="both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direction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determined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sign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rFonts w:ascii="Calibri"/>
          <w:i/>
          <w:w w:val="130"/>
        </w:rPr>
        <w:t>D</w:t>
      </w:r>
      <w:r>
        <w:rPr>
          <w:rFonts w:ascii="Calibri"/>
          <w:i/>
          <w:w w:val="130"/>
          <w:vertAlign w:val="subscript"/>
        </w:rPr>
        <w:t>ij</w:t>
      </w:r>
      <w:r>
        <w:rPr>
          <w:w w:val="130"/>
          <w:vertAlign w:val="baseline"/>
        </w:rPr>
        <w:t>,</w:t>
      </w:r>
      <w:r>
        <w:rPr>
          <w:spacing w:val="-17"/>
          <w:w w:val="130"/>
          <w:vertAlign w:val="baseline"/>
        </w:rPr>
        <w:t> </w:t>
      </w:r>
      <w:r>
        <w:rPr>
          <w:w w:val="110"/>
          <w:vertAlign w:val="baseline"/>
        </w:rPr>
        <w:t>while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 magnitude is represented by </w:t>
      </w:r>
      <w:r>
        <w:rPr>
          <w:rFonts w:ascii="Lucida Sans Unicode"/>
          <w:w w:val="110"/>
          <w:vertAlign w:val="baseline"/>
        </w:rPr>
        <w:t>|</w:t>
      </w:r>
      <w:r>
        <w:rPr>
          <w:rFonts w:ascii="Calibri"/>
          <w:i/>
          <w:w w:val="110"/>
          <w:vertAlign w:val="baseline"/>
        </w:rPr>
        <w:t>D</w:t>
      </w:r>
      <w:r>
        <w:rPr>
          <w:rFonts w:ascii="Calibri"/>
          <w:i/>
          <w:w w:val="110"/>
          <w:vertAlign w:val="subscript"/>
        </w:rPr>
        <w:t>ij</w:t>
      </w:r>
      <w:r>
        <w:rPr>
          <w:rFonts w:ascii="Lucida Sans Unicode"/>
          <w:w w:val="110"/>
          <w:vertAlign w:val="baseline"/>
        </w:rPr>
        <w:t>|</w:t>
      </w:r>
      <w:r>
        <w:rPr>
          <w:w w:val="110"/>
          <w:vertAlign w:val="baseline"/>
        </w:rPr>
        <w:t>.</w:t>
      </w:r>
    </w:p>
    <w:p>
      <w:pPr>
        <w:pStyle w:val="BodyText"/>
        <w:spacing w:line="202" w:lineRule="exact"/>
        <w:ind w:left="458"/>
        <w:jc w:val="both"/>
      </w:pPr>
      <w:r>
        <w:rPr/>
        <w:t>Importantly,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pairwise</w:t>
      </w:r>
      <w:r>
        <w:rPr>
          <w:spacing w:val="47"/>
        </w:rPr>
        <w:t> </w:t>
      </w:r>
      <w:r>
        <w:rPr/>
        <w:t>differences</w:t>
      </w:r>
      <w:r>
        <w:rPr>
          <w:spacing w:val="47"/>
        </w:rPr>
        <w:t> </w:t>
      </w:r>
      <w:r>
        <w:rPr/>
        <w:t>are</w:t>
      </w:r>
      <w:r>
        <w:rPr>
          <w:spacing w:val="47"/>
        </w:rPr>
        <w:t> </w:t>
      </w:r>
      <w:r>
        <w:rPr/>
        <w:t>descriptive</w:t>
      </w:r>
      <w:r>
        <w:rPr>
          <w:spacing w:val="47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 w:before="9"/>
        <w:jc w:val="both"/>
      </w:pPr>
      <w:r>
        <w:rPr/>
        <w:t>metric-specific. No statistical significance test or </w:t>
      </w:r>
      <w:r>
        <w:rPr/>
        <w:t>confidence interval is applied.</w:t>
      </w:r>
    </w:p>
    <w:p>
      <w:pPr>
        <w:pStyle w:val="BodyText"/>
        <w:spacing w:line="249" w:lineRule="auto"/>
        <w:ind w:firstLine="199"/>
        <w:jc w:val="both"/>
      </w:pPr>
      <w:r>
        <w:rPr/>
        <w:t>A small numerical gap therefore indicates only that </w:t>
      </w:r>
      <w:r>
        <w:rPr/>
        <w:t>the observed</w:t>
      </w:r>
      <w:r>
        <w:rPr>
          <w:spacing w:val="27"/>
        </w:rPr>
        <w:t> </w:t>
      </w:r>
      <w:r>
        <w:rPr/>
        <w:t>values</w:t>
      </w:r>
      <w:r>
        <w:rPr>
          <w:spacing w:val="27"/>
        </w:rPr>
        <w:t> </w:t>
      </w:r>
      <w:r>
        <w:rPr/>
        <w:t>are</w:t>
      </w:r>
      <w:r>
        <w:rPr>
          <w:spacing w:val="27"/>
        </w:rPr>
        <w:t> </w:t>
      </w:r>
      <w:r>
        <w:rPr/>
        <w:t>close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selected</w:t>
      </w:r>
      <w:r>
        <w:rPr>
          <w:spacing w:val="27"/>
        </w:rPr>
        <w:t> </w:t>
      </w:r>
      <w:r>
        <w:rPr/>
        <w:t>metric.</w:t>
      </w:r>
      <w:r>
        <w:rPr>
          <w:spacing w:val="27"/>
        </w:rPr>
        <w:t> </w:t>
      </w:r>
      <w:r>
        <w:rPr/>
        <w:t>Similarly, a large numerical difference does not by itself establish an overall difference in player performance because player role, sample size, playing exposure, and metric selection must also be considered.</w:t>
      </w:r>
    </w:p>
    <w:p>
      <w:pPr>
        <w:pStyle w:val="BodyText"/>
        <w:spacing w:line="249" w:lineRule="auto" w:before="14"/>
        <w:ind w:left="199" w:right="257" w:firstLine="199"/>
        <w:jc w:val="both"/>
      </w:pPr>
      <w:r>
        <w:rPr/>
        <w:br w:type="column"/>
      </w:r>
      <w:r>
        <w:rPr/>
        <w:t>This reduces the influence of unrelated metrics when </w:t>
      </w:r>
      <w:r>
        <w:rPr/>
        <w:t>inter-preting specialist players.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</w:tabs>
        <w:spacing w:line="240" w:lineRule="auto" w:before="179" w:after="0"/>
        <w:ind w:left="480" w:right="0" w:hanging="281"/>
        <w:jc w:val="both"/>
        <w:rPr>
          <w:i/>
          <w:sz w:val="20"/>
        </w:rPr>
      </w:pPr>
      <w:r>
        <w:rPr>
          <w:i/>
          <w:sz w:val="20"/>
        </w:rPr>
        <w:t>Practical</w:t>
      </w:r>
      <w:r>
        <w:rPr>
          <w:i/>
          <w:spacing w:val="8"/>
          <w:sz w:val="20"/>
        </w:rPr>
        <w:t> </w:t>
      </w:r>
      <w:r>
        <w:rPr>
          <w:i/>
          <w:spacing w:val="-5"/>
          <w:sz w:val="20"/>
        </w:rPr>
        <w:t>Use</w:t>
      </w:r>
    </w:p>
    <w:p>
      <w:pPr>
        <w:pStyle w:val="BodyText"/>
        <w:spacing w:line="249" w:lineRule="auto" w:before="90"/>
        <w:ind w:left="199" w:right="257" w:firstLine="199"/>
        <w:jc w:val="both"/>
      </w:pPr>
      <w:r>
        <w:rPr/>
        <w:t>The</w:t>
      </w:r>
      <w:r>
        <w:rPr>
          <w:spacing w:val="27"/>
        </w:rPr>
        <w:t> </w:t>
      </w:r>
      <w:r>
        <w:rPr/>
        <w:t>Study</w:t>
      </w:r>
      <w:r>
        <w:rPr>
          <w:spacing w:val="27"/>
        </w:rPr>
        <w:t> </w:t>
      </w:r>
      <w:r>
        <w:rPr/>
        <w:t>2</w:t>
      </w:r>
      <w:r>
        <w:rPr>
          <w:spacing w:val="27"/>
        </w:rPr>
        <w:t> </w:t>
      </w:r>
      <w:r>
        <w:rPr/>
        <w:t>tiering</w:t>
      </w:r>
      <w:r>
        <w:rPr>
          <w:spacing w:val="27"/>
        </w:rPr>
        <w:t> </w:t>
      </w:r>
      <w:r>
        <w:rPr/>
        <w:t>framework</w:t>
      </w:r>
      <w:r>
        <w:rPr>
          <w:spacing w:val="27"/>
        </w:rPr>
        <w:t> </w:t>
      </w:r>
      <w:r>
        <w:rPr/>
        <w:t>can</w:t>
      </w:r>
      <w:r>
        <w:rPr>
          <w:spacing w:val="27"/>
        </w:rPr>
        <w:t> </w:t>
      </w:r>
      <w:r>
        <w:rPr/>
        <w:t>be</w:t>
      </w:r>
      <w:r>
        <w:rPr>
          <w:spacing w:val="27"/>
        </w:rPr>
        <w:t> </w:t>
      </w:r>
      <w:r>
        <w:rPr/>
        <w:t>used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descrip-tive player-assessment tool for comparing players within the analyzed population.</w:t>
      </w:r>
    </w:p>
    <w:p>
      <w:pPr>
        <w:pStyle w:val="BodyText"/>
        <w:spacing w:line="249" w:lineRule="auto" w:before="5"/>
        <w:ind w:left="199" w:right="257" w:firstLine="199"/>
        <w:jc w:val="both"/>
      </w:pPr>
      <w:r>
        <w:rPr/>
        <w:t>It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retention</w:t>
      </w:r>
      <w:r>
        <w:rPr>
          <w:spacing w:val="-8"/>
        </w:rPr>
        <w:t> </w:t>
      </w:r>
      <w:r>
        <w:rPr/>
        <w:t>analysis,</w:t>
      </w:r>
      <w:r>
        <w:rPr>
          <w:spacing w:val="-8"/>
        </w:rPr>
        <w:t> </w:t>
      </w:r>
      <w:r>
        <w:rPr/>
        <w:t>scouting,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identification of players with different performance profiles.</w:t>
      </w:r>
    </w:p>
    <w:p>
      <w:pPr>
        <w:pStyle w:val="BodyText"/>
        <w:spacing w:line="247" w:lineRule="auto" w:before="1"/>
        <w:ind w:left="199" w:right="257" w:firstLine="199"/>
        <w:jc w:val="right"/>
      </w:pPr>
      <w:r>
        <w:rPr/>
        <w:t>The Study 1 auction-price model has a time-based test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spacing w:val="80"/>
          <w:w w:val="150"/>
          <w:vertAlign w:val="baseline"/>
        </w:rPr>
        <w:t> </w:t>
      </w:r>
      <w:r>
        <w:rPr>
          <w:vertAlign w:val="baseline"/>
        </w:rPr>
        <w:t>of 0.5395 and an MAE of approximately INR 14.89 million. Because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model</w:t>
      </w:r>
      <w:r>
        <w:rPr>
          <w:spacing w:val="40"/>
          <w:vertAlign w:val="baseline"/>
        </w:rPr>
        <w:t> </w:t>
      </w:r>
      <w:r>
        <w:rPr>
          <w:vertAlign w:val="baseline"/>
        </w:rPr>
        <w:t>does</w:t>
      </w:r>
      <w:r>
        <w:rPr>
          <w:spacing w:val="40"/>
          <w:vertAlign w:val="baseline"/>
        </w:rPr>
        <w:t> </w:t>
      </w:r>
      <w:r>
        <w:rPr>
          <w:vertAlign w:val="baseline"/>
        </w:rPr>
        <w:t>not</w:t>
      </w:r>
      <w:r>
        <w:rPr>
          <w:spacing w:val="40"/>
          <w:vertAlign w:val="baseline"/>
        </w:rPr>
        <w:t> </w:t>
      </w:r>
      <w:r>
        <w:rPr>
          <w:vertAlign w:val="baseline"/>
        </w:rPr>
        <w:t>contain</w:t>
      </w:r>
      <w:r>
        <w:rPr>
          <w:spacing w:val="40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40"/>
          <w:vertAlign w:val="baseline"/>
        </w:rPr>
        <w:t> </w:t>
      </w:r>
      <w:r>
        <w:rPr>
          <w:vertAlign w:val="baseline"/>
        </w:rPr>
        <w:t>contextual auction variables, its output is more appropriately </w:t>
      </w:r>
      <w:r>
        <w:rPr>
          <w:vertAlign w:val="baseline"/>
        </w:rPr>
        <w:t>interpreted as</w:t>
      </w:r>
      <w:r>
        <w:rPr>
          <w:spacing w:val="12"/>
          <w:vertAlign w:val="baseline"/>
        </w:rPr>
        <w:t> </w:t>
      </w:r>
      <w:r>
        <w:rPr>
          <w:vertAlign w:val="baseline"/>
        </w:rPr>
        <w:t>a</w:t>
      </w:r>
      <w:r>
        <w:rPr>
          <w:spacing w:val="13"/>
          <w:vertAlign w:val="baseline"/>
        </w:rPr>
        <w:t> </w:t>
      </w:r>
      <w:r>
        <w:rPr>
          <w:vertAlign w:val="baseline"/>
        </w:rPr>
        <w:t>valuation</w:t>
      </w:r>
      <w:r>
        <w:rPr>
          <w:spacing w:val="13"/>
          <w:vertAlign w:val="baseline"/>
        </w:rPr>
        <w:t> </w:t>
      </w:r>
      <w:r>
        <w:rPr>
          <w:vertAlign w:val="baseline"/>
        </w:rPr>
        <w:t>reference</w:t>
      </w:r>
      <w:r>
        <w:rPr>
          <w:spacing w:val="13"/>
          <w:vertAlign w:val="baseline"/>
        </w:rPr>
        <w:t> </w:t>
      </w:r>
      <w:r>
        <w:rPr>
          <w:vertAlign w:val="baseline"/>
        </w:rPr>
        <w:t>rather</w:t>
      </w:r>
      <w:r>
        <w:rPr>
          <w:spacing w:val="13"/>
          <w:vertAlign w:val="baseline"/>
        </w:rPr>
        <w:t> </w:t>
      </w:r>
      <w:r>
        <w:rPr>
          <w:vertAlign w:val="baseline"/>
        </w:rPr>
        <w:t>than</w:t>
      </w:r>
      <w:r>
        <w:rPr>
          <w:spacing w:val="13"/>
          <w:vertAlign w:val="baseline"/>
        </w:rPr>
        <w:t> </w:t>
      </w:r>
      <w:r>
        <w:rPr>
          <w:vertAlign w:val="baseline"/>
        </w:rPr>
        <w:t>an</w:t>
      </w:r>
      <w:r>
        <w:rPr>
          <w:spacing w:val="13"/>
          <w:vertAlign w:val="baseline"/>
        </w:rPr>
        <w:t> </w:t>
      </w:r>
      <w:r>
        <w:rPr>
          <w:vertAlign w:val="baseline"/>
        </w:rPr>
        <w:t>exact</w:t>
      </w:r>
      <w:r>
        <w:rPr>
          <w:spacing w:val="13"/>
          <w:vertAlign w:val="baseline"/>
        </w:rPr>
        <w:t> </w:t>
      </w:r>
      <w:r>
        <w:rPr>
          <w:vertAlign w:val="baseline"/>
        </w:rPr>
        <w:t>bidding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amount.</w:t>
      </w:r>
    </w:p>
    <w:p>
      <w:pPr>
        <w:pStyle w:val="ListParagraph"/>
        <w:numPr>
          <w:ilvl w:val="0"/>
          <w:numId w:val="8"/>
        </w:numPr>
        <w:tabs>
          <w:tab w:pos="491" w:val="left" w:leader="none"/>
        </w:tabs>
        <w:spacing w:line="240" w:lineRule="auto" w:before="184" w:after="0"/>
        <w:ind w:left="491" w:right="0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Limitations</w:t>
      </w:r>
    </w:p>
    <w:p>
      <w:pPr>
        <w:pStyle w:val="BodyText"/>
        <w:spacing w:line="249" w:lineRule="auto" w:before="90"/>
        <w:ind w:left="199" w:right="257" w:firstLine="199"/>
        <w:jc w:val="both"/>
      </w:pPr>
      <w:r>
        <w:rPr/>
        <w:t>The longevity criterion requires players to appear in </w:t>
      </w:r>
      <w:r>
        <w:rPr/>
        <w:t>every season from 2012 to 2025.</w:t>
      </w:r>
    </w:p>
    <w:p>
      <w:pPr>
        <w:pStyle w:val="BodyText"/>
        <w:spacing w:line="249" w:lineRule="auto" w:before="5"/>
        <w:ind w:left="199" w:right="257" w:firstLine="199"/>
        <w:jc w:val="both"/>
      </w:pPr>
      <w:r>
        <w:rPr/>
        <w:t>This produces a small population of 11 qualifying </w:t>
      </w:r>
      <w:r>
        <w:rPr/>
        <w:t>players. Therefore, the Study 2 results should not be interpreted as a ranking of all IPL players.</w:t>
      </w:r>
    </w:p>
    <w:p>
      <w:pPr>
        <w:pStyle w:val="BodyText"/>
        <w:spacing w:line="249" w:lineRule="auto" w:before="5"/>
        <w:ind w:left="199" w:right="257" w:firstLine="199"/>
        <w:jc w:val="both"/>
      </w:pPr>
      <w:r>
        <w:rPr/>
        <w:t>The tier boundaries are calculated from the analyzed </w:t>
      </w:r>
      <w:r>
        <w:rPr/>
        <w:t>popu-lation and may change if the season range or player selection criteria change.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firstLine="199"/>
        <w:jc w:val="both"/>
      </w:pPr>
      <w:r>
        <w:rPr/>
        <w:t>The auction dataset covers 2008–2017 and therefore </w:t>
      </w:r>
      <w:r>
        <w:rPr/>
        <w:t>does not represent later auction conditions and rule changes.</w:t>
      </w:r>
    </w:p>
    <w:p>
      <w:pPr>
        <w:pStyle w:val="BodyText"/>
        <w:spacing w:line="249" w:lineRule="auto" w:before="8"/>
        <w:ind w:firstLine="199"/>
        <w:jc w:val="both"/>
      </w:pPr>
      <w:r>
        <w:rPr/>
        <w:t>The role of the </w:t>
      </w:r>
      <w:r>
        <w:rPr>
          <w:i/>
        </w:rPr>
        <w:t>Status </w:t>
      </w:r>
      <w:r>
        <w:rPr/>
        <w:t>variable in the auction dataset </w:t>
      </w:r>
      <w:r>
        <w:rPr/>
        <w:t>also cannot be fully resolved without additional documentation regarding how the variable was constructed and when the information</w:t>
      </w:r>
      <w:r>
        <w:rPr>
          <w:spacing w:val="6"/>
        </w:rPr>
        <w:t> </w:t>
      </w:r>
      <w:r>
        <w:rPr/>
        <w:t>became</w:t>
      </w:r>
      <w:r>
        <w:rPr>
          <w:spacing w:val="6"/>
        </w:rPr>
        <w:t> </w:t>
      </w:r>
      <w:r>
        <w:rPr/>
        <w:t>available</w:t>
      </w:r>
      <w:r>
        <w:rPr>
          <w:spacing w:val="6"/>
        </w:rPr>
        <w:t> </w:t>
      </w:r>
      <w:r>
        <w:rPr/>
        <w:t>relative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auction</w:t>
      </w:r>
      <w:r>
        <w:rPr>
          <w:spacing w:val="6"/>
        </w:rPr>
        <w:t> </w:t>
      </w:r>
      <w:r>
        <w:rPr>
          <w:spacing w:val="-2"/>
        </w:rPr>
        <w:t>outcome.</w:t>
      </w:r>
    </w:p>
    <w:p>
      <w:pPr>
        <w:pStyle w:val="ListParagraph"/>
        <w:numPr>
          <w:ilvl w:val="0"/>
          <w:numId w:val="1"/>
        </w:numPr>
        <w:tabs>
          <w:tab w:pos="2327" w:val="left" w:leader="none"/>
        </w:tabs>
        <w:spacing w:line="240" w:lineRule="auto" w:before="199" w:after="0"/>
        <w:ind w:left="2327" w:right="0" w:hanging="442"/>
        <w:jc w:val="left"/>
        <w:rPr>
          <w:sz w:val="20"/>
        </w:rPr>
      </w:pPr>
      <w:r>
        <w:rPr>
          <w:smallCaps/>
          <w:sz w:val="20"/>
        </w:rPr>
        <w:t>Future</w:t>
      </w:r>
      <w:r>
        <w:rPr>
          <w:smallCaps/>
          <w:spacing w:val="57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118"/>
        <w:ind w:firstLine="199"/>
        <w:jc w:val="both"/>
      </w:pPr>
      <w:r>
        <w:rPr/>
        <w:t>Future extensions include incorporating retention </w:t>
      </w:r>
      <w:r>
        <w:rPr/>
        <w:t>history and previous auction price as lagged features, applying SMOTE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cost-sensitive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underrepresented high-value</w:t>
      </w:r>
      <w:r>
        <w:rPr>
          <w:spacing w:val="-11"/>
        </w:rPr>
        <w:t> </w:t>
      </w:r>
      <w:r>
        <w:rPr/>
        <w:t>auction</w:t>
      </w:r>
      <w:r>
        <w:rPr>
          <w:spacing w:val="-11"/>
        </w:rPr>
        <w:t> </w:t>
      </w:r>
      <w:r>
        <w:rPr/>
        <w:t>classes</w:t>
      </w:r>
      <w:r>
        <w:rPr>
          <w:spacing w:val="-11"/>
        </w:rPr>
        <w:t> </w:t>
      </w:r>
      <w:r>
        <w:rPr/>
        <w:t>[7],</w:t>
      </w:r>
      <w:r>
        <w:rPr>
          <w:spacing w:val="-10"/>
        </w:rPr>
        <w:t> </w:t>
      </w:r>
      <w:r>
        <w:rPr/>
        <w:t>evaluating</w:t>
      </w:r>
      <w:r>
        <w:rPr>
          <w:spacing w:val="-11"/>
        </w:rPr>
        <w:t> </w:t>
      </w:r>
      <w:r>
        <w:rPr/>
        <w:t>LSTM,</w:t>
      </w:r>
      <w:r>
        <w:rPr>
          <w:spacing w:val="-11"/>
        </w:rPr>
        <w:t> </w:t>
      </w:r>
      <w:r>
        <w:rPr/>
        <w:t>ARIMA,</w:t>
      </w:r>
      <w:r>
        <w:rPr>
          <w:spacing w:val="-11"/>
        </w:rPr>
        <w:t> </w:t>
      </w:r>
      <w:r>
        <w:rPr/>
        <w:t>and ETS models for player-form trajectories [6], and investigating Transformer-based sequence models for longitudinal player-performance analysis [4], [5].</w:t>
      </w:r>
    </w:p>
    <w:p>
      <w:pPr>
        <w:pStyle w:val="BodyText"/>
        <w:spacing w:line="249" w:lineRule="auto" w:before="7"/>
        <w:ind w:firstLine="199"/>
        <w:jc w:val="both"/>
      </w:pPr>
      <w:r>
        <w:rPr/>
        <w:t>Another important extension is to combine player </w:t>
      </w:r>
      <w:r>
        <w:rPr/>
        <w:t>valuation with optimization-based squad selection under budget, role, and overseas-player constraints [8].</w:t>
      </w:r>
    </w:p>
    <w:p>
      <w:pPr>
        <w:pStyle w:val="BodyText"/>
        <w:spacing w:line="249" w:lineRule="auto" w:before="8"/>
        <w:ind w:firstLine="199"/>
        <w:jc w:val="both"/>
      </w:pPr>
      <w:r>
        <w:rPr/>
        <w:t>This would move the system from individual player </w:t>
      </w:r>
      <w:r>
        <w:rPr/>
        <w:t>valua-tion toward a broader auction decision-support framework.</w:t>
      </w:r>
    </w:p>
    <w:p>
      <w:pPr>
        <w:pStyle w:val="ListParagraph"/>
        <w:numPr>
          <w:ilvl w:val="0"/>
          <w:numId w:val="1"/>
        </w:numPr>
        <w:tabs>
          <w:tab w:pos="2444" w:val="left" w:leader="none"/>
        </w:tabs>
        <w:spacing w:line="240" w:lineRule="auto" w:before="200" w:after="0"/>
        <w:ind w:left="2444" w:right="0" w:hanging="517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118"/>
        <w:ind w:firstLine="199"/>
        <w:jc w:val="both"/>
      </w:pPr>
      <w:r>
        <w:rPr/>
        <w:t>This paper investigated IPL auction analytics through </w:t>
      </w:r>
      <w:r>
        <w:rPr/>
        <w:t>two complementary studies: auction-price prediction using XG-Boost regression and player evaluation through a quantile-based ranking framework.</w:t>
      </w:r>
    </w:p>
    <w:p>
      <w:pPr>
        <w:pStyle w:val="BodyText"/>
        <w:spacing w:line="249" w:lineRule="auto" w:before="7"/>
        <w:ind w:firstLine="199"/>
        <w:jc w:val="both"/>
      </w:pPr>
      <w:r>
        <w:rPr/>
        <w:t>The results demonstrate that evaluation methodology has </w:t>
      </w:r>
      <w:r>
        <w:rPr/>
        <w:t>a substantial effect on reported model performance.</w:t>
      </w:r>
    </w:p>
    <w:p>
      <w:pPr>
        <w:pStyle w:val="BodyText"/>
        <w:spacing w:line="237" w:lineRule="auto" w:before="6"/>
        <w:ind w:firstLine="199"/>
        <w:jc w:val="both"/>
      </w:pPr>
      <w:r>
        <w:rPr/>
        <w:t>A random train-test split produced a test </w:t>
      </w:r>
      <w:r>
        <w:rPr>
          <w:rFonts w:ascii="Calibri"/>
          <w:i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of </w:t>
      </w:r>
      <w:r>
        <w:rPr>
          <w:vertAlign w:val="baseline"/>
        </w:rPr>
        <w:t>0.6580, whereas the time-based evaluation produced a test </w:t>
      </w:r>
      <w:r>
        <w:rPr>
          <w:rFonts w:ascii="Calibri"/>
          <w:i/>
          <w:vertAlign w:val="baseline"/>
        </w:rPr>
        <w:t>R</w:t>
      </w:r>
      <w:r>
        <w:rPr>
          <w:rFonts w:ascii="Calibri"/>
          <w:vertAlign w:val="superscript"/>
        </w:rPr>
        <w:t>2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of </w:t>
      </w:r>
      <w:r>
        <w:rPr>
          <w:spacing w:val="-2"/>
          <w:vertAlign w:val="baseline"/>
        </w:rPr>
        <w:t>0.5395.</w:t>
      </w:r>
    </w:p>
    <w:p>
      <w:pPr>
        <w:pStyle w:val="BodyText"/>
        <w:spacing w:line="249" w:lineRule="auto" w:before="15"/>
        <w:ind w:firstLine="199"/>
        <w:jc w:val="both"/>
      </w:pPr>
      <w:r>
        <w:rPr/>
        <w:t>This difference highlights the importance of season-</w:t>
      </w:r>
      <w:r>
        <w:rPr/>
        <w:t>aware evaluation when historical data are used to model future auction outcomes.</w:t>
      </w:r>
    </w:p>
    <w:p>
      <w:pPr>
        <w:pStyle w:val="BodyText"/>
        <w:spacing w:line="249" w:lineRule="auto" w:before="8"/>
        <w:ind w:firstLine="199"/>
        <w:jc w:val="both"/>
      </w:pPr>
      <w:r>
        <w:rPr/>
        <w:t>The study also demonstrates that model methodology </w:t>
      </w:r>
      <w:r>
        <w:rPr/>
        <w:t>alone cannot compensate for missing contextual variables.</w:t>
      </w:r>
    </w:p>
    <w:p>
      <w:pPr>
        <w:pStyle w:val="BodyText"/>
        <w:spacing w:line="249" w:lineRule="auto" w:before="7"/>
        <w:ind w:firstLine="199"/>
        <w:jc w:val="both"/>
      </w:pPr>
      <w:r>
        <w:rPr/>
        <w:t>The</w:t>
      </w:r>
      <w:r>
        <w:rPr>
          <w:spacing w:val="-10"/>
        </w:rPr>
        <w:t> </w:t>
      </w:r>
      <w:r>
        <w:rPr/>
        <w:t>auction</w:t>
      </w:r>
      <w:r>
        <w:rPr>
          <w:spacing w:val="-10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contain</w:t>
      </w:r>
      <w:r>
        <w:rPr>
          <w:spacing w:val="-10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may influence auction prices, including retention history, franchise budget information, recent form, injury status, and previous auction prices.</w:t>
      </w:r>
    </w:p>
    <w:p>
      <w:pPr>
        <w:pStyle w:val="BodyText"/>
        <w:spacing w:line="249" w:lineRule="auto" w:before="8"/>
        <w:ind w:firstLine="199"/>
        <w:jc w:val="both"/>
      </w:pPr>
      <w:r>
        <w:rPr/>
        <w:t>Therefore, the auction-price model should be interpreted </w:t>
      </w:r>
      <w:r>
        <w:rPr/>
        <w:t>as a</w:t>
      </w:r>
      <w:r>
        <w:rPr>
          <w:spacing w:val="-9"/>
        </w:rPr>
        <w:t> </w:t>
      </w:r>
      <w:r>
        <w:rPr/>
        <w:t>decision-support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valuation</w:t>
      </w:r>
      <w:r>
        <w:rPr>
          <w:spacing w:val="-9"/>
        </w:rPr>
        <w:t> </w:t>
      </w:r>
      <w:r>
        <w:rPr/>
        <w:t>reference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system for determining exact bidding amounts.</w:t>
      </w:r>
    </w:p>
    <w:p>
      <w:pPr>
        <w:pStyle w:val="BodyText"/>
        <w:spacing w:line="249" w:lineRule="auto" w:before="7"/>
        <w:ind w:firstLine="199"/>
        <w:jc w:val="both"/>
      </w:pPr>
      <w:r>
        <w:rPr/>
        <w:t>The second study developed a role-specific quantile-</w:t>
      </w:r>
      <w:r>
        <w:rPr/>
        <w:t>based ranking framework for batting and bowling.</w:t>
      </w:r>
    </w:p>
    <w:p>
      <w:pPr>
        <w:pStyle w:val="BodyText"/>
        <w:spacing w:line="249" w:lineRule="auto" w:before="8"/>
        <w:ind w:firstLine="199"/>
        <w:jc w:val="both"/>
      </w:pPr>
      <w:r>
        <w:rPr/>
        <w:t>Match-level aggregation, rate-based measures, </w:t>
      </w:r>
      <w:r>
        <w:rPr/>
        <w:t>and distribution-relative tiering produced interpretable classifications while avoiding the limitations of a single batting-weighted composite score.</w:t>
      </w:r>
    </w:p>
    <w:p>
      <w:pPr>
        <w:pStyle w:val="BodyText"/>
        <w:spacing w:line="249" w:lineRule="auto" w:before="7"/>
        <w:ind w:firstLine="199"/>
        <w:jc w:val="both"/>
      </w:pPr>
      <w:r>
        <w:rPr/>
        <w:t>The pairwise head-to-head layer further complements </w:t>
      </w:r>
      <w:r>
        <w:rPr/>
        <w:t>the tier classifications by providing direct numerical differences between players.</w:t>
      </w:r>
    </w:p>
    <w:p>
      <w:pPr>
        <w:pStyle w:val="BodyText"/>
        <w:spacing w:line="249" w:lineRule="auto" w:before="8"/>
        <w:ind w:firstLine="199"/>
        <w:jc w:val="both"/>
      </w:pPr>
      <w:r>
        <w:rPr/>
        <w:t>The combination of population-level tiers and </w:t>
      </w:r>
      <w:r>
        <w:rPr/>
        <w:t>pairwise metric comparisons provides both relative classification and transparent player-to-player analysis.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br w:type="column"/>
      </w:r>
      <w:r>
        <w:rPr/>
        <w:t>Overall, the work demonstrates that effective cricket </w:t>
      </w:r>
      <w:r>
        <w:rPr/>
        <w:t>ana-lytics requires both appropriate methodology and sufficiently informative data.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The proposed ranking framework provides a foundation </w:t>
      </w:r>
      <w:r>
        <w:rPr/>
        <w:t>for player</w:t>
      </w:r>
      <w:r>
        <w:rPr>
          <w:spacing w:val="-2"/>
        </w:rPr>
        <w:t> </w:t>
      </w:r>
      <w:r>
        <w:rPr/>
        <w:t>assessment,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auction-price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establishes a basis for future work involving richer contextual variables, constrained squad optimization, and interpretable decision-support systems.</w:t>
      </w:r>
    </w:p>
    <w:p>
      <w:pPr>
        <w:pStyle w:val="BodyText"/>
        <w:spacing w:before="134"/>
        <w:ind w:left="1094" w:right="1152"/>
        <w:jc w:val="center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108" w:after="0"/>
        <w:ind w:left="564" w:right="257" w:hanging="286"/>
        <w:jc w:val="both"/>
        <w:rPr>
          <w:sz w:val="16"/>
        </w:rPr>
      </w:pPr>
      <w:r>
        <w:rPr>
          <w:sz w:val="16"/>
        </w:rPr>
        <w:t>X. Schelling and S. Robertson, “A development framework for </w:t>
      </w:r>
      <w:r>
        <w:rPr>
          <w:sz w:val="16"/>
        </w:rPr>
        <w:t>decision</w:t>
      </w:r>
      <w:r>
        <w:rPr>
          <w:spacing w:val="40"/>
          <w:sz w:val="16"/>
        </w:rPr>
        <w:t> </w:t>
      </w:r>
      <w:r>
        <w:rPr>
          <w:sz w:val="16"/>
        </w:rPr>
        <w:t>support systems in high-performance sport,” </w:t>
      </w:r>
      <w:r>
        <w:rPr>
          <w:i/>
          <w:sz w:val="16"/>
        </w:rPr>
        <w:t>Int. J. Sports Sci. Coach.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15, no. 4, pp. 456–468, 2020.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K. Passi and N. Pandey, “Increased prediction accuracy in the game of</w:t>
      </w:r>
      <w:r>
        <w:rPr>
          <w:spacing w:val="40"/>
          <w:sz w:val="16"/>
        </w:rPr>
        <w:t> </w:t>
      </w:r>
      <w:r>
        <w:rPr>
          <w:sz w:val="16"/>
        </w:rPr>
        <w:t>cricket using machine learning,” </w:t>
      </w:r>
      <w:r>
        <w:rPr>
          <w:i/>
          <w:sz w:val="16"/>
        </w:rPr>
        <w:t>Int. J. Comput. Appl.</w:t>
      </w:r>
      <w:r>
        <w:rPr>
          <w:sz w:val="16"/>
        </w:rPr>
        <w:t>, vol. 181, no. 17,</w:t>
      </w:r>
    </w:p>
    <w:p>
      <w:pPr>
        <w:spacing w:line="179" w:lineRule="exact" w:before="0"/>
        <w:ind w:left="56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2"/>
          <w:sz w:val="16"/>
        </w:rPr>
        <w:t> </w:t>
      </w:r>
      <w:r>
        <w:rPr>
          <w:sz w:val="16"/>
        </w:rPr>
        <w:t>1–6,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2018.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R. P. Bunker and F. Thabtah, “A machine learning framework for sport</w:t>
      </w:r>
      <w:r>
        <w:rPr>
          <w:spacing w:val="40"/>
          <w:sz w:val="16"/>
        </w:rPr>
        <w:t> </w:t>
      </w:r>
      <w:r>
        <w:rPr>
          <w:sz w:val="16"/>
        </w:rPr>
        <w:t>result prediction,” </w:t>
      </w:r>
      <w:r>
        <w:rPr>
          <w:i/>
          <w:sz w:val="16"/>
        </w:rPr>
        <w:t>Int. J. Comput. Inf. Eng.</w:t>
      </w:r>
      <w:r>
        <w:rPr>
          <w:sz w:val="16"/>
        </w:rPr>
        <w:t>, vol. 11, no. 6, pp. 137–144,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2017.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A. Vaswani et al., “Attention is all you need,” in </w:t>
      </w:r>
      <w:r>
        <w:rPr>
          <w:i/>
          <w:sz w:val="16"/>
        </w:rPr>
        <w:t>Proc. Adv. Neural Inf.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Process. Syst. (NIPS)</w:t>
      </w:r>
      <w:r>
        <w:rPr>
          <w:sz w:val="16"/>
        </w:rPr>
        <w:t>, Long Beach, CA, USA, 2017, pp. 5998–6008.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J.</w:t>
      </w:r>
      <w:r>
        <w:rPr>
          <w:spacing w:val="-8"/>
          <w:sz w:val="16"/>
        </w:rPr>
        <w:t> </w:t>
      </w:r>
      <w:r>
        <w:rPr>
          <w:sz w:val="16"/>
        </w:rPr>
        <w:t>Devlin,</w:t>
      </w:r>
      <w:r>
        <w:rPr>
          <w:spacing w:val="-8"/>
          <w:sz w:val="16"/>
        </w:rPr>
        <w:t> </w:t>
      </w:r>
      <w:r>
        <w:rPr>
          <w:sz w:val="16"/>
        </w:rPr>
        <w:t>M.-W.</w:t>
      </w:r>
      <w:r>
        <w:rPr>
          <w:spacing w:val="-8"/>
          <w:sz w:val="16"/>
        </w:rPr>
        <w:t> </w:t>
      </w:r>
      <w:r>
        <w:rPr>
          <w:sz w:val="16"/>
        </w:rPr>
        <w:t>Chang,</w:t>
      </w:r>
      <w:r>
        <w:rPr>
          <w:spacing w:val="-8"/>
          <w:sz w:val="16"/>
        </w:rPr>
        <w:t> </w:t>
      </w:r>
      <w:r>
        <w:rPr>
          <w:sz w:val="16"/>
        </w:rPr>
        <w:t>K.</w:t>
      </w:r>
      <w:r>
        <w:rPr>
          <w:spacing w:val="-8"/>
          <w:sz w:val="16"/>
        </w:rPr>
        <w:t> </w:t>
      </w:r>
      <w:r>
        <w:rPr>
          <w:sz w:val="16"/>
        </w:rPr>
        <w:t>Lee,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K.</w:t>
      </w:r>
      <w:r>
        <w:rPr>
          <w:spacing w:val="-8"/>
          <w:sz w:val="16"/>
        </w:rPr>
        <w:t> </w:t>
      </w:r>
      <w:r>
        <w:rPr>
          <w:sz w:val="16"/>
        </w:rPr>
        <w:t>Toutanova,</w:t>
      </w:r>
      <w:r>
        <w:rPr>
          <w:spacing w:val="-8"/>
          <w:sz w:val="16"/>
        </w:rPr>
        <w:t> </w:t>
      </w:r>
      <w:r>
        <w:rPr>
          <w:sz w:val="16"/>
        </w:rPr>
        <w:t>“BERT:</w:t>
      </w:r>
      <w:r>
        <w:rPr>
          <w:spacing w:val="-8"/>
          <w:sz w:val="16"/>
        </w:rPr>
        <w:t> </w:t>
      </w:r>
      <w:r>
        <w:rPr>
          <w:sz w:val="16"/>
        </w:rPr>
        <w:t>Pre-</w:t>
      </w:r>
      <w:r>
        <w:rPr>
          <w:sz w:val="16"/>
        </w:rPr>
        <w:t>training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deep</w:t>
      </w:r>
      <w:r>
        <w:rPr>
          <w:spacing w:val="-2"/>
          <w:sz w:val="16"/>
        </w:rPr>
        <w:t> </w:t>
      </w:r>
      <w:r>
        <w:rPr>
          <w:sz w:val="16"/>
        </w:rPr>
        <w:t>bidirectional</w:t>
      </w:r>
      <w:r>
        <w:rPr>
          <w:spacing w:val="-2"/>
          <w:sz w:val="16"/>
        </w:rPr>
        <w:t> </w:t>
      </w:r>
      <w:r>
        <w:rPr>
          <w:sz w:val="16"/>
        </w:rPr>
        <w:t>transformers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language</w:t>
      </w:r>
      <w:r>
        <w:rPr>
          <w:spacing w:val="-2"/>
          <w:sz w:val="16"/>
        </w:rPr>
        <w:t> </w:t>
      </w:r>
      <w:r>
        <w:rPr>
          <w:sz w:val="16"/>
        </w:rPr>
        <w:t>understanding,”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NAACL-HLT</w:t>
      </w:r>
      <w:r>
        <w:rPr>
          <w:sz w:val="16"/>
        </w:rPr>
        <w:t>, 2019, pp. 4171–4186.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R. J. Hyndman and G. Athanasopoulos, </w:t>
      </w:r>
      <w:r>
        <w:rPr>
          <w:i/>
          <w:sz w:val="16"/>
        </w:rPr>
        <w:t>Forecasting: Principles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Practice</w:t>
      </w:r>
      <w:r>
        <w:rPr>
          <w:sz w:val="16"/>
        </w:rPr>
        <w:t>, 2nd ed. Melbourne, Australia: OTexts, 2018.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H. He and E. A. Garcia, “Learning from imbalanced data,” </w:t>
      </w:r>
      <w:r>
        <w:rPr>
          <w:i/>
          <w:sz w:val="16"/>
        </w:rPr>
        <w:t>IEEE Trans.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Knowl. Data Eng.</w:t>
      </w:r>
      <w:r>
        <w:rPr>
          <w:sz w:val="16"/>
        </w:rPr>
        <w:t>, vol. 21, no. 9, pp. 1263–1284, Sep. 2009.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L. Lamas et al., “Optimization models for team selection in high-performance sport,” 2015.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F.</w:t>
      </w:r>
      <w:r>
        <w:rPr>
          <w:spacing w:val="-7"/>
          <w:sz w:val="16"/>
        </w:rPr>
        <w:t> </w:t>
      </w:r>
      <w:r>
        <w:rPr>
          <w:sz w:val="16"/>
        </w:rPr>
        <w:t>Doshi-Velez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B.</w:t>
      </w:r>
      <w:r>
        <w:rPr>
          <w:spacing w:val="-7"/>
          <w:sz w:val="16"/>
        </w:rPr>
        <w:t> </w:t>
      </w:r>
      <w:r>
        <w:rPr>
          <w:sz w:val="16"/>
        </w:rPr>
        <w:t>Kim,</w:t>
      </w:r>
      <w:r>
        <w:rPr>
          <w:spacing w:val="-7"/>
          <w:sz w:val="16"/>
        </w:rPr>
        <w:t> </w:t>
      </w:r>
      <w:r>
        <w:rPr>
          <w:sz w:val="16"/>
        </w:rPr>
        <w:t>“Towards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rigorous</w:t>
      </w:r>
      <w:r>
        <w:rPr>
          <w:spacing w:val="-7"/>
          <w:sz w:val="16"/>
        </w:rPr>
        <w:t> </w:t>
      </w:r>
      <w:r>
        <w:rPr>
          <w:sz w:val="16"/>
        </w:rPr>
        <w:t>science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interpretable</w:t>
      </w:r>
      <w:r>
        <w:rPr>
          <w:spacing w:val="40"/>
          <w:sz w:val="16"/>
        </w:rPr>
        <w:t> </w:t>
      </w:r>
      <w:r>
        <w:rPr>
          <w:sz w:val="16"/>
        </w:rPr>
        <w:t>machine learning,” in </w:t>
      </w:r>
      <w:r>
        <w:rPr>
          <w:i/>
          <w:sz w:val="16"/>
        </w:rPr>
        <w:t>Proc. AAAI/ACM Conf. AI, Ethics, Soc. (AIES)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2017, pp. 1–7.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N. Mehrabi et al., “A survey on bias and fairness in machine learning,”</w:t>
      </w:r>
      <w:r>
        <w:rPr>
          <w:spacing w:val="40"/>
          <w:sz w:val="16"/>
        </w:rPr>
        <w:t> </w:t>
      </w:r>
      <w:r>
        <w:rPr>
          <w:i/>
          <w:sz w:val="16"/>
        </w:rPr>
        <w:t>ACM Comput. Surv.</w:t>
      </w:r>
      <w:r>
        <w:rPr>
          <w:sz w:val="16"/>
        </w:rPr>
        <w:t>, vol. 54, no. 6, 2021.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S. Amershi et al., “Software engineering for machine learning: A case</w:t>
      </w:r>
      <w:r>
        <w:rPr>
          <w:spacing w:val="40"/>
          <w:sz w:val="16"/>
        </w:rPr>
        <w:t> </w:t>
      </w:r>
      <w:r>
        <w:rPr>
          <w:sz w:val="16"/>
        </w:rPr>
        <w:t>study,” in </w:t>
      </w:r>
      <w:r>
        <w:rPr>
          <w:i/>
          <w:sz w:val="16"/>
        </w:rPr>
        <w:t>Proc. ICSE-SEIP</w:t>
      </w:r>
      <w:r>
        <w:rPr>
          <w:sz w:val="16"/>
        </w:rPr>
        <w:t>, 2019, pp. 291–300.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T. Chen and C. Guestrin, “XGBoost: A scalable tree boosting </w:t>
      </w:r>
      <w:r>
        <w:rPr>
          <w:sz w:val="16"/>
        </w:rPr>
        <w:t>system,”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Proc. 22nd ACM SIGKDD Int. Conf. Knowledge Discovery and Data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Mining</w:t>
      </w:r>
      <w:r>
        <w:rPr>
          <w:sz w:val="16"/>
        </w:rPr>
        <w:t>, 2016, pp. 785–794.</w:t>
      </w:r>
    </w:p>
    <w:sectPr>
      <w:pgSz w:w="12240" w:h="15840"/>
      <w:pgMar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19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1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9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3" w:hanging="2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[%1]"/>
      <w:lvlJc w:val="left"/>
      <w:pPr>
        <w:ind w:left="56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25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6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2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9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1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9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3" w:hanging="2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25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" w:hanging="2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)"/>
      <w:lvlJc w:val="left"/>
      <w:pPr>
        <w:ind w:left="1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1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9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3" w:hanging="2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40" w:hanging="18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4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8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2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4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2" w:hanging="1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3">
    <w:abstractNumId w:val="2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9"/>
      <w:ind w:left="1" w:right="8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66" w:right="364" w:hanging="1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4" w:firstLine="1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19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urag.kamble25@spit.ac.com1" TargetMode="External"/><Relationship Id="rId6" Type="http://schemas.openxmlformats.org/officeDocument/2006/relationships/hyperlink" Target="mailto:shruti.suryawanshi25@spit.ac.com2" TargetMode="External"/><Relationship Id="rId7" Type="http://schemas.openxmlformats.org/officeDocument/2006/relationships/hyperlink" Target="mailto:omkumar.sirmalwad25@spit.ac.com3" TargetMode="External"/><Relationship Id="rId8" Type="http://schemas.openxmlformats.org/officeDocument/2006/relationships/hyperlink" Target="mailto:saurabh.mehta@email.com4" TargetMode="External"/><Relationship Id="rId9" Type="http://schemas.openxmlformats.org/officeDocument/2006/relationships/hyperlink" Target="mailto:kiran.talele@spit.ac.in5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2026-10-01T07:37:00Z</dcterms:created>
  <dcterms:modified xsi:type="dcterms:W3CDTF">2026-10-01T07:37:00Z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TeX</vt:lpwstr>
  </property>
  <property fmtid="{D5CDD505-2E9C-101B-9397-08002B2CF9AE}" pid="5" name="LastSaved">
    <vt:filetime>2026-10-01T00:00:00Z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