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Four currencies will run a VECM fine, but for a "which to hold" cross-sectional allocation it gives the model very little to choose from, and with only one or two cointegrating relations the signal is fragile. A better range is about </w:t>
      </w:r>
      <w:r w:rsidDel="00000000" w:rsidR="00000000" w:rsidRPr="00000000">
        <w:rPr>
          <w:b w:val="1"/>
          <w:bCs w:val="1"/>
          <w:rtl w:val="0"/>
        </w:rPr>
        <w:t xml:space="preserve">6–8 economically coherent currencies</w:t>
      </w:r>
      <w:r w:rsidDel="00000000" w:rsidR="00000000" w:rsidRPr="00000000">
        <w:rPr>
          <w:rtl w:val="0"/>
        </w:rPr>
        <w:t xml:space="preserve">. Two things bound the upper end, though: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Johansen loses power as dimension grows.</w:t>
      </w:r>
      <w:r w:rsidDel="00000000" w:rsidR="00000000" w:rsidRPr="00000000">
        <w:rPr>
          <w:rtl w:val="0"/>
        </w:rPr>
        <w:t xml:space="preserve"> Past roughly 10–12 series you're estimating so many parameters that the rank test becomes unreliable and the cointegrating vectors get unstable out-of-sample — the opposite of what you want. More is not strictly better.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common-dollar-factor trap.</w:t>
      </w:r>
      <w:r w:rsidDel="00000000" w:rsidR="00000000" w:rsidRPr="00000000">
        <w:rPr>
          <w:rtl w:val="0"/>
        </w:rPr>
        <w:t xml:space="preserve"> Since every series is quoted against USD, a large basket can show "cointegration" that's really just shared USD exposure rather than genuine cross-currency equilibrium. One of your cointegrating relations may essentially be "everything co-moves with the dollar," which isn't a tradeable relative-value signal. Keep the basket thematically tight so the relationships are structural.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I'd expand the commodity/risk bloc to seven: the current </w:t>
      </w:r>
      <w:r w:rsidDel="00000000" w:rsidR="00000000" w:rsidRPr="00000000">
        <w:rPr>
          <w:b w:val="1"/>
          <w:bCs w:val="1"/>
          <w:rtl w:val="0"/>
        </w:rPr>
        <w:t xml:space="preserve">AUD, NZD, CAD, NOK</w:t>
      </w:r>
      <w:r w:rsidDel="00000000" w:rsidR="00000000" w:rsidRPr="00000000">
        <w:rPr>
          <w:rtl w:val="0"/>
        </w:rPr>
        <w:t xml:space="preserve"> plus </w:t>
      </w:r>
      <w:r w:rsidDel="00000000" w:rsidR="00000000" w:rsidRPr="00000000">
        <w:rPr>
          <w:b w:val="1"/>
          <w:bCs w:val="1"/>
          <w:rtl w:val="0"/>
        </w:rPr>
        <w:t xml:space="preserve">SEK</w:t>
      </w:r>
      <w:r w:rsidDel="00000000" w:rsidR="00000000" w:rsidRPr="00000000">
        <w:rPr>
          <w:rtl w:val="0"/>
        </w:rPr>
        <w:t xml:space="preserve"> (Scandi partner to NOK), and </w:t>
      </w:r>
      <w:r w:rsidDel="00000000" w:rsidR="00000000" w:rsidRPr="00000000">
        <w:rPr>
          <w:b w:val="1"/>
          <w:bCs w:val="1"/>
          <w:rtl w:val="0"/>
        </w:rPr>
        <w:t xml:space="preserve">ZAR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MXN</w:t>
      </w:r>
      <w:r w:rsidDel="00000000" w:rsidR="00000000" w:rsidRPr="00000000">
        <w:rPr>
          <w:rtl w:val="0"/>
        </w:rPr>
        <w:t xml:space="preserve"> (commodity/risk-sensitive EM). That keeps a coherent "risk/commodity currencies" theme. If you'd rather a different story, a European bloc (EUR, GBP, SEK, NOK, CHF, plus CEE names like PLN/HUF) cointegrates well too — but pick one theme rather than mixing, and decide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you fish for relationships. One India-specific note: INR is heavily RBI-managed, so its dynamics are policy-driven rather than market equilibrium — interesting, but it can create artificial stability that breaks the model's assumptions, so I left it out of the default.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