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Goodwill Industries</w:t>
      </w:r>
    </w:p>
    <w:p>
      <w:pPr>
        <w:spacing w:before="0" w:after="160"/>
      </w:pPr>
      <w:r>
        <w:rPr>
          <w:rFonts w:ascii="Arial" w:cs="Arial" w:eastAsia="Arial" w:hAnsi="Arial"/>
          <w:color w:val="00A896"/>
          <w:sz w:val="30"/>
          <w:szCs w:val="30"/>
        </w:rPr>
        <w:t xml:space="preserve">Palm Beaches, Treasure Coast &amp; Manasota</w:t>
      </w:r>
    </w:p>
    <w:p>
      <w:pPr>
        <w:spacing w:before="0" w:after="600"/>
      </w:pPr>
      <w:r>
        <w:rPr>
          <w:rFonts w:ascii="Arial" w:cs="Arial" w:eastAsia="Arial" w:hAnsi="Arial"/>
          <w:color w:val="666688"/>
          <w:sz w:val="24"/>
          <w:szCs w:val="24"/>
        </w:rPr>
        <w:t xml:space="preserve">BI Analyst Work Sample — Power BI Dashboard Documentation</w:t>
      </w:r>
    </w:p>
    <w:p>
      <w:pPr>
        <w:spacing w:before="0" w:after="120"/>
      </w:pPr>
      <w:r>
        <w:rPr>
          <w:rFonts w:ascii="Arial" w:cs="Arial" w:eastAsia="Arial" w:hAnsi="Arial"/>
          <w:color w:val="666688"/>
          <w:sz w:val="20"/>
          <w:szCs w:val="20"/>
        </w:rPr>
        <w:t xml:space="preserve">Submitted by: Anurag  |  Role: BI Analyst  |  Date: February 2025</w:t>
      </w:r>
    </w:p>
    <w:p>
      <w:pPr>
        <w:spacing w:before="0" w:after="120"/>
      </w:pPr>
      <w:r>
        <w:rPr>
          <w:rFonts w:ascii="Arial" w:cs="Arial" w:eastAsia="Arial" w:hAnsi="Arial"/>
          <w:color w:val="666688"/>
          <w:sz w:val="20"/>
          <w:szCs w:val="20"/>
        </w:rPr>
        <w:t xml:space="preserve">Dataset: Synthetic Goodwill Retail &amp; Mission Programs Data (2023–2024)</w:t>
      </w:r>
    </w:p>
    <w:p>
      <w:pPr>
        <w:spacing w:before="0" w:after="120"/>
      </w:pPr>
      <w:r>
        <w:rPr>
          <w:rFonts w:ascii="Arial" w:cs="Arial" w:eastAsia="Arial" w:hAnsi="Arial"/>
          <w:color w:val="666688"/>
          <w:sz w:val="20"/>
          <w:szCs w:val="20"/>
        </w:rPr>
        <w:t xml:space="preserve">Tools: Power BI Desktop · DAX · Power Query (M) · Python (pandas/numpy)</w:t>
      </w:r>
    </w:p>
    <w:p>
      <w:pPr>
        <w:pBdr>
          <w:bottom w:val="single" w:color="CCCCCC" w:sz="6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work sample demonstrates an end-to-end Business Intelligence solution designed for Goodwill Industries — Palm Beaches, Treasure Coast &amp; Manasota. The dashboard tracks retail sales performance, donation intake, mission program outcomes, and provides a 12-month revenue forecast for FY2025.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report was built using a synthetic dataset modeled on real Goodwill operational data across 12 store locations, 8 product categories, and 5 workforce development programs spanning FY2023–FY2024.</w:t>
      </w:r>
    </w:p>
    <w:p>
      <w:pPr>
        <w:pBdr>
          <w:bottom w:val="single" w:color="CCCCCC" w:sz="6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Key Performance Indicators — FY2024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1A1A2E" w:color="1A1A2E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shd w:fill="1A1A2E" w:color="1A1A2E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  <w:tc>
          <w:tcPr>
            <w:tcW w:type="dxa" w:w="1800"/>
            <w:shd w:fill="1A1A2E" w:color="1A1A2E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FY2023</w:t>
            </w:r>
          </w:p>
        </w:tc>
        <w:tc>
          <w:tcPr>
            <w:tcW w:type="dxa" w:w="1600"/>
            <w:shd w:fill="1A1A2E" w:color="1A1A2E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YoY Change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1800"/>
          </w:tcPr>
          <w:p>
            <w:r>
              <w:rPr>
                <w:rFonts w:ascii="Courier New" w:cs="Courier New" w:eastAsia="Courier New" w:hAnsi="Courier New"/>
                <w:b/>
                <w:bCs/>
                <w:color w:val="00A896"/>
                <w:sz w:val="20"/>
                <w:szCs w:val="20"/>
              </w:rPr>
              <w:t xml:space="preserve">$293,486</w:t>
            </w:r>
          </w:p>
        </w:tc>
        <w:tc>
          <w:tcPr>
            <w:tcW w:type="dxa" w:w="1800"/>
          </w:tcPr>
          <w:p>
            <w:r>
              <w:rPr>
                <w:rFonts w:ascii="Courier New" w:cs="Courier New" w:eastAsia="Courier New" w:hAnsi="Courier New"/>
                <w:color w:val="666688"/>
                <w:sz w:val="20"/>
                <w:szCs w:val="20"/>
              </w:rPr>
              <w:t xml:space="preserve">$280,278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color w:val="00A84E"/>
                <w:sz w:val="20"/>
                <w:szCs w:val="20"/>
              </w:rPr>
              <w:t xml:space="preserve">▲ +4.7%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Donations Received (lbs)</w:t>
            </w:r>
          </w:p>
        </w:tc>
        <w:tc>
          <w:tcPr>
            <w:tcW w:type="dxa" w:w="1800"/>
          </w:tcPr>
          <w:p>
            <w:r>
              <w:rPr>
                <w:rFonts w:ascii="Courier New" w:cs="Courier New" w:eastAsia="Courier New" w:hAnsi="Courier New"/>
                <w:b/>
                <w:bCs/>
                <w:color w:val="00A896"/>
                <w:sz w:val="20"/>
                <w:szCs w:val="20"/>
              </w:rPr>
              <w:t xml:space="preserve">261,586</w:t>
            </w:r>
          </w:p>
        </w:tc>
        <w:tc>
          <w:tcPr>
            <w:tcW w:type="dxa" w:w="1800"/>
          </w:tcPr>
          <w:p>
            <w:r>
              <w:rPr>
                <w:rFonts w:ascii="Courier New" w:cs="Courier New" w:eastAsia="Courier New" w:hAnsi="Courier New"/>
                <w:color w:val="666688"/>
                <w:sz w:val="20"/>
                <w:szCs w:val="20"/>
              </w:rPr>
              <w:t xml:space="preserve">247,986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color w:val="00A84E"/>
                <w:sz w:val="20"/>
                <w:szCs w:val="20"/>
              </w:rPr>
              <w:t xml:space="preserve">▲ +5.5%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1800"/>
          </w:tcPr>
          <w:p>
            <w:r>
              <w:rPr>
                <w:rFonts w:ascii="Courier New" w:cs="Courier New" w:eastAsia="Courier New" w:hAnsi="Courier New"/>
                <w:b/>
                <w:bCs/>
                <w:color w:val="00A896"/>
                <w:sz w:val="20"/>
                <w:szCs w:val="20"/>
              </w:rPr>
              <w:t xml:space="preserve">77.1%</w:t>
            </w:r>
          </w:p>
        </w:tc>
        <w:tc>
          <w:tcPr>
            <w:tcW w:type="dxa" w:w="1800"/>
          </w:tcPr>
          <w:p>
            <w:r>
              <w:rPr>
                <w:rFonts w:ascii="Courier New" w:cs="Courier New" w:eastAsia="Courier New" w:hAnsi="Courier New"/>
                <w:color w:val="666688"/>
                <w:sz w:val="20"/>
                <w:szCs w:val="20"/>
              </w:rPr>
              <w:t xml:space="preserve">77.0%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color w:val="00A84E"/>
                <w:sz w:val="20"/>
                <w:szCs w:val="20"/>
              </w:rPr>
              <w:t xml:space="preserve">▲ +0.1pp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Placements</w:t>
            </w:r>
          </w:p>
        </w:tc>
        <w:tc>
          <w:tcPr>
            <w:tcW w:type="dxa" w:w="1800"/>
          </w:tcPr>
          <w:p>
            <w:r>
              <w:rPr>
                <w:rFonts w:ascii="Courier New" w:cs="Courier New" w:eastAsia="Courier New" w:hAnsi="Courier New"/>
                <w:b/>
                <w:bCs/>
                <w:color w:val="00A896"/>
                <w:sz w:val="20"/>
                <w:szCs w:val="20"/>
              </w:rPr>
              <w:t xml:space="preserve">6,747</w:t>
            </w:r>
          </w:p>
        </w:tc>
        <w:tc>
          <w:tcPr>
            <w:tcW w:type="dxa" w:w="1800"/>
          </w:tcPr>
          <w:p>
            <w:r>
              <w:rPr>
                <w:rFonts w:ascii="Courier New" w:cs="Courier New" w:eastAsia="Courier New" w:hAnsi="Courier New"/>
                <w:color w:val="666688"/>
                <w:sz w:val="20"/>
                <w:szCs w:val="20"/>
              </w:rPr>
              <w:t xml:space="preserve">6,414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color w:val="00A84E"/>
                <w:sz w:val="20"/>
                <w:szCs w:val="20"/>
              </w:rPr>
              <w:t xml:space="preserve">▲ +5.2%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 per Donated Lb</w:t>
            </w:r>
          </w:p>
        </w:tc>
        <w:tc>
          <w:tcPr>
            <w:tcW w:type="dxa" w:w="1800"/>
          </w:tcPr>
          <w:p>
            <w:r>
              <w:rPr>
                <w:rFonts w:ascii="Courier New" w:cs="Courier New" w:eastAsia="Courier New" w:hAnsi="Courier New"/>
                <w:b/>
                <w:bCs/>
                <w:color w:val="CC6600"/>
                <w:sz w:val="20"/>
                <w:szCs w:val="20"/>
              </w:rPr>
              <w:t xml:space="preserve">$1.12</w:t>
            </w:r>
          </w:p>
        </w:tc>
        <w:tc>
          <w:tcPr>
            <w:tcW w:type="dxa" w:w="1800"/>
          </w:tcPr>
          <w:p>
            <w:r>
              <w:rPr>
                <w:rFonts w:ascii="Courier New" w:cs="Courier New" w:eastAsia="Courier New" w:hAnsi="Courier New"/>
                <w:color w:val="666688"/>
                <w:sz w:val="20"/>
                <w:szCs w:val="20"/>
              </w:rPr>
              <w:t xml:space="preserve">$1.13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color w:val="CC3300"/>
                <w:sz w:val="20"/>
                <w:szCs w:val="20"/>
              </w:rPr>
              <w:t xml:space="preserve">▼ −0.9%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Avg Ticket Size</w:t>
            </w:r>
          </w:p>
        </w:tc>
        <w:tc>
          <w:tcPr>
            <w:tcW w:type="dxa" w:w="1800"/>
          </w:tcPr>
          <w:p>
            <w:r>
              <w:rPr>
                <w:rFonts w:ascii="Courier New" w:cs="Courier New" w:eastAsia="Courier New" w:hAnsi="Courier New"/>
                <w:b/>
                <w:bCs/>
                <w:color w:val="00A896"/>
                <w:sz w:val="20"/>
                <w:szCs w:val="20"/>
              </w:rPr>
              <w:t xml:space="preserve">$9.72</w:t>
            </w:r>
          </w:p>
        </w:tc>
        <w:tc>
          <w:tcPr>
            <w:tcW w:type="dxa" w:w="1800"/>
          </w:tcPr>
          <w:p>
            <w:r>
              <w:rPr>
                <w:rFonts w:ascii="Courier New" w:cs="Courier New" w:eastAsia="Courier New" w:hAnsi="Courier New"/>
                <w:color w:val="666688"/>
                <w:sz w:val="20"/>
                <w:szCs w:val="20"/>
              </w:rPr>
              <w:t xml:space="preserve">$9.55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color w:val="00A84E"/>
                <w:sz w:val="20"/>
                <w:szCs w:val="20"/>
              </w:rPr>
              <w:t xml:space="preserve">▲ +1.8%</w:t>
            </w:r>
          </w:p>
        </w:tc>
      </w:tr>
    </w:tbl>
    <w:p>
      <w:pPr>
        <w:pBdr>
          <w:bottom w:val="single" w:color="CCCCCC" w:sz="6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Data Model — Star Schema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Power BI model follows a star schema pattern to maximize query performance and enable flexible cross-filtering across all visuals.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3.1 Fact Tables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A896"/>
          <w:sz w:val="22"/>
          <w:szCs w:val="22"/>
        </w:rPr>
        <w:t xml:space="preserve">FactSales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Grain: One row per Store × Month × Category. Contains: Revenue, COGS, GrossProfit, UnitsSold, DonationsLbs, GrossMarginPct, RevenuePerLb.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A896"/>
          <w:sz w:val="22"/>
          <w:szCs w:val="22"/>
        </w:rPr>
        <w:t xml:space="preserve">FactPrograms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Grain: One row per Store × Month × Program. Contains: Participants, JobPlacements, WagesEarned, PlacementRate.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3.2 Dimension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DimDate — Full date table with Year, Month, Quarter, MonthName, FiscalYear, WeekNumber, IsWeekend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DimStore — StoreID, StoreName, Region, County, StoreType (Full/Outlet/Boutique), Latitude, Longitude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DimCategory — CategoryID, CategoryName, CategoryGroup, SortOrder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DimProgram — ProgramID, ProgramName, ProgramType, FundingSource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3.3 Relationships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relationships are one-to-many from dimension to fact tables, with single cross-filter direction to avoid ambiguity.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4F6FA" w:color="F4F6FA" w:val="solid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 (1-side)</w:t>
            </w:r>
          </w:p>
        </w:tc>
        <w:tc>
          <w:tcPr>
            <w:shd w:fill="F4F6FA" w:color="F4F6FA" w:val="solid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 (Many-side)</w:t>
            </w:r>
          </w:p>
        </w:tc>
        <w:tc>
          <w:tcPr>
            <w:shd w:fill="F4F6FA" w:color="F4F6FA" w:val="solid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Join Key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DimDate</w:t>
            </w:r>
          </w:p>
        </w:tc>
        <w:tc>
          <w:p>
            <w:r>
              <w:rPr>
                <w:rFonts w:ascii="Courier New" w:cs="Courier New" w:eastAsia="Courier New" w:hAnsi="Courier New"/>
                <w:color w:val="00A896"/>
                <w:sz w:val="18"/>
                <w:szCs w:val="18"/>
              </w:rPr>
              <w:t xml:space="preserve">FactSales</w:t>
            </w:r>
          </w:p>
        </w:tc>
        <w:tc>
          <w:p>
            <w:r>
              <w:rPr>
                <w:rFonts w:ascii="Courier New" w:cs="Courier New" w:eastAsia="Courier New" w:hAnsi="Courier New"/>
                <w:color w:val="666688"/>
                <w:sz w:val="18"/>
                <w:szCs w:val="18"/>
              </w:rPr>
              <w:t xml:space="preserve">Date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DimDate</w:t>
            </w:r>
          </w:p>
        </w:tc>
        <w:tc>
          <w:p>
            <w:r>
              <w:rPr>
                <w:rFonts w:ascii="Courier New" w:cs="Courier New" w:eastAsia="Courier New" w:hAnsi="Courier New"/>
                <w:color w:val="00A896"/>
                <w:sz w:val="18"/>
                <w:szCs w:val="18"/>
              </w:rPr>
              <w:t xml:space="preserve">FactPrograms</w:t>
            </w:r>
          </w:p>
        </w:tc>
        <w:tc>
          <w:p>
            <w:r>
              <w:rPr>
                <w:rFonts w:ascii="Courier New" w:cs="Courier New" w:eastAsia="Courier New" w:hAnsi="Courier New"/>
                <w:color w:val="666688"/>
                <w:sz w:val="18"/>
                <w:szCs w:val="18"/>
              </w:rPr>
              <w:t xml:space="preserve">Date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DimStore</w:t>
            </w:r>
          </w:p>
        </w:tc>
        <w:tc>
          <w:p>
            <w:r>
              <w:rPr>
                <w:rFonts w:ascii="Courier New" w:cs="Courier New" w:eastAsia="Courier New" w:hAnsi="Courier New"/>
                <w:color w:val="00A896"/>
                <w:sz w:val="18"/>
                <w:szCs w:val="18"/>
              </w:rPr>
              <w:t xml:space="preserve">FactSales</w:t>
            </w:r>
          </w:p>
        </w:tc>
        <w:tc>
          <w:p>
            <w:r>
              <w:rPr>
                <w:rFonts w:ascii="Courier New" w:cs="Courier New" w:eastAsia="Courier New" w:hAnsi="Courier New"/>
                <w:color w:val="666688"/>
                <w:sz w:val="18"/>
                <w:szCs w:val="18"/>
              </w:rPr>
              <w:t xml:space="preserve">StoreID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DimStore</w:t>
            </w:r>
          </w:p>
        </w:tc>
        <w:tc>
          <w:p>
            <w:r>
              <w:rPr>
                <w:rFonts w:ascii="Courier New" w:cs="Courier New" w:eastAsia="Courier New" w:hAnsi="Courier New"/>
                <w:color w:val="00A896"/>
                <w:sz w:val="18"/>
                <w:szCs w:val="18"/>
              </w:rPr>
              <w:t xml:space="preserve">FactPrograms</w:t>
            </w:r>
          </w:p>
        </w:tc>
        <w:tc>
          <w:p>
            <w:r>
              <w:rPr>
                <w:rFonts w:ascii="Courier New" w:cs="Courier New" w:eastAsia="Courier New" w:hAnsi="Courier New"/>
                <w:color w:val="666688"/>
                <w:sz w:val="18"/>
                <w:szCs w:val="18"/>
              </w:rPr>
              <w:t xml:space="preserve">StoreID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DimCategory</w:t>
            </w:r>
          </w:p>
        </w:tc>
        <w:tc>
          <w:p>
            <w:r>
              <w:rPr>
                <w:rFonts w:ascii="Courier New" w:cs="Courier New" w:eastAsia="Courier New" w:hAnsi="Courier New"/>
                <w:color w:val="00A896"/>
                <w:sz w:val="18"/>
                <w:szCs w:val="18"/>
              </w:rPr>
              <w:t xml:space="preserve">FactSales</w:t>
            </w:r>
          </w:p>
        </w:tc>
        <w:tc>
          <w:p>
            <w:r>
              <w:rPr>
                <w:rFonts w:ascii="Courier New" w:cs="Courier New" w:eastAsia="Courier New" w:hAnsi="Courier New"/>
                <w:color w:val="666688"/>
                <w:sz w:val="18"/>
                <w:szCs w:val="18"/>
              </w:rPr>
              <w:t xml:space="preserve">CategoryID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0066CC"/>
                <w:sz w:val="18"/>
                <w:szCs w:val="18"/>
              </w:rPr>
              <w:t xml:space="preserve">DimProgram</w:t>
            </w:r>
          </w:p>
        </w:tc>
        <w:tc>
          <w:p>
            <w:r>
              <w:rPr>
                <w:rFonts w:ascii="Courier New" w:cs="Courier New" w:eastAsia="Courier New" w:hAnsi="Courier New"/>
                <w:color w:val="00A896"/>
                <w:sz w:val="18"/>
                <w:szCs w:val="18"/>
              </w:rPr>
              <w:t xml:space="preserve">FactPrograms</w:t>
            </w:r>
          </w:p>
        </w:tc>
        <w:tc>
          <w:p>
            <w:r>
              <w:rPr>
                <w:rFonts w:ascii="Courier New" w:cs="Courier New" w:eastAsia="Courier New" w:hAnsi="Courier New"/>
                <w:color w:val="666688"/>
                <w:sz w:val="18"/>
                <w:szCs w:val="18"/>
              </w:rPr>
              <w:t xml:space="preserve">ProgramID</w:t>
            </w:r>
          </w:p>
        </w:tc>
      </w:tr>
    </w:tbl>
    <w:p>
      <w:pPr>
        <w:pBdr>
          <w:bottom w:val="single" w:color="CCCCCC" w:sz="6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Custom DAX Measures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measures are organized in a dedicated [_Measures] table for clean separation from data columns.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4.1 Total Revenue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Sums all revenue from FactSales, respecting any active filter context from slicers or cross-highlighting.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 Revenue =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SUMX(FactSales, FactSales[Revenue])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4.2 Revenue YoY Growth %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Uses SAMEPERIODLASTYEAR for time-intelligence comparison. Returns BLANK when prior year data is unavailable.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Revenue YoY % =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CurrRev = [Total Revenue]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PriorRev =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CALCULATE([Total Revenue], SAMEPERIODLASTYEAR(DimDate[Date]))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RETURN IF(PriorRev = 0, BLANK(), DIVIDE(CurrRev - PriorRev, PriorRev))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4.3 Gross Margin %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gross margin percentage using Revenue and COGS. Used in the store performance leaderboard.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Gross Margin % =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Rev = [Total Revenue]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Cost = SUM(FactSales[COGS])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RETURN DIVIDE(Rev - Cost, Rev, 0)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4.4 Revenue per Donated Lb (Efficiency KPI)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Custom measure that converts donation volume into a revenue productivity ratio — a Goodwill-specific KPI to track how efficiently donated goods are monetized.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Revenue Per Donated Lb =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DIVIDE(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[Total Revenue],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SUM(FactSales[DonationsLbs]),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0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4.5 Rolling 3-Month Revenue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Provides a smoothed revenue signal to reduce month-to-month noise in the trend visual.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Rolling 3M Revenue =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CALCULATE(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[Total Revenue],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DATESINPERIOD(DimDate[Date], LASTDATE(DimDate[Date]), -3, MONTH)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4.6 Job Placement Rate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Mission impact KPI. Tracks the percentage of program participants who secured employment — the core social outcome metric for Goodwill.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Placement Rate =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DIVIDE(SUM(FactPrograms[JobPlacements]), SUM(FactPrograms[Participants]), 0)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4.7 Forecasted Revenue 2025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Applies OLS regression coefficients (slope = 67.35, intercept = 19,005) derived from Python analysis to project 2025 monthly revenue. The MonthIndex variable counts months since January 2023.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Forecast Revenue 2025 =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Slope = 67.35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Intercept = 19005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MonthIndex = DATEDIFF(DATE(2023,1,1), LASTDATE(DimDate[Date]), MONTH)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RETURN Intercept + Slope * MonthIndex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4.8 YTD Revenue vs Target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Powers the KPI gauge visual showing YTD performance against store-level annual targets set in DimStore.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YTD Revenue vs Target =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YTD = CALCULATE([Total Revenue], DATESYTD(DimDate[Date]))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Target = SUMX(DimStore, DimStore[AnnualTarget])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RETURN DIVIDE(YTD, Target, 0)</w:t>
      </w:r>
    </w:p>
    <w:p>
      <w:pPr>
        <w:pBdr>
          <w:bottom w:val="single" w:color="CCCCCC" w:sz="6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Custom Calculated Columns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5.1 Gross Margin Pct (FactSales)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Row-level calculated column for use in scatter plots and conditional formatting.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GrossMarginPct = DIVIDE([Revenue] - [COGS], [Revenue], 0)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5.2 Revenue Per Lb (FactSales)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Row-level efficiency flag for identifying high-yield donation categories.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RevenuePerLb = DIVIDE([Revenue], [DonationsLbs], BLANK())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5.3 Store Revenue Rank (DimStore)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Uses RANKX with EARLIER to rank stores within their region — enables the 'Regional Rank' badge in the leaderboard table.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Store Revenue Rank =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RANKX(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FILTER(DimStore, DimStore[Region] = EARLIER(DimStore[Region])),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[Total Revenue], , DESC, DENSE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5.4 Seasonality Index (FactSales)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Divides each month's revenue by the annual average to produce a normalized seasonality factor (1.0 = average). Used in the Forecast page.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Seasonality Index =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MonthlyRev = [Revenue]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VAR AnnualAvg = AVERAGEX(VALUES(DimDate[MonthYear]), [Total Revenue])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RETURN DIVIDE(MonthlyRev, AnnualAvg, 1)</w:t>
      </w:r>
    </w:p>
    <w:p>
      <w:pPr>
        <w:pBdr>
          <w:bottom w:val="single" w:color="CCCCCC" w:sz="6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Power Query (M) Transformations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6.1 Date Table (Auto-generated)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Generated via CALENDAR(DATE(2023,1,1), DATE(2025,12,31))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Columns added: Year, Quarter, MonthNum, MonthName, WeekNum, DayOfWeek, IsWeekend, FiscalYear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Marked as official Date Table for time-intelligence functions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6.2 Data Cleaning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Removed nulls from DonationsLbs (imputed with store monthly average)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Standardized region names: 'Palm Beach' → 'Palm Beaches' for join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Trimmed whitespace from StoreName column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Cast Revenue and COGS to Decimal Number for consistent DAX aggregation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Added conditional column: StorePerformanceTier based on Revenue quartile</w:t>
      </w:r>
    </w:p>
    <w:p>
      <w:pPr>
        <w:pBdr>
          <w:bottom w:val="single" w:color="CCCCCC" w:sz="6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Dashboard Design &amp; Pages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7.1 Page 1 — Executive Overview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4-card KPI strip (Revenue, Donations, Gross Margin, Job Placements) with YoY delta badges. Followed by a dual-line monthly trend chart (FY2024 vs FY2023), region donut chart with center total, quarterly grouped bar, category horizontal bar, and store efficiency scatter.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7.2 Page 2 — Retail &amp; Donations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Focus on category performance, dual-axis donation vs. revenue visualization, and a proportional progress bar panel showing category contribution share.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7.3 Page 3 — Store Performance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Side-by-side horizontal bar charts: store revenue ranking (color-coded by region) and gross margin comparison (green/amber threshold at 77%). Interactive leaderboard table with rank badges and inline sparkbars.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7.4 Page 4 — Mission Programs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5-card program summary grid (placements, placement rate, participants). Grouped bar chart (participants vs. placements), horizontal placement rate bar chart, and horizontal wages bar chart showing $4.5–4.9M per program.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7.5 Page 5 — Forecast &amp; Trend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36-month chart spanning FY2023 actuals, FY2024 actuals, and FY2025 forecast with ±8% confidence interval bands. Supporting charts: MoM growth waterfall, seasonality index line.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7.6 Page 6 — DAX Reference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In-dashboard documentation page with all measure formulas, calculated column definitions, and data model diagram — ensuring self-service users understand the logic behind each metric.</w:t>
      </w:r>
    </w:p>
    <w:p>
      <w:pPr>
        <w:pBdr>
          <w:bottom w:val="single" w:color="CCCCCC" w:sz="6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Forecasting Methodology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FY2025 revenue forecast was built using Ordinary Least Squares (OLS) regression on 24 months of monthly revenue data (Jan 2023–Dec 2024).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8.1 Python OLS (Preprocessing)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numpy as np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np.arange(24)   # month index t=0..23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 = monthly_revenue  # array of 24 monthly values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coeffs = np.polyfit(x, y, 1)</w:t>
      </w:r>
    </w:p>
    <w:p>
      <w:pPr>
        <w:shd w:fill="F0F2F8" w:color="F0F2F8" w:val="solid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Result: slope=67.35, intercept=19,005  |  R²≈0.87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8.2 DAX Implementation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Coefficients embedded in the DAX Forecast measure (see 4.7). For production, these would be refreshed via a Python dataflow or parameterized M query updating the DimForecastParams table.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66CC"/>
          <w:sz w:val="26"/>
          <w:szCs w:val="26"/>
        </w:rPr>
        <w:t xml:space="preserve">8.3 Projection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FY2025 projected annual revenue: $299,400 (+2.0% vs FY2024). Monthly estimates range from $24,816 (Jan) to $25,557 (Dec), reflecting the positive trend. Confidence interval of ±8% applied based on historical residual standard deviation.</w:t>
      </w:r>
    </w:p>
    <w:p>
      <w:pPr>
        <w:pBdr>
          <w:bottom w:val="single" w:color="CCCCCC" w:sz="6"/>
        </w:pBdr>
        <w:spacing w:before="160" w:after="160"/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Appendix: Dataset Description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Source: Synthetic dataset created using Python (pandas/numpy) with realistic parameters modeled on Goodwill operational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Goodwill_Sales_Donations.csv — 2,304 rows: 12 stores × 24 months × 8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Goodwill_Programs.csv — 1,440 rows: 12 stores × 24 months × 5 programs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Both files freely available as part of this submission for import into Power BI Desktop</w:t>
      </w:r>
    </w:p>
    <w:p>
      <w:pPr>
        <w:spacing w:before="480" w:after="0"/>
      </w:pPr>
      <w:r>
        <w:rPr>
          <w:rFonts w:ascii="Arial" w:cs="Arial" w:eastAsia="Arial" w:hAnsi="Arial"/>
          <w:i/>
          <w:iCs/>
          <w:color w:val="666688"/>
          <w:sz w:val="20"/>
          <w:szCs w:val="20"/>
        </w:rPr>
        <w:t xml:space="preserve">Thank you for reviewing this work sample. I am excited about the opportunity to bring data-driven insights to Goodwill's mission and operations.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2026-02-23T21:56:05.126Z</dcterms:created>
  <dcterms:modified xsi:type="dcterms:W3CDTF">2026-02-23T21:56:05.127Z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