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Retail Orders — Data Quality Contract</w:t>
      </w:r>
    </w:p>
    <w:p>
      <w:r>
        <w:t>Version 1.0 | Owner: Head of Sales | Technical owner: Data Engineering Lead | Finance sign-off: Finance Controller</w:t>
      </w:r>
    </w:p>
    <w:p>
      <w:pPr>
        <w:pStyle w:val="Heading1"/>
      </w:pPr>
      <w:r>
        <w:t>1. Purpose and scope</w:t>
      </w:r>
    </w:p>
    <w:p>
      <w:r>
        <w:t>This contract defines minimum quality requirements for the RabTech Academy raw retail orders dataset before it is used for sales, order, customer, promotion, and fulfilment reporting. The raw dataset is intentionally imperfect; profiling findings must be recorded rather than silently corrected.</w:t>
      </w:r>
    </w:p>
    <w:p>
      <w:pPr>
        <w:pStyle w:val="Heading1"/>
      </w:pPr>
      <w:r>
        <w:t>2. Grain and business rules</w:t>
      </w:r>
    </w:p>
    <w:p>
      <w:pPr>
        <w:pStyle w:val="ListBullet"/>
      </w:pPr>
      <w:r>
        <w:t>Confirm the grain using the supplied data dictionary. A row may represent an order line rather than a whole order; repeated order IDs alone are not evidence of duplication.</w:t>
      </w:r>
    </w:p>
    <w:p>
      <w:pPr>
        <w:pStyle w:val="ListBullet"/>
      </w:pPr>
      <w:r>
        <w:t>Revenue, completed orders, AOV, units, and customer metrics must use an approved order-status mapping and the same reporting window.</w:t>
      </w:r>
    </w:p>
    <w:p>
      <w:pPr>
        <w:pStyle w:val="ListBullet"/>
      </w:pPr>
      <w:r>
        <w:t>Do not silently discard invalid rows. Quarantine them, retain a reason code, and report their count and value.</w:t>
      </w:r>
    </w:p>
    <w:p>
      <w:pPr>
        <w:pStyle w:val="ListBullet"/>
      </w:pPr>
      <w:r>
        <w:t>Currency, timezone, status mapping, discount semantics, and refund treatment must be approved by the business owner before production reporting.</w:t>
      </w:r>
    </w:p>
    <w:p>
      <w:pPr>
        <w:pStyle w:val="ListBullet"/>
      </w:pPr>
      <w:r>
        <w:t>If a KPI requires a field that is absent, mark it unavailable instead of creating or guessing values.</w:t>
      </w:r>
    </w:p>
    <w:p>
      <w:pPr>
        <w:pStyle w:val="Heading1"/>
      </w:pPr>
      <w:r>
        <w:t>3. Quality dimensions, thresholds, and actions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Dimension / check</w:t>
            </w:r>
          </w:p>
        </w:tc>
        <w:tc>
          <w:tcPr>
            <w:tcW w:type="dxa" w:w="1728"/>
          </w:tcPr>
          <w:p>
            <w:r>
              <w:t>Threshold</w:t>
            </w:r>
          </w:p>
        </w:tc>
        <w:tc>
          <w:tcPr>
            <w:tcW w:type="dxa" w:w="1728"/>
          </w:tcPr>
          <w:p>
            <w:r>
              <w:t>Severity</w:t>
            </w:r>
          </w:p>
        </w:tc>
        <w:tc>
          <w:tcPr>
            <w:tcW w:type="dxa" w:w="1728"/>
          </w:tcPr>
          <w:p>
            <w:r>
              <w:t>Failure action</w:t>
            </w:r>
          </w:p>
        </w:tc>
        <w:tc>
          <w:tcPr>
            <w:tcW w:type="dxa" w:w="1728"/>
          </w:tcPr>
          <w:p>
            <w:r>
              <w:t>Accountable owner</w:t>
            </w:r>
          </w:p>
        </w:tc>
      </w:tr>
      <w:tr>
        <w:tc>
          <w:tcPr>
            <w:tcW w:type="dxa" w:w="1728"/>
          </w:tcPr>
          <w:p>
            <w:r>
              <w:t>Completeness: required IDs, dates, status</w:t>
            </w:r>
          </w:p>
        </w:tc>
        <w:tc>
          <w:tcPr>
            <w:tcW w:type="dxa" w:w="1728"/>
          </w:tcPr>
          <w:p>
            <w:r>
              <w:t>Order ID/date/status missing &lt;= 0.5%; amount/quantity &lt;= 1%</w:t>
            </w:r>
          </w:p>
        </w:tc>
        <w:tc>
          <w:tcPr>
            <w:tcW w:type="dxa" w:w="1728"/>
          </w:tcPr>
          <w:p>
            <w:r>
              <w:t>High</w:t>
            </w:r>
          </w:p>
        </w:tc>
        <w:tc>
          <w:tcPr>
            <w:tcW w:type="dxa" w:w="1728"/>
          </w:tcPr>
          <w:p>
            <w:r>
              <w:t>Quarantine affected rows; block affected KPIs if threshold exceeded.</w:t>
            </w:r>
          </w:p>
        </w:tc>
        <w:tc>
          <w:tcPr>
            <w:tcW w:type="dxa" w:w="1728"/>
          </w:tcPr>
          <w:p>
            <w:r>
              <w:t>Data Engineering + source owner</w:t>
            </w:r>
          </w:p>
        </w:tc>
      </w:tr>
      <w:tr>
        <w:tc>
          <w:tcPr>
            <w:tcW w:type="dxa" w:w="1728"/>
          </w:tcPr>
          <w:p>
            <w:r>
              <w:t>Uniqueness: approved business key</w:t>
            </w:r>
          </w:p>
        </w:tc>
        <w:tc>
          <w:tcPr>
            <w:tcW w:type="dxa" w:w="1728"/>
          </w:tcPr>
          <w:p>
            <w:r>
              <w:t>0 duplicate order-line keys after grain is established</w:t>
            </w:r>
          </w:p>
        </w:tc>
        <w:tc>
          <w:tcPr>
            <w:tcW w:type="dxa" w:w="1728"/>
          </w:tcPr>
          <w:p>
            <w:r>
              <w:t>High</w:t>
            </w:r>
          </w:p>
        </w:tc>
        <w:tc>
          <w:tcPr>
            <w:tcW w:type="dxa" w:w="1728"/>
          </w:tcPr>
          <w:p>
            <w:r>
              <w:t>Investigate duplicate keys; do not deduplicate automatically.</w:t>
            </w:r>
          </w:p>
        </w:tc>
        <w:tc>
          <w:tcPr>
            <w:tcW w:type="dxa" w:w="1728"/>
          </w:tcPr>
          <w:p>
            <w:r>
              <w:t>Data Engineering</w:t>
            </w:r>
          </w:p>
        </w:tc>
      </w:tr>
      <w:tr>
        <w:tc>
          <w:tcPr>
            <w:tcW w:type="dxa" w:w="1728"/>
          </w:tcPr>
          <w:p>
            <w:r>
              <w:t>Validity: date, amount, quantity, domains</w:t>
            </w:r>
          </w:p>
        </w:tc>
        <w:tc>
          <w:tcPr>
            <w:tcW w:type="dxa" w:w="1728"/>
          </w:tcPr>
          <w:p>
            <w:r>
              <w:t>Invalid date &lt;= 0.5%; invalid numeric/domain values &lt;= 0.5%</w:t>
            </w:r>
          </w:p>
        </w:tc>
        <w:tc>
          <w:tcPr>
            <w:tcW w:type="dxa" w:w="1728"/>
          </w:tcPr>
          <w:p>
            <w:r>
              <w:t>High</w:t>
            </w:r>
          </w:p>
        </w:tc>
        <w:tc>
          <w:tcPr>
            <w:tcW w:type="dxa" w:w="1728"/>
          </w:tcPr>
          <w:p>
            <w:r>
              <w:t>Quarantine invalid rows and create incident/ticket.</w:t>
            </w:r>
          </w:p>
        </w:tc>
        <w:tc>
          <w:tcPr>
            <w:tcW w:type="dxa" w:w="1728"/>
          </w:tcPr>
          <w:p>
            <w:r>
              <w:t>Data Engineering + Operations</w:t>
            </w:r>
          </w:p>
        </w:tc>
      </w:tr>
      <w:tr>
        <w:tc>
          <w:tcPr>
            <w:tcW w:type="dxa" w:w="1728"/>
          </w:tcPr>
          <w:p>
            <w:r>
              <w:t>Consistency: arithmetic/date logic</w:t>
            </w:r>
          </w:p>
        </w:tc>
        <w:tc>
          <w:tcPr>
            <w:tcW w:type="dxa" w:w="1728"/>
          </w:tcPr>
          <w:p>
            <w:r>
              <w:t>Revenue arithmetic mismatch &lt;= 0.5% of applicable rows; tolerance ±0.02 currency units unless dictionary says otherwise</w:t>
            </w:r>
          </w:p>
        </w:tc>
        <w:tc>
          <w:tcPr>
            <w:tcW w:type="dxa" w:w="1728"/>
          </w:tcPr>
          <w:p>
            <w:r>
              <w:t>High</w:t>
            </w:r>
          </w:p>
        </w:tc>
        <w:tc>
          <w:tcPr>
            <w:tcW w:type="dxa" w:w="1728"/>
          </w:tcPr>
          <w:p>
            <w:r>
              <w:t>Reconcile to source system; block revenue KPI if breached.</w:t>
            </w:r>
          </w:p>
        </w:tc>
        <w:tc>
          <w:tcPr>
            <w:tcW w:type="dxa" w:w="1728"/>
          </w:tcPr>
          <w:p>
            <w:r>
              <w:t>Finance + Data Engineering</w:t>
            </w:r>
          </w:p>
        </w:tc>
      </w:tr>
      <w:tr>
        <w:tc>
          <w:tcPr>
            <w:tcW w:type="dxa" w:w="1728"/>
          </w:tcPr>
          <w:p>
            <w:r>
              <w:t>Freshness: daily source feed</w:t>
            </w:r>
          </w:p>
        </w:tc>
        <w:tc>
          <w:tcPr>
            <w:tcW w:type="dxa" w:w="1728"/>
          </w:tcPr>
          <w:p>
            <w:r>
              <w:t>Available by 08:00 local time; lag &lt;= 26 hours</w:t>
            </w:r>
          </w:p>
        </w:tc>
        <w:tc>
          <w:tcPr>
            <w:tcW w:type="dxa" w:w="1728"/>
          </w:tcPr>
          <w:p>
            <w:r>
              <w:t>Medium/High</w:t>
            </w:r>
          </w:p>
        </w:tc>
        <w:tc>
          <w:tcPr>
            <w:tcW w:type="dxa" w:w="1728"/>
          </w:tcPr>
          <w:p>
            <w:r>
              <w:t>Mark dashboard stale, alert pipeline owner; escalate after two missed refreshes.</w:t>
            </w:r>
          </w:p>
        </w:tc>
        <w:tc>
          <w:tcPr>
            <w:tcW w:type="dxa" w:w="1728"/>
          </w:tcPr>
          <w:p>
            <w:r>
              <w:t>Data Engineering</w:t>
            </w:r>
          </w:p>
        </w:tc>
      </w:tr>
      <w:tr>
        <w:tc>
          <w:tcPr>
            <w:tcW w:type="dxa" w:w="1728"/>
          </w:tcPr>
          <w:p>
            <w:r>
              <w:t>Customer identity completeness</w:t>
            </w:r>
          </w:p>
        </w:tc>
        <w:tc>
          <w:tcPr>
            <w:tcW w:type="dxa" w:w="1728"/>
          </w:tcPr>
          <w:p>
            <w:r>
              <w:t>Customer ID present for &gt;= 98% of eligible rows</w:t>
            </w:r>
          </w:p>
        </w:tc>
        <w:tc>
          <w:tcPr>
            <w:tcW w:type="dxa" w:w="1728"/>
          </w:tcPr>
          <w:p>
            <w:r>
              <w:t>Medium</w:t>
            </w:r>
          </w:p>
        </w:tc>
        <w:tc>
          <w:tcPr>
            <w:tcW w:type="dxa" w:w="1728"/>
          </w:tcPr>
          <w:p>
            <w:r>
              <w:t>Show coverage warning; do not compare customer metrics across periods without caveat.</w:t>
            </w:r>
          </w:p>
        </w:tc>
        <w:tc>
          <w:tcPr>
            <w:tcW w:type="dxa" w:w="1728"/>
          </w:tcPr>
          <w:p>
            <w:r>
              <w:t>CRM owner</w:t>
            </w:r>
          </w:p>
        </w:tc>
      </w:tr>
    </w:tbl>
    <w:p>
      <w:pPr>
        <w:pStyle w:val="Heading1"/>
      </w:pPr>
      <w:r>
        <w:t>4. Severity and escalation</w:t>
      </w:r>
    </w:p>
    <w:p>
      <w:pPr>
        <w:pStyle w:val="ListBullet"/>
      </w:pPr>
      <w:r>
        <w:t>P1 — High severity: a threshold failure can materially change revenue or order counts. Notify the Data Engineering Lead and Finance immediately, pause the affected KPI/dashboard publication, and open an incident.</w:t>
      </w:r>
    </w:p>
    <w:p>
      <w:pPr>
        <w:pStyle w:val="ListBullet"/>
      </w:pPr>
      <w:r>
        <w:t>P2 — Medium severity: a threshold failure affects interpretation but not necessarily core financial totals. Notify the metric owner within one business day and publish a visible caveat if approved.</w:t>
      </w:r>
    </w:p>
    <w:p>
      <w:pPr>
        <w:pStyle w:val="ListBullet"/>
      </w:pPr>
      <w:r>
        <w:t>Repeated failure: if the same issue remains unresolved for two refresh cycles, escalate to the Head of Sales and the source-system owner.</w:t>
      </w:r>
    </w:p>
    <w:p>
      <w:pPr>
        <w:pStyle w:val="ListBullet"/>
      </w:pPr>
      <w:r>
        <w:t>Every incident must record run timestamp, source file/version, row counts, failed checks, affected KPIs, sample records, owner, remediation, and closure time.</w:t>
      </w:r>
    </w:p>
    <w:p>
      <w:pPr>
        <w:pStyle w:val="Heading1"/>
      </w:pPr>
      <w:r>
        <w:t>5. Refresh and release policy</w:t>
      </w:r>
    </w:p>
    <w:p>
      <w:r>
        <w:t>Run the profile on every new file and before daily KPI refresh. The notebook writes column_profile.csv, data_quality_results.csv, and kpi_results.csv to an outputs folder. KPI publication is blocked when a high-severity check fails, the status mapping is unapproved, or the source is stale. If no ingestion timestamp exists, event-date freshness is only a proxy and must not be represented as a verified pipeline SLA.</w:t>
      </w:r>
    </w:p>
    <w:p>
      <w:pPr>
        <w:pStyle w:val="Heading1"/>
      </w:pPr>
      <w:r>
        <w:t>6. Sign-off</w:t>
      </w:r>
    </w:p>
    <w:p>
      <w:r>
        <w:t>Business owner (Head of Sales): ____________________    Date: __________</w:t>
      </w:r>
    </w:p>
    <w:p>
      <w:r>
        <w:t>Finance reviewer: _________________________________    Date: __________</w:t>
      </w:r>
    </w:p>
    <w:p>
      <w:r>
        <w:t>Data Engineering Lead: ____________________________    Date: 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