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jc w:val="center"/>
      </w:pPr>
      <w:r>
        <w:rPr>
          <w:b/>
          <w:bCs/>
          <w:color w:val="1F3864"/>
          <w:sz w:val="48"/>
          <w:szCs w:val="48"/>
        </w:rPr>
        <w:t xml:space="preserve">ZOHO CRM FOR MANUFACTURING</w:t>
      </w:r>
    </w:p>
    <w:p>
      <w:pPr>
        <w:spacing w:after="60" w:before="160"/>
        <w:jc w:val="center"/>
      </w:pPr>
      <w:r>
        <w:rPr>
          <w:b/>
          <w:bCs/>
          <w:color w:val="2E74B5"/>
          <w:sz w:val="28"/>
          <w:szCs w:val="28"/>
        </w:rPr>
        <w:t xml:space="preserve">Modules, Implementation Approach &amp; a Manufacturing Sales Use Case</w:t>
      </w:r>
    </w:p>
    <w:p>
      <w:pPr>
        <w:pBdr>
          <w:top w:val="single" w:color="2E74B5" w:sz="8" w:space="10"/>
        </w:pBdr>
        <w:spacing w:before="40"/>
        <w:jc w:val="center"/>
      </w:pPr>
    </w:p>
    <w:p>
      <w:pPr>
        <w:spacing w:before="1800"/>
      </w:pPr>
    </w:p>
    <w:p>
      <w:pPr>
        <w:jc w:val="center"/>
      </w:pPr>
      <w:r>
        <w:rPr>
          <w:color w:val="595959"/>
          <w:sz w:val="22"/>
          <w:szCs w:val="22"/>
        </w:rPr>
        <w:t xml:space="preserve">Prepared by: Anurag Patil</w:t>
      </w:r>
    </w:p>
    <w:p>
      <w:pPr>
        <w:spacing w:before="60"/>
        <w:jc w:val="center"/>
      </w:pPr>
      <w:r>
        <w:rPr>
          <w:color w:val="595959"/>
          <w:sz w:val="22"/>
          <w:szCs w:val="22"/>
        </w:rPr>
        <w:t xml:space="preserve">AGSuite Technologies Pvt Ltd — Zoho Trainee Program</w:t>
      </w:r>
    </w:p>
    <w:p>
      <w:pPr>
        <w:spacing w:before="60"/>
        <w:jc w:val="center"/>
      </w:pPr>
      <w:r>
        <w:rPr>
          <w:color w:val="595959"/>
          <w:sz w:val="22"/>
          <w:szCs w:val="22"/>
        </w:rPr>
        <w:t xml:space="preserve">August 2026</w:t>
      </w:r>
    </w:p>
    <w:p>
      <w:pPr>
        <w:sectPr>
          <w:pgSz w:w="12240" w:h="15840" w:orient="portrait"/>
          <w:pgMar w:top="1440" w:right="1350" w:bottom="1440" w:left="1350" w:header="708" w:footer="708" w:gutter="0"/>
          <w:pgNumType/>
          <w:docGrid w:linePitch="360"/>
        </w:sectPr>
      </w:pPr>
    </w:p>
    <w:p>
      <w:pPr>
        <w:pStyle w:val="Heading1"/>
        <w:pBdr>
          <w:bottom w:val="single" w:color="1F3864" w:sz="6" w:space="4"/>
        </w:pBdr>
        <w:spacing w:after="160" w:before="360"/>
      </w:pPr>
      <w:r>
        <w:rPr>
          <w:b/>
          <w:bCs/>
          <w:color w:val="1F3864"/>
          <w:sz w:val="30"/>
          <w:szCs w:val="30"/>
        </w:rPr>
        <w:t xml:space="preserve">1. Introduction</w:t>
      </w:r>
    </w:p>
    <w:p>
      <w:pPr>
        <w:spacing w:after="160" w:line="276"/>
      </w:pPr>
      <w:r>
        <w:rPr>
          <w:color w:val="262626"/>
          <w:sz w:val="22"/>
          <w:szCs w:val="22"/>
        </w:rPr>
        <w:t xml:space="preserve">Zoho CRM is a cloud-based customer relationship management platform used to manage the entire customer lifecycle — from the first point of contact as a lead through to a closed deal and ongoing account relationship. It brings sales, marketing, and customer support activity into a single system so that customer data does not stay scattered across spreadsheets, emails, and individual salespeople's notebooks.</w:t>
      </w:r>
    </w:p>
    <w:p>
      <w:pPr>
        <w:spacing w:after="160" w:line="276"/>
      </w:pPr>
      <w:r>
        <w:rPr>
          <w:color w:val="262626"/>
          <w:sz w:val="22"/>
          <w:szCs w:val="22"/>
        </w:rPr>
        <w:t xml:space="preserve">This document covers four things asked for: (1) how Zoho CRM's modules work and what each is used for, (2) the steps followed to implement Zoho CRM in an organisation, (3) how a manufacturing company's sales process typically runs, and (4) a worked use case that applies Zoho CRM to a manufacturing business.</w:t>
      </w:r>
    </w:p>
    <w:p>
      <w:pPr>
        <w:pStyle w:val="Heading1"/>
        <w:pBdr>
          <w:bottom w:val="single" w:color="1F3864" w:sz="6" w:space="4"/>
        </w:pBdr>
        <w:spacing w:after="160" w:before="360"/>
      </w:pPr>
      <w:r>
        <w:rPr>
          <w:b/>
          <w:bCs/>
          <w:color w:val="1F3864"/>
          <w:sz w:val="30"/>
          <w:szCs w:val="30"/>
        </w:rPr>
        <w:t xml:space="preserve">2. Zoho CRM Modules — Working and Utility</w:t>
      </w:r>
    </w:p>
    <w:p>
      <w:pPr>
        <w:spacing w:after="160" w:line="276"/>
      </w:pPr>
      <w:r>
        <w:rPr>
          <w:color w:val="262626"/>
          <w:sz w:val="22"/>
          <w:szCs w:val="22"/>
        </w:rPr>
        <w:t xml:space="preserve">Data in Zoho CRM is organised into modules — tabs in the sidebar, each holding one type of record. Zoho CRM ships with a set of standard modules, and organisations can also build custom modules for data that doesn't fit the standard ones (e.g. Machines, Warranty Claims, Job Work Orders).</w:t>
      </w:r>
    </w:p>
    <w:p>
      <w:pPr>
        <w:pStyle w:val="Heading2"/>
        <w:spacing w:after="120" w:before="280"/>
      </w:pPr>
      <w:r>
        <w:rPr>
          <w:b/>
          <w:bCs/>
          <w:color w:val="2E74B5"/>
          <w:sz w:val="24"/>
          <w:szCs w:val="24"/>
        </w:rPr>
        <w:t xml:space="preserve">2.1 Core Modules</w:t>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4160"/>
      </w:tblGrid>
      <w:tr>
        <w:trPr>
          <w:tblHeader/>
        </w:trPr>
        <w:tc>
          <w:tcPr>
            <w:tcW w:type="dxa" w:w="2000"/>
            <w:shd w:fill="1F3864" w:val="clear"/>
            <w:tcMar>
              <w:top w:type="dxa" w:w="80"/>
              <w:left w:type="dxa" w:w="100"/>
              <w:bottom w:type="dxa" w:w="80"/>
              <w:right w:type="dxa" w:w="100"/>
            </w:tcMar>
          </w:tcPr>
          <w:p>
            <w:r>
              <w:rPr>
                <w:b/>
                <w:bCs/>
                <w:color w:val="FFFFFF"/>
                <w:sz w:val="20"/>
                <w:szCs w:val="20"/>
              </w:rPr>
              <w:t xml:space="preserve">Module</w:t>
            </w:r>
          </w:p>
        </w:tc>
        <w:tc>
          <w:tcPr>
            <w:tcW w:type="dxa" w:w="3800"/>
            <w:shd w:fill="1F3864" w:val="clear"/>
            <w:tcMar>
              <w:top w:type="dxa" w:w="80"/>
              <w:left w:type="dxa" w:w="100"/>
              <w:bottom w:type="dxa" w:w="80"/>
              <w:right w:type="dxa" w:w="100"/>
            </w:tcMar>
          </w:tcPr>
          <w:p>
            <w:r>
              <w:rPr>
                <w:b/>
                <w:bCs/>
                <w:color w:val="FFFFFF"/>
                <w:sz w:val="20"/>
                <w:szCs w:val="20"/>
              </w:rPr>
              <w:t xml:space="preserve">What it stores</w:t>
            </w:r>
          </w:p>
        </w:tc>
        <w:tc>
          <w:tcPr>
            <w:tcW w:type="dxa" w:w="4160"/>
            <w:shd w:fill="1F3864" w:val="clear"/>
            <w:tcMar>
              <w:top w:type="dxa" w:w="80"/>
              <w:left w:type="dxa" w:w="100"/>
              <w:bottom w:type="dxa" w:w="80"/>
              <w:right w:type="dxa" w:w="100"/>
            </w:tcMar>
          </w:tcPr>
          <w:p>
            <w:r>
              <w:rPr>
                <w:b/>
                <w:bCs/>
                <w:color w:val="FFFFFF"/>
                <w:sz w:val="20"/>
                <w:szCs w:val="20"/>
              </w:rPr>
              <w:t xml:space="preserve">Utility</w:t>
            </w:r>
          </w:p>
        </w:tc>
      </w:tr>
      <w:tr>
        <w:tc>
          <w:tcPr>
            <w:tcW w:type="dxa" w:w="2000"/>
            <w:tcMar>
              <w:top w:type="dxa" w:w="80"/>
              <w:left w:type="dxa" w:w="100"/>
              <w:bottom w:type="dxa" w:w="80"/>
              <w:right w:type="dxa" w:w="100"/>
            </w:tcMar>
          </w:tcPr>
          <w:p>
            <w:r>
              <w:rPr>
                <w:b w:val="false"/>
                <w:bCs w:val="false"/>
                <w:color w:val="262626"/>
                <w:sz w:val="20"/>
                <w:szCs w:val="20"/>
              </w:rPr>
              <w:t xml:space="preserve">Leads</w:t>
            </w:r>
          </w:p>
        </w:tc>
        <w:tc>
          <w:tcPr>
            <w:tcW w:type="dxa" w:w="3800"/>
            <w:tcMar>
              <w:top w:type="dxa" w:w="80"/>
              <w:left w:type="dxa" w:w="100"/>
              <w:bottom w:type="dxa" w:w="80"/>
              <w:right w:type="dxa" w:w="100"/>
            </w:tcMar>
          </w:tcPr>
          <w:p>
            <w:r>
              <w:rPr>
                <w:b w:val="false"/>
                <w:bCs w:val="false"/>
                <w:color w:val="262626"/>
                <w:sz w:val="20"/>
                <w:szCs w:val="20"/>
              </w:rPr>
              <w:t xml:space="preserve">Unqualified prospects — individuals or companies who have shown interest but haven't been vetted yet.</w:t>
            </w:r>
          </w:p>
        </w:tc>
        <w:tc>
          <w:tcPr>
            <w:tcW w:type="dxa" w:w="4160"/>
            <w:tcMar>
              <w:top w:type="dxa" w:w="80"/>
              <w:left w:type="dxa" w:w="100"/>
              <w:bottom w:type="dxa" w:w="80"/>
              <w:right w:type="dxa" w:w="100"/>
            </w:tcMar>
          </w:tcPr>
          <w:p>
            <w:r>
              <w:rPr>
                <w:b w:val="false"/>
                <w:bCs w:val="false"/>
                <w:color w:val="262626"/>
                <w:sz w:val="20"/>
                <w:szCs w:val="20"/>
              </w:rPr>
              <w:t xml:space="preserve">Catch-all for early enquiries from web forms, trade shows, cold calls, and referrals. Qualified leads are converted into Accounts, Contacts, and Deals.</w:t>
            </w:r>
          </w:p>
        </w:tc>
      </w:tr>
      <w:tr>
        <w:tc>
          <w:tcPr>
            <w:tcW w:type="dxa" w:w="2000"/>
            <w:shd w:fill="DCE6F1" w:val="clear"/>
            <w:tcMar>
              <w:top w:type="dxa" w:w="80"/>
              <w:left w:type="dxa" w:w="100"/>
              <w:bottom w:type="dxa" w:w="80"/>
              <w:right w:type="dxa" w:w="100"/>
            </w:tcMar>
          </w:tcPr>
          <w:p>
            <w:r>
              <w:rPr>
                <w:b w:val="false"/>
                <w:bCs w:val="false"/>
                <w:color w:val="262626"/>
                <w:sz w:val="20"/>
                <w:szCs w:val="20"/>
              </w:rPr>
              <w:t xml:space="preserve">Contacts</w:t>
            </w:r>
          </w:p>
        </w:tc>
        <w:tc>
          <w:tcPr>
            <w:tcW w:type="dxa" w:w="3800"/>
            <w:shd w:fill="DCE6F1" w:val="clear"/>
            <w:tcMar>
              <w:top w:type="dxa" w:w="80"/>
              <w:left w:type="dxa" w:w="100"/>
              <w:bottom w:type="dxa" w:w="80"/>
              <w:right w:type="dxa" w:w="100"/>
            </w:tcMar>
          </w:tcPr>
          <w:p>
            <w:r>
              <w:rPr>
                <w:b w:val="false"/>
                <w:bCs w:val="false"/>
                <w:color w:val="262626"/>
                <w:sz w:val="20"/>
                <w:szCs w:val="20"/>
              </w:rPr>
              <w:t xml:space="preserve">The people you deal with — name, designation, email, phone, department.</w:t>
            </w:r>
          </w:p>
        </w:tc>
        <w:tc>
          <w:tcPr>
            <w:tcW w:type="dxa" w:w="4160"/>
            <w:shd w:fill="DCE6F1" w:val="clear"/>
            <w:tcMar>
              <w:top w:type="dxa" w:w="80"/>
              <w:left w:type="dxa" w:w="100"/>
              <w:bottom w:type="dxa" w:w="80"/>
              <w:right w:type="dxa" w:w="100"/>
            </w:tcMar>
          </w:tcPr>
          <w:p>
            <w:r>
              <w:rPr>
                <w:b w:val="false"/>
                <w:bCs w:val="false"/>
                <w:color w:val="262626"/>
                <w:sz w:val="20"/>
                <w:szCs w:val="20"/>
              </w:rPr>
              <w:t xml:space="preserve">Keeps a record of every interaction (calls, emails, meetings) tied to a specific person at the customer's organisation.</w:t>
            </w:r>
          </w:p>
        </w:tc>
      </w:tr>
      <w:tr>
        <w:tc>
          <w:tcPr>
            <w:tcW w:type="dxa" w:w="2000"/>
            <w:tcMar>
              <w:top w:type="dxa" w:w="80"/>
              <w:left w:type="dxa" w:w="100"/>
              <w:bottom w:type="dxa" w:w="80"/>
              <w:right w:type="dxa" w:w="100"/>
            </w:tcMar>
          </w:tcPr>
          <w:p>
            <w:r>
              <w:rPr>
                <w:b w:val="false"/>
                <w:bCs w:val="false"/>
                <w:color w:val="262626"/>
                <w:sz w:val="20"/>
                <w:szCs w:val="20"/>
              </w:rPr>
              <w:t xml:space="preserve">Accounts</w:t>
            </w:r>
          </w:p>
        </w:tc>
        <w:tc>
          <w:tcPr>
            <w:tcW w:type="dxa" w:w="3800"/>
            <w:tcMar>
              <w:top w:type="dxa" w:w="80"/>
              <w:left w:type="dxa" w:w="100"/>
              <w:bottom w:type="dxa" w:w="80"/>
              <w:right w:type="dxa" w:w="100"/>
            </w:tcMar>
          </w:tcPr>
          <w:p>
            <w:r>
              <w:rPr>
                <w:b w:val="false"/>
                <w:bCs w:val="false"/>
                <w:color w:val="262626"/>
                <w:sz w:val="20"/>
                <w:szCs w:val="20"/>
              </w:rPr>
              <w:t xml:space="preserve">The company or plant you're selling to.</w:t>
            </w:r>
          </w:p>
        </w:tc>
        <w:tc>
          <w:tcPr>
            <w:tcW w:type="dxa" w:w="4160"/>
            <w:tcMar>
              <w:top w:type="dxa" w:w="80"/>
              <w:left w:type="dxa" w:w="100"/>
              <w:bottom w:type="dxa" w:w="80"/>
              <w:right w:type="dxa" w:w="100"/>
            </w:tcMar>
          </w:tcPr>
          <w:p>
            <w:r>
              <w:rPr>
                <w:b w:val="false"/>
                <w:bCs w:val="false"/>
                <w:color w:val="262626"/>
                <w:sz w:val="20"/>
                <w:szCs w:val="20"/>
              </w:rPr>
              <w:t xml:space="preserve">Rolls up every contact, deal, activity, and support ticket linked to that customer under one company view.</w:t>
            </w:r>
          </w:p>
        </w:tc>
      </w:tr>
      <w:tr>
        <w:tc>
          <w:tcPr>
            <w:tcW w:type="dxa" w:w="2000"/>
            <w:shd w:fill="DCE6F1" w:val="clear"/>
            <w:tcMar>
              <w:top w:type="dxa" w:w="80"/>
              <w:left w:type="dxa" w:w="100"/>
              <w:bottom w:type="dxa" w:w="80"/>
              <w:right w:type="dxa" w:w="100"/>
            </w:tcMar>
          </w:tcPr>
          <w:p>
            <w:r>
              <w:rPr>
                <w:b w:val="false"/>
                <w:bCs w:val="false"/>
                <w:color w:val="262626"/>
                <w:sz w:val="20"/>
                <w:szCs w:val="20"/>
              </w:rPr>
              <w:t xml:space="preserve">Deals</w:t>
            </w:r>
          </w:p>
        </w:tc>
        <w:tc>
          <w:tcPr>
            <w:tcW w:type="dxa" w:w="3800"/>
            <w:shd w:fill="DCE6F1" w:val="clear"/>
            <w:tcMar>
              <w:top w:type="dxa" w:w="80"/>
              <w:left w:type="dxa" w:w="100"/>
              <w:bottom w:type="dxa" w:w="80"/>
              <w:right w:type="dxa" w:w="100"/>
            </w:tcMar>
          </w:tcPr>
          <w:p>
            <w:r>
              <w:rPr>
                <w:b w:val="false"/>
                <w:bCs w:val="false"/>
                <w:color w:val="262626"/>
                <w:sz w:val="20"/>
                <w:szCs w:val="20"/>
              </w:rPr>
              <w:t xml:space="preserve">A specific sales opportunity, with value, stage, and probability.</w:t>
            </w:r>
          </w:p>
        </w:tc>
        <w:tc>
          <w:tcPr>
            <w:tcW w:type="dxa" w:w="4160"/>
            <w:shd w:fill="DCE6F1" w:val="clear"/>
            <w:tcMar>
              <w:top w:type="dxa" w:w="80"/>
              <w:left w:type="dxa" w:w="100"/>
              <w:bottom w:type="dxa" w:w="80"/>
              <w:right w:type="dxa" w:w="100"/>
            </w:tcMar>
          </w:tcPr>
          <w:p>
            <w:r>
              <w:rPr>
                <w:b w:val="false"/>
                <w:bCs w:val="false"/>
                <w:color w:val="262626"/>
                <w:sz w:val="20"/>
                <w:szCs w:val="20"/>
              </w:rPr>
              <w:t xml:space="preserve">Drives the sales pipeline — shows every open opportunity, its stage, and expected close date.</w:t>
            </w:r>
          </w:p>
        </w:tc>
      </w:tr>
      <w:tr>
        <w:tc>
          <w:tcPr>
            <w:tcW w:type="dxa" w:w="2000"/>
            <w:tcMar>
              <w:top w:type="dxa" w:w="80"/>
              <w:left w:type="dxa" w:w="100"/>
              <w:bottom w:type="dxa" w:w="80"/>
              <w:right w:type="dxa" w:w="100"/>
            </w:tcMar>
          </w:tcPr>
          <w:p>
            <w:r>
              <w:rPr>
                <w:b w:val="false"/>
                <w:bCs w:val="false"/>
                <w:color w:val="262626"/>
                <w:sz w:val="20"/>
                <w:szCs w:val="20"/>
              </w:rPr>
              <w:t xml:space="preserve">Activities (Tasks, Calls, Events, Meetings)</w:t>
            </w:r>
          </w:p>
        </w:tc>
        <w:tc>
          <w:tcPr>
            <w:tcW w:type="dxa" w:w="3800"/>
            <w:tcMar>
              <w:top w:type="dxa" w:w="80"/>
              <w:left w:type="dxa" w:w="100"/>
              <w:bottom w:type="dxa" w:w="80"/>
              <w:right w:type="dxa" w:w="100"/>
            </w:tcMar>
          </w:tcPr>
          <w:p>
            <w:r>
              <w:rPr>
                <w:b w:val="false"/>
                <w:bCs w:val="false"/>
                <w:color w:val="262626"/>
                <w:sz w:val="20"/>
                <w:szCs w:val="20"/>
              </w:rPr>
              <w:t xml:space="preserve">Follow-ups, calls made, site visits, meetings scheduled.</w:t>
            </w:r>
          </w:p>
        </w:tc>
        <w:tc>
          <w:tcPr>
            <w:tcW w:type="dxa" w:w="4160"/>
            <w:tcMar>
              <w:top w:type="dxa" w:w="80"/>
              <w:left w:type="dxa" w:w="100"/>
              <w:bottom w:type="dxa" w:w="80"/>
              <w:right w:type="dxa" w:w="100"/>
            </w:tcMar>
          </w:tcPr>
          <w:p>
            <w:r>
              <w:rPr>
                <w:b w:val="false"/>
                <w:bCs w:val="false"/>
                <w:color w:val="262626"/>
                <w:sz w:val="20"/>
                <w:szCs w:val="20"/>
              </w:rPr>
              <w:t xml:space="preserve">Keeps sales reps on schedule and gives managers visibility into how actively an account is being worked.</w:t>
            </w:r>
          </w:p>
        </w:tc>
      </w:tr>
      <w:tr>
        <w:tc>
          <w:tcPr>
            <w:tcW w:type="dxa" w:w="2000"/>
            <w:shd w:fill="DCE6F1" w:val="clear"/>
            <w:tcMar>
              <w:top w:type="dxa" w:w="80"/>
              <w:left w:type="dxa" w:w="100"/>
              <w:bottom w:type="dxa" w:w="80"/>
              <w:right w:type="dxa" w:w="100"/>
            </w:tcMar>
          </w:tcPr>
          <w:p>
            <w:r>
              <w:rPr>
                <w:b w:val="false"/>
                <w:bCs w:val="false"/>
                <w:color w:val="262626"/>
                <w:sz w:val="20"/>
                <w:szCs w:val="20"/>
              </w:rPr>
              <w:t xml:space="preserve">Products</w:t>
            </w:r>
          </w:p>
        </w:tc>
        <w:tc>
          <w:tcPr>
            <w:tcW w:type="dxa" w:w="3800"/>
            <w:shd w:fill="DCE6F1" w:val="clear"/>
            <w:tcMar>
              <w:top w:type="dxa" w:w="80"/>
              <w:left w:type="dxa" w:w="100"/>
              <w:bottom w:type="dxa" w:w="80"/>
              <w:right w:type="dxa" w:w="100"/>
            </w:tcMar>
          </w:tcPr>
          <w:p>
            <w:r>
              <w:rPr>
                <w:b w:val="false"/>
                <w:bCs w:val="false"/>
                <w:color w:val="262626"/>
                <w:sz w:val="20"/>
                <w:szCs w:val="20"/>
              </w:rPr>
              <w:t xml:space="preserve">Catalogue of items or services sold, with pricing and specs.</w:t>
            </w:r>
          </w:p>
        </w:tc>
        <w:tc>
          <w:tcPr>
            <w:tcW w:type="dxa" w:w="4160"/>
            <w:shd w:fill="DCE6F1" w:val="clear"/>
            <w:tcMar>
              <w:top w:type="dxa" w:w="80"/>
              <w:left w:type="dxa" w:w="100"/>
              <w:bottom w:type="dxa" w:w="80"/>
              <w:right w:type="dxa" w:w="100"/>
            </w:tcMar>
          </w:tcPr>
          <w:p>
            <w:r>
              <w:rPr>
                <w:b w:val="false"/>
                <w:bCs w:val="false"/>
                <w:color w:val="262626"/>
                <w:sz w:val="20"/>
                <w:szCs w:val="20"/>
              </w:rPr>
              <w:t xml:space="preserve">Lets reps attach the exact product/SKU to a deal or quote instead of typing it freehand.</w:t>
            </w:r>
          </w:p>
        </w:tc>
      </w:tr>
      <w:tr>
        <w:tc>
          <w:tcPr>
            <w:tcW w:type="dxa" w:w="2000"/>
            <w:tcMar>
              <w:top w:type="dxa" w:w="80"/>
              <w:left w:type="dxa" w:w="100"/>
              <w:bottom w:type="dxa" w:w="80"/>
              <w:right w:type="dxa" w:w="100"/>
            </w:tcMar>
          </w:tcPr>
          <w:p>
            <w:r>
              <w:rPr>
                <w:b w:val="false"/>
                <w:bCs w:val="false"/>
                <w:color w:val="262626"/>
                <w:sz w:val="20"/>
                <w:szCs w:val="20"/>
              </w:rPr>
              <w:t xml:space="preserve">Quotes / Sales Orders / Invoices</w:t>
            </w:r>
          </w:p>
        </w:tc>
        <w:tc>
          <w:tcPr>
            <w:tcW w:type="dxa" w:w="3800"/>
            <w:tcMar>
              <w:top w:type="dxa" w:w="80"/>
              <w:left w:type="dxa" w:w="100"/>
              <w:bottom w:type="dxa" w:w="80"/>
              <w:right w:type="dxa" w:w="100"/>
            </w:tcMar>
          </w:tcPr>
          <w:p>
            <w:r>
              <w:rPr>
                <w:b w:val="false"/>
                <w:bCs w:val="false"/>
                <w:color w:val="262626"/>
                <w:sz w:val="20"/>
                <w:szCs w:val="20"/>
              </w:rPr>
              <w:t xml:space="preserve">Formal pricing documents issued to a customer, the order once confirmed, and the resulting bill.</w:t>
            </w:r>
          </w:p>
        </w:tc>
        <w:tc>
          <w:tcPr>
            <w:tcW w:type="dxa" w:w="4160"/>
            <w:tcMar>
              <w:top w:type="dxa" w:w="80"/>
              <w:left w:type="dxa" w:w="100"/>
              <w:bottom w:type="dxa" w:w="80"/>
              <w:right w:type="dxa" w:w="100"/>
            </w:tcMar>
          </w:tcPr>
          <w:p>
            <w:r>
              <w:rPr>
                <w:b w:val="false"/>
                <w:bCs w:val="false"/>
                <w:color w:val="262626"/>
                <w:sz w:val="20"/>
                <w:szCs w:val="20"/>
              </w:rPr>
              <w:t xml:space="preserve">Moves a deal from a verbal understanding to a documented commercial commitment, with version history.</w:t>
            </w:r>
          </w:p>
        </w:tc>
      </w:tr>
      <w:tr>
        <w:tc>
          <w:tcPr>
            <w:tcW w:type="dxa" w:w="2000"/>
            <w:shd w:fill="DCE6F1" w:val="clear"/>
            <w:tcMar>
              <w:top w:type="dxa" w:w="80"/>
              <w:left w:type="dxa" w:w="100"/>
              <w:bottom w:type="dxa" w:w="80"/>
              <w:right w:type="dxa" w:w="100"/>
            </w:tcMar>
          </w:tcPr>
          <w:p>
            <w:r>
              <w:rPr>
                <w:b w:val="false"/>
                <w:bCs w:val="false"/>
                <w:color w:val="262626"/>
                <w:sz w:val="20"/>
                <w:szCs w:val="20"/>
              </w:rPr>
              <w:t xml:space="preserve">Campaigns</w:t>
            </w:r>
          </w:p>
        </w:tc>
        <w:tc>
          <w:tcPr>
            <w:tcW w:type="dxa" w:w="3800"/>
            <w:shd w:fill="DCE6F1" w:val="clear"/>
            <w:tcMar>
              <w:top w:type="dxa" w:w="80"/>
              <w:left w:type="dxa" w:w="100"/>
              <w:bottom w:type="dxa" w:w="80"/>
              <w:right w:type="dxa" w:w="100"/>
            </w:tcMar>
          </w:tcPr>
          <w:p>
            <w:r>
              <w:rPr>
                <w:b w:val="false"/>
                <w:bCs w:val="false"/>
                <w:color w:val="262626"/>
                <w:sz w:val="20"/>
                <w:szCs w:val="20"/>
              </w:rPr>
              <w:t xml:space="preserve">Marketing campaigns (email blasts, trade shows, webinars) and the leads they generated.</w:t>
            </w:r>
          </w:p>
        </w:tc>
        <w:tc>
          <w:tcPr>
            <w:tcW w:type="dxa" w:w="4160"/>
            <w:shd w:fill="DCE6F1" w:val="clear"/>
            <w:tcMar>
              <w:top w:type="dxa" w:w="80"/>
              <w:left w:type="dxa" w:w="100"/>
              <w:bottom w:type="dxa" w:w="80"/>
              <w:right w:type="dxa" w:w="100"/>
            </w:tcMar>
          </w:tcPr>
          <w:p>
            <w:r>
              <w:rPr>
                <w:b w:val="false"/>
                <w:bCs w:val="false"/>
                <w:color w:val="262626"/>
                <w:sz w:val="20"/>
                <w:szCs w:val="20"/>
              </w:rPr>
              <w:t xml:space="preserve">Ties marketing spend to actual pipeline and revenue, so ROI per campaign is measurable.</w:t>
            </w:r>
          </w:p>
        </w:tc>
      </w:tr>
      <w:tr>
        <w:tc>
          <w:tcPr>
            <w:tcW w:type="dxa" w:w="2000"/>
            <w:tcMar>
              <w:top w:type="dxa" w:w="80"/>
              <w:left w:type="dxa" w:w="100"/>
              <w:bottom w:type="dxa" w:w="80"/>
              <w:right w:type="dxa" w:w="100"/>
            </w:tcMar>
          </w:tcPr>
          <w:p>
            <w:r>
              <w:rPr>
                <w:b w:val="false"/>
                <w:bCs w:val="false"/>
                <w:color w:val="262626"/>
                <w:sz w:val="20"/>
                <w:szCs w:val="20"/>
              </w:rPr>
              <w:t xml:space="preserve">Forecasts</w:t>
            </w:r>
          </w:p>
        </w:tc>
        <w:tc>
          <w:tcPr>
            <w:tcW w:type="dxa" w:w="3800"/>
            <w:tcMar>
              <w:top w:type="dxa" w:w="80"/>
              <w:left w:type="dxa" w:w="100"/>
              <w:bottom w:type="dxa" w:w="80"/>
              <w:right w:type="dxa" w:w="100"/>
            </w:tcMar>
          </w:tcPr>
          <w:p>
            <w:r>
              <w:rPr>
                <w:b w:val="false"/>
                <w:bCs w:val="false"/>
                <w:color w:val="262626"/>
                <w:sz w:val="20"/>
                <w:szCs w:val="20"/>
              </w:rPr>
              <w:t xml:space="preserve">Rep- and team-level revenue projection by period.</w:t>
            </w:r>
          </w:p>
        </w:tc>
        <w:tc>
          <w:tcPr>
            <w:tcW w:type="dxa" w:w="4160"/>
            <w:tcMar>
              <w:top w:type="dxa" w:w="80"/>
              <w:left w:type="dxa" w:w="100"/>
              <w:bottom w:type="dxa" w:w="80"/>
              <w:right w:type="dxa" w:w="100"/>
            </w:tcMar>
          </w:tcPr>
          <w:p>
            <w:r>
              <w:rPr>
                <w:b w:val="false"/>
                <w:bCs w:val="false"/>
                <w:color w:val="262626"/>
                <w:sz w:val="20"/>
                <w:szCs w:val="20"/>
              </w:rPr>
              <w:t xml:space="preserve">Gives management a rolling view of expected revenue versus target.</w:t>
            </w:r>
          </w:p>
        </w:tc>
      </w:tr>
      <w:tr>
        <w:tc>
          <w:tcPr>
            <w:tcW w:type="dxa" w:w="2000"/>
            <w:shd w:fill="DCE6F1" w:val="clear"/>
            <w:tcMar>
              <w:top w:type="dxa" w:w="80"/>
              <w:left w:type="dxa" w:w="100"/>
              <w:bottom w:type="dxa" w:w="80"/>
              <w:right w:type="dxa" w:w="100"/>
            </w:tcMar>
          </w:tcPr>
          <w:p>
            <w:r>
              <w:rPr>
                <w:b w:val="false"/>
                <w:bCs w:val="false"/>
                <w:color w:val="262626"/>
                <w:sz w:val="20"/>
                <w:szCs w:val="20"/>
              </w:rPr>
              <w:t xml:space="preserve">Analytics / Reports &amp; Dashboards</w:t>
            </w:r>
          </w:p>
        </w:tc>
        <w:tc>
          <w:tcPr>
            <w:tcW w:type="dxa" w:w="3800"/>
            <w:shd w:fill="DCE6F1" w:val="clear"/>
            <w:tcMar>
              <w:top w:type="dxa" w:w="80"/>
              <w:left w:type="dxa" w:w="100"/>
              <w:bottom w:type="dxa" w:w="80"/>
              <w:right w:type="dxa" w:w="100"/>
            </w:tcMar>
          </w:tcPr>
          <w:p>
            <w:r>
              <w:rPr>
                <w:b w:val="false"/>
                <w:bCs w:val="false"/>
                <w:color w:val="262626"/>
                <w:sz w:val="20"/>
                <w:szCs w:val="20"/>
              </w:rPr>
              <w:t xml:space="preserve">Pre-built and custom reports on any module.</w:t>
            </w:r>
          </w:p>
        </w:tc>
        <w:tc>
          <w:tcPr>
            <w:tcW w:type="dxa" w:w="4160"/>
            <w:shd w:fill="DCE6F1" w:val="clear"/>
            <w:tcMar>
              <w:top w:type="dxa" w:w="80"/>
              <w:left w:type="dxa" w:w="100"/>
              <w:bottom w:type="dxa" w:w="80"/>
              <w:right w:type="dxa" w:w="100"/>
            </w:tcMar>
          </w:tcPr>
          <w:p>
            <w:r>
              <w:rPr>
                <w:b w:val="false"/>
                <w:bCs w:val="false"/>
                <w:color w:val="262626"/>
                <w:sz w:val="20"/>
                <w:szCs w:val="20"/>
              </w:rPr>
              <w:t xml:space="preserve">Turns raw CRM data into KPI trackers — conversion rates, pipeline value, rep performance, territory comparisons.</w:t>
            </w:r>
          </w:p>
        </w:tc>
      </w:tr>
    </w:tbl>
    <w:p>
      <w:pPr>
        <w:spacing w:after="200"/>
      </w:pPr>
    </w:p>
    <w:p>
      <w:pPr>
        <w:pStyle w:val="Heading2"/>
        <w:spacing w:after="120" w:before="280"/>
      </w:pPr>
      <w:r>
        <w:rPr>
          <w:b/>
          <w:bCs/>
          <w:color w:val="2E74B5"/>
          <w:sz w:val="24"/>
          <w:szCs w:val="24"/>
        </w:rPr>
        <w:t xml:space="preserve">2.2 Supporting Capabilities Worth Knowing</w:t>
      </w:r>
    </w:p>
    <w:p>
      <w:pPr>
        <w:pStyle w:val="ListParagraph"/>
        <w:numPr>
          <w:ilvl w:val="0"/>
          <w:numId w:val="2"/>
        </w:numPr>
        <w:spacing w:after="80" w:line="264"/>
      </w:pPr>
      <w:r>
        <w:rPr>
          <w:color w:val="262626"/>
          <w:sz w:val="22"/>
          <w:szCs w:val="22"/>
        </w:rPr>
        <w:t xml:space="preserve">Blueprint — enforces a defined, stage-by-stage process on a Deal (or any module) so reps cannot skip mandatory steps, such as getting technical approval before quoting.</w:t>
      </w:r>
    </w:p>
    <w:p>
      <w:pPr>
        <w:pStyle w:val="ListParagraph"/>
        <w:numPr>
          <w:ilvl w:val="0"/>
          <w:numId w:val="2"/>
        </w:numPr>
        <w:spacing w:after="80" w:line="264"/>
      </w:pPr>
      <w:r>
        <w:rPr>
          <w:color w:val="262626"/>
          <w:sz w:val="22"/>
          <w:szCs w:val="22"/>
        </w:rPr>
        <w:t xml:space="preserve">Workflow Rules &amp; Macros — single-step and bundled automations, e.g. auto-assigning a new lead to the right regional rep and sending an acknowledgement email.</w:t>
      </w:r>
    </w:p>
    <w:p>
      <w:pPr>
        <w:pStyle w:val="ListParagraph"/>
        <w:numPr>
          <w:ilvl w:val="0"/>
          <w:numId w:val="2"/>
        </w:numPr>
        <w:spacing w:after="80" w:line="264"/>
      </w:pPr>
      <w:r>
        <w:rPr>
          <w:color w:val="262626"/>
          <w:sz w:val="22"/>
          <w:szCs w:val="22"/>
        </w:rPr>
        <w:t xml:space="preserve">Zia (AI) — lead/deal scoring, win-probability prediction, and anomaly detection once enough historical data exists.</w:t>
      </w:r>
    </w:p>
    <w:p>
      <w:pPr>
        <w:pStyle w:val="ListParagraph"/>
        <w:numPr>
          <w:ilvl w:val="0"/>
          <w:numId w:val="2"/>
        </w:numPr>
        <w:spacing w:after="80" w:line="264"/>
      </w:pPr>
      <w:r>
        <w:rPr>
          <w:color w:val="262626"/>
          <w:sz w:val="22"/>
          <w:szCs w:val="22"/>
        </w:rPr>
        <w:t xml:space="preserve">Custom Modules — purpose-built record types (e.g. Machine Installations, AMC Renewals) for data that doesn't belong in a standard module.</w:t>
      </w:r>
    </w:p>
    <w:p>
      <w:pPr>
        <w:pStyle w:val="ListParagraph"/>
        <w:numPr>
          <w:ilvl w:val="0"/>
          <w:numId w:val="2"/>
        </w:numPr>
        <w:spacing w:after="80" w:line="264"/>
      </w:pPr>
      <w:r>
        <w:rPr>
          <w:color w:val="262626"/>
          <w:sz w:val="22"/>
          <w:szCs w:val="22"/>
        </w:rPr>
        <w:t xml:space="preserve">Canvas — no-code redesign of how a module's screen looks, useful for improving adoption among non-technical shop-floor or field staff.</w:t>
      </w:r>
    </w:p>
    <w:p>
      <w:pPr>
        <w:pStyle w:val="Heading1"/>
        <w:pBdr>
          <w:bottom w:val="single" w:color="1F3864" w:sz="6" w:space="4"/>
        </w:pBdr>
        <w:spacing w:after="160" w:before="360"/>
      </w:pPr>
      <w:r>
        <w:rPr>
          <w:b/>
          <w:bCs/>
          <w:color w:val="1F3864"/>
          <w:sz w:val="30"/>
          <w:szCs w:val="30"/>
        </w:rPr>
        <w:t xml:space="preserve">3. Zoho CRM Implementation Steps</w:t>
      </w:r>
    </w:p>
    <w:p>
      <w:pPr>
        <w:spacing w:after="160" w:line="276"/>
      </w:pPr>
      <w:r>
        <w:rPr>
          <w:color w:val="262626"/>
          <w:sz w:val="22"/>
          <w:szCs w:val="22"/>
        </w:rPr>
        <w:t xml:space="preserve">A Zoho CRM rollout is typically run as a structured project rather than a simple software install. The sequence below is the commonly followed path from initial planning to a live, adopted system.</w:t>
      </w:r>
    </w:p>
    <w:p>
      <w:pPr>
        <w:pStyle w:val="Heading3"/>
        <w:spacing w:after="100" w:before="200"/>
      </w:pPr>
      <w:r>
        <w:rPr>
          <w:b/>
          <w:bCs/>
          <w:color w:val="1F3864"/>
          <w:sz w:val="22"/>
          <w:szCs w:val="22"/>
        </w:rPr>
        <w:t xml:space="preserve">Step 1 — Discovery and Planning</w:t>
      </w:r>
    </w:p>
    <w:p>
      <w:pPr>
        <w:spacing w:after="160" w:line="276"/>
      </w:pPr>
      <w:r>
        <w:rPr>
          <w:color w:val="262626"/>
          <w:sz w:val="22"/>
          <w:szCs w:val="22"/>
        </w:rPr>
        <w:t xml:space="preserve">Define why the organisation is adopting Zoho CRM — the pain points it should fix (e.g. leads falling through the cracks, no visibility into the pipeline) — and set measurable goals, timeframe, and budget.</w:t>
      </w:r>
    </w:p>
    <w:p>
      <w:pPr>
        <w:pStyle w:val="Heading3"/>
        <w:spacing w:after="100" w:before="200"/>
      </w:pPr>
      <w:r>
        <w:rPr>
          <w:b/>
          <w:bCs/>
          <w:color w:val="1F3864"/>
          <w:sz w:val="22"/>
          <w:szCs w:val="22"/>
        </w:rPr>
        <w:t xml:space="preserve">Step 2 — Requirements and Scope</w:t>
      </w:r>
    </w:p>
    <w:p>
      <w:pPr>
        <w:spacing w:after="160" w:line="276"/>
      </w:pPr>
      <w:r>
        <w:rPr>
          <w:color w:val="262626"/>
          <w:sz w:val="22"/>
          <w:szCs w:val="22"/>
        </w:rPr>
        <w:t xml:space="preserve">Map the current sales, marketing, and support process end-to-end — not the ideal process, but how work actually happens today, including workarounds. Decide user count, the Zoho CRM edition needed, and which third-party systems (ERP, accounting, WhatsApp, email) must integrate.</w:t>
      </w:r>
    </w:p>
    <w:p>
      <w:pPr>
        <w:pStyle w:val="Heading3"/>
        <w:spacing w:after="100" w:before="200"/>
      </w:pPr>
      <w:r>
        <w:rPr>
          <w:b/>
          <w:bCs/>
          <w:color w:val="1F3864"/>
          <w:sz w:val="22"/>
          <w:szCs w:val="22"/>
        </w:rPr>
        <w:t xml:space="preserve">Step 3 — Module and Pipeline Configuration</w:t>
      </w:r>
    </w:p>
    <w:p>
      <w:pPr>
        <w:spacing w:after="160" w:line="276"/>
      </w:pPr>
      <w:r>
        <w:rPr>
          <w:color w:val="262626"/>
          <w:sz w:val="22"/>
          <w:szCs w:val="22"/>
        </w:rPr>
        <w:t xml:space="preserve">Set up the core modules (Leads, Contacts, Accounts, Deals, Activities) to match the business's own terms, add custom fields for business-specific data (e.g. product type, drawing number, plant code), and build the Deal pipeline stages and Blueprint that mirror the real sales process.</w:t>
      </w:r>
    </w:p>
    <w:p>
      <w:pPr>
        <w:pStyle w:val="Heading3"/>
        <w:spacing w:after="100" w:before="200"/>
      </w:pPr>
      <w:r>
        <w:rPr>
          <w:b/>
          <w:bCs/>
          <w:color w:val="1F3864"/>
          <w:sz w:val="22"/>
          <w:szCs w:val="22"/>
        </w:rPr>
        <w:t xml:space="preserve">Step 4 — Data Migration</w:t>
      </w:r>
    </w:p>
    <w:p>
      <w:pPr>
        <w:spacing w:after="160" w:line="276"/>
      </w:pPr>
      <w:r>
        <w:rPr>
          <w:color w:val="262626"/>
          <w:sz w:val="22"/>
          <w:szCs w:val="22"/>
        </w:rPr>
        <w:t xml:space="preserve">Clean and de-duplicate existing customer data before import, map old fields to new ones, and test the import with a small sample before migrating the full dataset.</w:t>
      </w:r>
    </w:p>
    <w:p>
      <w:pPr>
        <w:pStyle w:val="Heading3"/>
        <w:spacing w:after="100" w:before="200"/>
      </w:pPr>
      <w:r>
        <w:rPr>
          <w:b/>
          <w:bCs/>
          <w:color w:val="1F3864"/>
          <w:sz w:val="22"/>
          <w:szCs w:val="22"/>
        </w:rPr>
        <w:t xml:space="preserve">Step 5 — Automation and Integration</w:t>
      </w:r>
    </w:p>
    <w:p>
      <w:pPr>
        <w:spacing w:after="160" w:line="276"/>
      </w:pPr>
      <w:r>
        <w:rPr>
          <w:color w:val="262626"/>
          <w:sz w:val="22"/>
          <w:szCs w:val="22"/>
        </w:rPr>
        <w:t xml:space="preserve">Turn on workflow rules for lead assignment, follow-up reminders, and approval notifications; connect Zoho CRM with the company's ERP/inventory system, email, and telephony. Automation is usually introduced gradually rather than all on day one.</w:t>
      </w:r>
    </w:p>
    <w:p>
      <w:pPr>
        <w:pStyle w:val="Heading3"/>
        <w:spacing w:after="100" w:before="200"/>
      </w:pPr>
      <w:r>
        <w:rPr>
          <w:b/>
          <w:bCs/>
          <w:color w:val="1F3864"/>
          <w:sz w:val="22"/>
          <w:szCs w:val="22"/>
        </w:rPr>
        <w:t xml:space="preserve">Step 6 — Reports, Dashboards, and Role-Based Access</w:t>
      </w:r>
    </w:p>
    <w:p>
      <w:pPr>
        <w:spacing w:after="160" w:line="276"/>
      </w:pPr>
      <w:r>
        <w:rPr>
          <w:color w:val="262626"/>
          <w:sz w:val="22"/>
          <w:szCs w:val="22"/>
        </w:rPr>
        <w:t xml:space="preserve">Build dashboards for each role — reps need their own pipeline and next actions, managers need territory and forecast views — and configure user roles/permissions so data access matches the org hierarchy.</w:t>
      </w:r>
    </w:p>
    <w:p>
      <w:pPr>
        <w:pStyle w:val="Heading3"/>
        <w:spacing w:after="100" w:before="200"/>
      </w:pPr>
      <w:r>
        <w:rPr>
          <w:b/>
          <w:bCs/>
          <w:color w:val="1F3864"/>
          <w:sz w:val="22"/>
          <w:szCs w:val="22"/>
        </w:rPr>
        <w:t xml:space="preserve">Step 7 — Testing (UAT)</w:t>
      </w:r>
    </w:p>
    <w:p>
      <w:pPr>
        <w:spacing w:after="160" w:line="276"/>
      </w:pPr>
      <w:r>
        <w:rPr>
          <w:color w:val="262626"/>
          <w:sz w:val="22"/>
          <w:szCs w:val="22"/>
        </w:rPr>
        <w:t xml:space="preserve">Run the configured system past real end-users before go-live: move a sample deal through every pipeline stage, confirm integrations sync correctly, and fix issues before the full team is switched over.</w:t>
      </w:r>
    </w:p>
    <w:p>
      <w:pPr>
        <w:pStyle w:val="Heading3"/>
        <w:spacing w:after="100" w:before="200"/>
      </w:pPr>
      <w:r>
        <w:rPr>
          <w:b/>
          <w:bCs/>
          <w:color w:val="1F3864"/>
          <w:sz w:val="22"/>
          <w:szCs w:val="22"/>
        </w:rPr>
        <w:t xml:space="preserve">Step 8 — Training and Rollout</w:t>
      </w:r>
    </w:p>
    <w:p>
      <w:pPr>
        <w:spacing w:after="160" w:line="276"/>
      </w:pPr>
      <w:r>
        <w:rPr>
          <w:color w:val="262626"/>
          <w:sz w:val="22"/>
          <w:szCs w:val="22"/>
        </w:rPr>
        <w:t xml:space="preserve">Train users hands-on rather than through slides alone, keep training role-specific (a rep's needs differ from a manager's), and consider a phased rollout — a pilot team first, then a company-wide launch.</w:t>
      </w:r>
    </w:p>
    <w:p>
      <w:pPr>
        <w:pStyle w:val="Heading3"/>
        <w:spacing w:after="100" w:before="200"/>
      </w:pPr>
      <w:r>
        <w:rPr>
          <w:b/>
          <w:bCs/>
          <w:color w:val="1F3864"/>
          <w:sz w:val="22"/>
          <w:szCs w:val="22"/>
        </w:rPr>
        <w:t xml:space="preserve">Step 9 — Go-Live and Continuous Improvement</w:t>
      </w:r>
    </w:p>
    <w:p>
      <w:pPr>
        <w:spacing w:after="160" w:line="276"/>
      </w:pPr>
      <w:r>
        <w:rPr>
          <w:color w:val="262626"/>
          <w:sz w:val="22"/>
          <w:szCs w:val="22"/>
        </w:rPr>
        <w:t xml:space="preserve">Go-live is the start, not the end. Monitor adoption and data quality in the first 30–90 days, gather user feedback, and refine fields, workflows, and reports as the business evolves.</w:t>
      </w:r>
    </w:p>
    <w:p>
      <w:pPr>
        <w:pStyle w:val="Heading1"/>
        <w:pBdr>
          <w:bottom w:val="single" w:color="1F3864" w:sz="6" w:space="4"/>
        </w:pBdr>
        <w:spacing w:after="160" w:before="360"/>
      </w:pPr>
      <w:r>
        <w:rPr>
          <w:b/>
          <w:bCs/>
          <w:color w:val="1F3864"/>
          <w:sz w:val="30"/>
          <w:szCs w:val="30"/>
        </w:rPr>
        <w:t xml:space="preserve">4. Manufacturing Industry Sales Process</w:t>
      </w:r>
    </w:p>
    <w:p>
      <w:pPr>
        <w:spacing w:after="160" w:line="276"/>
      </w:pPr>
      <w:r>
        <w:rPr>
          <w:color w:val="262626"/>
          <w:sz w:val="22"/>
          <w:szCs w:val="22"/>
        </w:rPr>
        <w:t xml:space="preserve">Manufacturing sales are B2B, technical, and typically involve a long cycle with multiple stakeholders (purchasing, engineering, quality, finance, plant operations) on the buyer's side. A generic manufacturing sales process runs through the following stages:</w:t>
      </w:r>
    </w:p>
    <w:p>
      <w:pPr>
        <w:pStyle w:val="ListParagraph"/>
        <w:numPr>
          <w:ilvl w:val="0"/>
          <w:numId w:val="3"/>
        </w:numPr>
        <w:spacing w:after="100" w:line="264"/>
      </w:pPr>
      <w:r>
        <w:rPr>
          <w:color w:val="262626"/>
          <w:sz w:val="22"/>
          <w:szCs w:val="22"/>
        </w:rPr>
        <w:t xml:space="preserve">Lead Generation / Enquiry — an enquiry arrives through a trade show, RFQ portal, referral, distributor, or direct outreach.</w:t>
      </w:r>
    </w:p>
    <w:p>
      <w:pPr>
        <w:pStyle w:val="ListParagraph"/>
        <w:numPr>
          <w:ilvl w:val="0"/>
          <w:numId w:val="3"/>
        </w:numPr>
        <w:spacing w:after="100" w:line="264"/>
      </w:pPr>
      <w:r>
        <w:rPr>
          <w:color w:val="262626"/>
          <w:sz w:val="22"/>
          <w:szCs w:val="22"/>
        </w:rPr>
        <w:t xml:space="preserve">Lead Qualification — the enquiry is checked against the company's capability: can this be manufactured at this volume, tolerance, and price point?</w:t>
      </w:r>
    </w:p>
    <w:p>
      <w:pPr>
        <w:pStyle w:val="ListParagraph"/>
        <w:numPr>
          <w:ilvl w:val="0"/>
          <w:numId w:val="3"/>
        </w:numPr>
        <w:spacing w:after="100" w:line="264"/>
      </w:pPr>
      <w:r>
        <w:rPr>
          <w:color w:val="262626"/>
          <w:sz w:val="22"/>
          <w:szCs w:val="22"/>
        </w:rPr>
        <w:t xml:space="preserve">Technical Discovery — engineering and sales jointly review drawings/specifications, tooling needs, and production feasibility with the customer.</w:t>
      </w:r>
    </w:p>
    <w:p>
      <w:pPr>
        <w:pStyle w:val="ListParagraph"/>
        <w:numPr>
          <w:ilvl w:val="0"/>
          <w:numId w:val="3"/>
        </w:numPr>
        <w:spacing w:after="100" w:line="264"/>
      </w:pPr>
      <w:r>
        <w:rPr>
          <w:color w:val="262626"/>
          <w:sz w:val="22"/>
          <w:szCs w:val="22"/>
        </w:rPr>
        <w:t xml:space="preserve">Quotation / RFQ Response — a formal quote is prepared covering unit price, tooling cost, lead time, and payment terms; large accounts often require multiple pricing rounds.</w:t>
      </w:r>
    </w:p>
    <w:p>
      <w:pPr>
        <w:pStyle w:val="ListParagraph"/>
        <w:numPr>
          <w:ilvl w:val="0"/>
          <w:numId w:val="3"/>
        </w:numPr>
        <w:spacing w:after="100" w:line="264"/>
      </w:pPr>
      <w:r>
        <w:rPr>
          <w:color w:val="262626"/>
          <w:sz w:val="22"/>
          <w:szCs w:val="22"/>
        </w:rPr>
        <w:t xml:space="preserve">Sample / Prototype Approval — a sample batch or First Article/PPAP is produced and sent for the customer's quality sign-off before any production order is placed.</w:t>
      </w:r>
    </w:p>
    <w:p>
      <w:pPr>
        <w:pStyle w:val="ListParagraph"/>
        <w:numPr>
          <w:ilvl w:val="0"/>
          <w:numId w:val="3"/>
        </w:numPr>
        <w:spacing w:after="100" w:line="264"/>
      </w:pPr>
      <w:r>
        <w:rPr>
          <w:color w:val="262626"/>
          <w:sz w:val="22"/>
          <w:szCs w:val="22"/>
        </w:rPr>
        <w:t xml:space="preserve">Negotiation — commercial terms, delivery schedule, and quality agreements (SLA, warranty, penalty clauses) are finalised.</w:t>
      </w:r>
    </w:p>
    <w:p>
      <w:pPr>
        <w:pStyle w:val="ListParagraph"/>
        <w:numPr>
          <w:ilvl w:val="0"/>
          <w:numId w:val="3"/>
        </w:numPr>
        <w:spacing w:after="100" w:line="264"/>
      </w:pPr>
      <w:r>
        <w:rPr>
          <w:color w:val="262626"/>
          <w:sz w:val="22"/>
          <w:szCs w:val="22"/>
        </w:rPr>
        <w:t xml:space="preserve">Purchase Order / Contract — the customer issues a PO or long-term supply agreement; internally this triggers production planning.</w:t>
      </w:r>
    </w:p>
    <w:p>
      <w:pPr>
        <w:pStyle w:val="ListParagraph"/>
        <w:numPr>
          <w:ilvl w:val="0"/>
          <w:numId w:val="3"/>
        </w:numPr>
        <w:spacing w:after="100" w:line="264"/>
      </w:pPr>
      <w:r>
        <w:rPr>
          <w:color w:val="262626"/>
          <w:sz w:val="22"/>
          <w:szCs w:val="22"/>
        </w:rPr>
        <w:t xml:space="preserve">Order Fulfilment — production, quality inspection, and dispatch/logistics are coordinated against the confirmed delivery schedule.</w:t>
      </w:r>
    </w:p>
    <w:p>
      <w:pPr>
        <w:pStyle w:val="ListParagraph"/>
        <w:numPr>
          <w:ilvl w:val="0"/>
          <w:numId w:val="3"/>
        </w:numPr>
        <w:spacing w:after="100" w:line="264"/>
      </w:pPr>
      <w:r>
        <w:rPr>
          <w:color w:val="262626"/>
          <w:sz w:val="22"/>
          <w:szCs w:val="22"/>
        </w:rPr>
        <w:t xml:space="preserve">Post-Sale Account Management — ongoing servicing of repeat/recurring orders, handling of complaints or rejections, and management of AMC/warranty where applicable.</w:t>
      </w:r>
    </w:p>
    <w:p>
      <w:pPr>
        <w:pStyle w:val="ListParagraph"/>
        <w:numPr>
          <w:ilvl w:val="0"/>
          <w:numId w:val="3"/>
        </w:numPr>
        <w:spacing w:after="100" w:line="264"/>
      </w:pPr>
      <w:r>
        <w:rPr>
          <w:color w:val="262626"/>
          <w:sz w:val="22"/>
          <w:szCs w:val="22"/>
        </w:rPr>
        <w:t xml:space="preserve">Renewal / Expansion — review for repeat business, added product lines, or contract renewal, since manufacturing relationships are typically long-term rather than one-off.</w:t>
      </w:r>
    </w:p>
    <w:p>
      <w:pPr>
        <w:spacing w:after="160" w:line="276"/>
      </w:pPr>
      <w:r>
        <w:rPr>
          <w:color w:val="262626"/>
          <w:sz w:val="22"/>
          <w:szCs w:val="22"/>
        </w:rPr>
        <w:t xml:space="preserve">This differs from a typical software or retail sales cycle in three ways: the cycle is longer (often 3–12 months, sometimes longer for tooling-heavy products), it depends on a sample/quality-approval step that has no direct equivalent in most other industries, and revenue is recurring against a supply agreement rather than a single closed-won transaction.</w:t>
      </w:r>
    </w:p>
    <w:p>
      <w:pPr>
        <w:pStyle w:val="Heading1"/>
        <w:pBdr>
          <w:bottom w:val="single" w:color="1F3864" w:sz="6" w:space="4"/>
        </w:pBdr>
        <w:spacing w:after="160" w:before="360"/>
      </w:pPr>
      <w:r>
        <w:rPr>
          <w:b/>
          <w:bCs/>
          <w:color w:val="1F3864"/>
          <w:sz w:val="30"/>
          <w:szCs w:val="30"/>
        </w:rPr>
        <w:t xml:space="preserve">5. Use Case: CRM for an Auto-Components Manufacturer</w:t>
      </w:r>
    </w:p>
    <w:p>
      <w:pPr>
        <w:pStyle w:val="Heading2"/>
        <w:spacing w:after="120" w:before="280"/>
      </w:pPr>
      <w:r>
        <w:rPr>
          <w:b/>
          <w:bCs/>
          <w:color w:val="2E74B5"/>
          <w:sz w:val="24"/>
          <w:szCs w:val="24"/>
        </w:rPr>
        <w:t xml:space="preserve">5.1 Business Context</w:t>
      </w:r>
    </w:p>
    <w:p>
      <w:pPr>
        <w:spacing w:after="160" w:line="276"/>
      </w:pPr>
      <w:r>
        <w:rPr>
          <w:color w:val="262626"/>
          <w:sz w:val="22"/>
          <w:szCs w:val="22"/>
        </w:rPr>
        <w:t xml:space="preserve">Company: Precision Autoparts Pvt Ltd (illustrative) — a Pune-based Tier-2 manufacturer of precision-machined metal components (brackets, housings, shafts) supplied to Tier-1 automotive suppliers and OEM assembly plants across India.</w:t>
      </w:r>
    </w:p>
    <w:p>
      <w:pPr>
        <w:spacing w:after="160" w:line="276"/>
      </w:pPr>
      <w:r>
        <w:rPr>
          <w:color w:val="262626"/>
          <w:sz w:val="22"/>
          <w:szCs w:val="22"/>
        </w:rPr>
        <w:t xml:space="preserve">Current situation: enquiries arrive by email, phone, and at industry trade fairs and are tracked in individual sales engineers' spreadsheets. Sample approvals and PPAP status are tracked over email threads with no central record. Management has no reliable view of open RFQs, expected order value, or which accounts are due for renewal, and repeat customers occasionally get double-quoted by two different sales engineers.</w:t>
      </w:r>
    </w:p>
    <w:p>
      <w:pPr>
        <w:pStyle w:val="Heading2"/>
        <w:spacing w:after="120" w:before="280"/>
      </w:pPr>
      <w:r>
        <w:rPr>
          <w:b/>
          <w:bCs/>
          <w:color w:val="2E74B5"/>
          <w:sz w:val="24"/>
          <w:szCs w:val="24"/>
        </w:rPr>
        <w:t xml:space="preserve">5.2 Business Problem</w:t>
      </w:r>
    </w:p>
    <w:p>
      <w:pPr>
        <w:pStyle w:val="ListParagraph"/>
        <w:numPr>
          <w:ilvl w:val="0"/>
          <w:numId w:val="2"/>
        </w:numPr>
        <w:spacing w:after="80" w:line="264"/>
      </w:pPr>
      <w:r>
        <w:rPr>
          <w:color w:val="262626"/>
          <w:sz w:val="22"/>
          <w:szCs w:val="22"/>
        </w:rPr>
        <w:t xml:space="preserve">No single source of truth for customer and RFQ data — information is siloed by individual sales engineer.</w:t>
      </w:r>
    </w:p>
    <w:p>
      <w:pPr>
        <w:pStyle w:val="ListParagraph"/>
        <w:numPr>
          <w:ilvl w:val="0"/>
          <w:numId w:val="2"/>
        </w:numPr>
        <w:spacing w:after="80" w:line="264"/>
      </w:pPr>
      <w:r>
        <w:rPr>
          <w:color w:val="262626"/>
          <w:sz w:val="22"/>
          <w:szCs w:val="22"/>
        </w:rPr>
        <w:t xml:space="preserve">Sample/PPAP approval status is not tracked centrally, causing missed follow-ups and delayed order conversion.</w:t>
      </w:r>
    </w:p>
    <w:p>
      <w:pPr>
        <w:pStyle w:val="ListParagraph"/>
        <w:numPr>
          <w:ilvl w:val="0"/>
          <w:numId w:val="2"/>
        </w:numPr>
        <w:spacing w:after="80" w:line="264"/>
      </w:pPr>
      <w:r>
        <w:rPr>
          <w:color w:val="262626"/>
          <w:sz w:val="22"/>
          <w:szCs w:val="22"/>
        </w:rPr>
        <w:t xml:space="preserve">No visibility into pipeline value or forecast, making capacity and raw-material planning reactive rather than proactive.</w:t>
      </w:r>
    </w:p>
    <w:p>
      <w:pPr>
        <w:pStyle w:val="ListParagraph"/>
        <w:numPr>
          <w:ilvl w:val="0"/>
          <w:numId w:val="2"/>
        </w:numPr>
        <w:spacing w:after="80" w:line="264"/>
      </w:pPr>
      <w:r>
        <w:rPr>
          <w:color w:val="262626"/>
          <w:sz w:val="22"/>
          <w:szCs w:val="22"/>
        </w:rPr>
        <w:t xml:space="preserve">Renewal and repeat-order opportunities are missed because there is no reminder system tied to contract or PO expiry.</w:t>
      </w:r>
    </w:p>
    <w:p>
      <w:pPr>
        <w:pStyle w:val="Heading2"/>
        <w:spacing w:after="120" w:before="280"/>
      </w:pPr>
      <w:r>
        <w:rPr>
          <w:b/>
          <w:bCs/>
          <w:color w:val="2E74B5"/>
          <w:sz w:val="24"/>
          <w:szCs w:val="24"/>
        </w:rPr>
        <w:t xml:space="preserve">5.3 Proposed Zoho CRM Solution</w:t>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4560"/>
      </w:tblGrid>
      <w:tr>
        <w:trPr>
          <w:tblHeader/>
        </w:trPr>
        <w:tc>
          <w:tcPr>
            <w:tcW w:type="dxa" w:w="2200"/>
            <w:shd w:fill="1F3864" w:val="clear"/>
            <w:tcMar>
              <w:top w:type="dxa" w:w="80"/>
              <w:left w:type="dxa" w:w="100"/>
              <w:bottom w:type="dxa" w:w="80"/>
              <w:right w:type="dxa" w:w="100"/>
            </w:tcMar>
          </w:tcPr>
          <w:p>
            <w:r>
              <w:rPr>
                <w:b/>
                <w:bCs/>
                <w:color w:val="FFFFFF"/>
                <w:sz w:val="20"/>
                <w:szCs w:val="20"/>
              </w:rPr>
              <w:t xml:space="preserve">Sales Stage</w:t>
            </w:r>
          </w:p>
        </w:tc>
        <w:tc>
          <w:tcPr>
            <w:tcW w:type="dxa" w:w="3200"/>
            <w:shd w:fill="1F3864" w:val="clear"/>
            <w:tcMar>
              <w:top w:type="dxa" w:w="80"/>
              <w:left w:type="dxa" w:w="100"/>
              <w:bottom w:type="dxa" w:w="80"/>
              <w:right w:type="dxa" w:w="100"/>
            </w:tcMar>
          </w:tcPr>
          <w:p>
            <w:r>
              <w:rPr>
                <w:b/>
                <w:bCs/>
                <w:color w:val="FFFFFF"/>
                <w:sz w:val="20"/>
                <w:szCs w:val="20"/>
              </w:rPr>
              <w:t xml:space="preserve">Zoho CRM Module / Feature Used</w:t>
            </w:r>
          </w:p>
        </w:tc>
        <w:tc>
          <w:tcPr>
            <w:tcW w:type="dxa" w:w="4560"/>
            <w:shd w:fill="1F3864" w:val="clear"/>
            <w:tcMar>
              <w:top w:type="dxa" w:w="80"/>
              <w:left w:type="dxa" w:w="100"/>
              <w:bottom w:type="dxa" w:w="80"/>
              <w:right w:type="dxa" w:w="100"/>
            </w:tcMar>
          </w:tcPr>
          <w:p>
            <w:r>
              <w:rPr>
                <w:b/>
                <w:bCs/>
                <w:color w:val="FFFFFF"/>
                <w:sz w:val="20"/>
                <w:szCs w:val="20"/>
              </w:rPr>
              <w:t xml:space="preserve">How it Helps</w:t>
            </w:r>
          </w:p>
        </w:tc>
      </w:tr>
      <w:tr>
        <w:tc>
          <w:tcPr>
            <w:tcW w:type="dxa" w:w="2200"/>
            <w:tcMar>
              <w:top w:type="dxa" w:w="80"/>
              <w:left w:type="dxa" w:w="100"/>
              <w:bottom w:type="dxa" w:w="80"/>
              <w:right w:type="dxa" w:w="100"/>
            </w:tcMar>
          </w:tcPr>
          <w:p>
            <w:r>
              <w:rPr>
                <w:b w:val="false"/>
                <w:bCs w:val="false"/>
                <w:color w:val="262626"/>
                <w:sz w:val="20"/>
                <w:szCs w:val="20"/>
              </w:rPr>
              <w:t xml:space="preserve">Enquiry / RFQ received</w:t>
            </w:r>
          </w:p>
        </w:tc>
        <w:tc>
          <w:tcPr>
            <w:tcW w:type="dxa" w:w="3200"/>
            <w:tcMar>
              <w:top w:type="dxa" w:w="80"/>
              <w:left w:type="dxa" w:w="100"/>
              <w:bottom w:type="dxa" w:w="80"/>
              <w:right w:type="dxa" w:w="100"/>
            </w:tcMar>
          </w:tcPr>
          <w:p>
            <w:r>
              <w:rPr>
                <w:b w:val="false"/>
                <w:bCs w:val="false"/>
                <w:color w:val="262626"/>
                <w:sz w:val="20"/>
                <w:szCs w:val="20"/>
              </w:rPr>
              <w:t xml:space="preserve">Leads module + Web-to-Lead form + Workflow Rule</w:t>
            </w:r>
          </w:p>
        </w:tc>
        <w:tc>
          <w:tcPr>
            <w:tcW w:type="dxa" w:w="4560"/>
            <w:tcMar>
              <w:top w:type="dxa" w:w="80"/>
              <w:left w:type="dxa" w:w="100"/>
              <w:bottom w:type="dxa" w:w="80"/>
              <w:right w:type="dxa" w:w="100"/>
            </w:tcMar>
          </w:tcPr>
          <w:p>
            <w:r>
              <w:rPr>
                <w:b w:val="false"/>
                <w:bCs w:val="false"/>
                <w:color w:val="262626"/>
                <w:sz w:val="20"/>
                <w:szCs w:val="20"/>
              </w:rPr>
              <w:t xml:space="preserve">Every RFQ channel (email, web form, trade-show scan) creates a Lead automatically and auto-assigns it to the right regional sales engineer.</w:t>
            </w:r>
          </w:p>
        </w:tc>
      </w:tr>
      <w:tr>
        <w:tc>
          <w:tcPr>
            <w:tcW w:type="dxa" w:w="2200"/>
            <w:shd w:fill="DCE6F1" w:val="clear"/>
            <w:tcMar>
              <w:top w:type="dxa" w:w="80"/>
              <w:left w:type="dxa" w:w="100"/>
              <w:bottom w:type="dxa" w:w="80"/>
              <w:right w:type="dxa" w:w="100"/>
            </w:tcMar>
          </w:tcPr>
          <w:p>
            <w:r>
              <w:rPr>
                <w:b w:val="false"/>
                <w:bCs w:val="false"/>
                <w:color w:val="262626"/>
                <w:sz w:val="20"/>
                <w:szCs w:val="20"/>
              </w:rPr>
              <w:t xml:space="preserve">Qualification</w:t>
            </w:r>
          </w:p>
        </w:tc>
        <w:tc>
          <w:tcPr>
            <w:tcW w:type="dxa" w:w="3200"/>
            <w:shd w:fill="DCE6F1" w:val="clear"/>
            <w:tcMar>
              <w:top w:type="dxa" w:w="80"/>
              <w:left w:type="dxa" w:w="100"/>
              <w:bottom w:type="dxa" w:w="80"/>
              <w:right w:type="dxa" w:w="100"/>
            </w:tcMar>
          </w:tcPr>
          <w:p>
            <w:r>
              <w:rPr>
                <w:b w:val="false"/>
                <w:bCs w:val="false"/>
                <w:color w:val="262626"/>
                <w:sz w:val="20"/>
                <w:szCs w:val="20"/>
              </w:rPr>
              <w:t xml:space="preserve">Lead scoring / custom fields (part category, volume, tolerance class)</w:t>
            </w:r>
          </w:p>
        </w:tc>
        <w:tc>
          <w:tcPr>
            <w:tcW w:type="dxa" w:w="4560"/>
            <w:shd w:fill="DCE6F1" w:val="clear"/>
            <w:tcMar>
              <w:top w:type="dxa" w:w="80"/>
              <w:left w:type="dxa" w:w="100"/>
              <w:bottom w:type="dxa" w:w="80"/>
              <w:right w:type="dxa" w:w="100"/>
            </w:tcMar>
          </w:tcPr>
          <w:p>
            <w:r>
              <w:rPr>
                <w:b w:val="false"/>
                <w:bCs w:val="false"/>
                <w:color w:val="262626"/>
                <w:sz w:val="20"/>
                <w:szCs w:val="20"/>
              </w:rPr>
              <w:t xml:space="preserve">Reps quickly filter which enquiries fit plant capability before investing engineering time.</w:t>
            </w:r>
          </w:p>
        </w:tc>
      </w:tr>
      <w:tr>
        <w:tc>
          <w:tcPr>
            <w:tcW w:type="dxa" w:w="2200"/>
            <w:tcMar>
              <w:top w:type="dxa" w:w="80"/>
              <w:left w:type="dxa" w:w="100"/>
              <w:bottom w:type="dxa" w:w="80"/>
              <w:right w:type="dxa" w:w="100"/>
            </w:tcMar>
          </w:tcPr>
          <w:p>
            <w:r>
              <w:rPr>
                <w:b w:val="false"/>
                <w:bCs w:val="false"/>
                <w:color w:val="262626"/>
                <w:sz w:val="20"/>
                <w:szCs w:val="20"/>
              </w:rPr>
              <w:t xml:space="preserve">Technical discovery &amp; quoting</w:t>
            </w:r>
          </w:p>
        </w:tc>
        <w:tc>
          <w:tcPr>
            <w:tcW w:type="dxa" w:w="3200"/>
            <w:tcMar>
              <w:top w:type="dxa" w:w="80"/>
              <w:left w:type="dxa" w:w="100"/>
              <w:bottom w:type="dxa" w:w="80"/>
              <w:right w:type="dxa" w:w="100"/>
            </w:tcMar>
          </w:tcPr>
          <w:p>
            <w:r>
              <w:rPr>
                <w:b w:val="false"/>
                <w:bCs w:val="false"/>
                <w:color w:val="262626"/>
                <w:sz w:val="20"/>
                <w:szCs w:val="20"/>
              </w:rPr>
              <w:t xml:space="preserve">Deals + Products + Quotes module</w:t>
            </w:r>
          </w:p>
        </w:tc>
        <w:tc>
          <w:tcPr>
            <w:tcW w:type="dxa" w:w="4560"/>
            <w:tcMar>
              <w:top w:type="dxa" w:w="80"/>
              <w:left w:type="dxa" w:w="100"/>
              <w:bottom w:type="dxa" w:w="80"/>
              <w:right w:type="dxa" w:w="100"/>
            </w:tcMar>
          </w:tcPr>
          <w:p>
            <w:r>
              <w:rPr>
                <w:b w:val="false"/>
                <w:bCs w:val="false"/>
                <w:color w:val="262626"/>
                <w:sz w:val="20"/>
                <w:szCs w:val="20"/>
              </w:rPr>
              <w:t xml:space="preserve">Deal record holds drawing references and specs as attachments; Quotes module generates a consistent, version-controlled formal quotation.</w:t>
            </w:r>
          </w:p>
        </w:tc>
      </w:tr>
      <w:tr>
        <w:tc>
          <w:tcPr>
            <w:tcW w:type="dxa" w:w="2200"/>
            <w:shd w:fill="DCE6F1" w:val="clear"/>
            <w:tcMar>
              <w:top w:type="dxa" w:w="80"/>
              <w:left w:type="dxa" w:w="100"/>
              <w:bottom w:type="dxa" w:w="80"/>
              <w:right w:type="dxa" w:w="100"/>
            </w:tcMar>
          </w:tcPr>
          <w:p>
            <w:r>
              <w:rPr>
                <w:b w:val="false"/>
                <w:bCs w:val="false"/>
                <w:color w:val="262626"/>
                <w:sz w:val="20"/>
                <w:szCs w:val="20"/>
              </w:rPr>
              <w:t xml:space="preserve">Sample / PPAP approval</w:t>
            </w:r>
          </w:p>
        </w:tc>
        <w:tc>
          <w:tcPr>
            <w:tcW w:type="dxa" w:w="3200"/>
            <w:shd w:fill="DCE6F1" w:val="clear"/>
            <w:tcMar>
              <w:top w:type="dxa" w:w="80"/>
              <w:left w:type="dxa" w:w="100"/>
              <w:bottom w:type="dxa" w:w="80"/>
              <w:right w:type="dxa" w:w="100"/>
            </w:tcMar>
          </w:tcPr>
          <w:p>
            <w:r>
              <w:rPr>
                <w:b w:val="false"/>
                <w:bCs w:val="false"/>
                <w:color w:val="262626"/>
                <w:sz w:val="20"/>
                <w:szCs w:val="20"/>
              </w:rPr>
              <w:t xml:space="preserve">Custom module “Sample Approvals” linked to Deals, with Blueprint stage gate</w:t>
            </w:r>
          </w:p>
        </w:tc>
        <w:tc>
          <w:tcPr>
            <w:tcW w:type="dxa" w:w="4560"/>
            <w:shd w:fill="DCE6F1" w:val="clear"/>
            <w:tcMar>
              <w:top w:type="dxa" w:w="80"/>
              <w:left w:type="dxa" w:w="100"/>
              <w:bottom w:type="dxa" w:w="80"/>
              <w:right w:type="dxa" w:w="100"/>
            </w:tcMar>
          </w:tcPr>
          <w:p>
            <w:r>
              <w:rPr>
                <w:b w:val="false"/>
                <w:bCs w:val="false"/>
                <w:color w:val="262626"/>
                <w:sz w:val="20"/>
                <w:szCs w:val="20"/>
              </w:rPr>
              <w:t xml:space="preserve">Deal cannot move to “Negotiation” in the Blueprint until the PPAP approval field is marked complete — removing the silent drop-off between sampling and ordering.</w:t>
            </w:r>
          </w:p>
        </w:tc>
      </w:tr>
      <w:tr>
        <w:tc>
          <w:tcPr>
            <w:tcW w:type="dxa" w:w="2200"/>
            <w:tcMar>
              <w:top w:type="dxa" w:w="80"/>
              <w:left w:type="dxa" w:w="100"/>
              <w:bottom w:type="dxa" w:w="80"/>
              <w:right w:type="dxa" w:w="100"/>
            </w:tcMar>
          </w:tcPr>
          <w:p>
            <w:r>
              <w:rPr>
                <w:b w:val="false"/>
                <w:bCs w:val="false"/>
                <w:color w:val="262626"/>
                <w:sz w:val="20"/>
                <w:szCs w:val="20"/>
              </w:rPr>
              <w:t xml:space="preserve">Negotiation &amp; PO</w:t>
            </w:r>
          </w:p>
        </w:tc>
        <w:tc>
          <w:tcPr>
            <w:tcW w:type="dxa" w:w="3200"/>
            <w:tcMar>
              <w:top w:type="dxa" w:w="80"/>
              <w:left w:type="dxa" w:w="100"/>
              <w:bottom w:type="dxa" w:w="80"/>
              <w:right w:type="dxa" w:w="100"/>
            </w:tcMar>
          </w:tcPr>
          <w:p>
            <w:r>
              <w:rPr>
                <w:b w:val="false"/>
                <w:bCs w:val="false"/>
                <w:color w:val="262626"/>
                <w:sz w:val="20"/>
                <w:szCs w:val="20"/>
              </w:rPr>
              <w:t xml:space="preserve">Deals (stage: Negotiation → Closed Won) + Sales Orders</w:t>
            </w:r>
          </w:p>
        </w:tc>
        <w:tc>
          <w:tcPr>
            <w:tcW w:type="dxa" w:w="4560"/>
            <w:tcMar>
              <w:top w:type="dxa" w:w="80"/>
              <w:left w:type="dxa" w:w="100"/>
              <w:bottom w:type="dxa" w:w="80"/>
              <w:right w:type="dxa" w:w="100"/>
            </w:tcMar>
          </w:tcPr>
          <w:p>
            <w:r>
              <w:rPr>
                <w:b w:val="false"/>
                <w:bCs w:val="false"/>
                <w:color w:val="262626"/>
                <w:sz w:val="20"/>
                <w:szCs w:val="20"/>
              </w:rPr>
              <w:t xml:space="preserve">Commercial terms and final PO reference are logged against the Deal; Closed Won triggers a workflow notifying production planning.</w:t>
            </w:r>
          </w:p>
        </w:tc>
      </w:tr>
      <w:tr>
        <w:tc>
          <w:tcPr>
            <w:tcW w:type="dxa" w:w="2200"/>
            <w:shd w:fill="DCE6F1" w:val="clear"/>
            <w:tcMar>
              <w:top w:type="dxa" w:w="80"/>
              <w:left w:type="dxa" w:w="100"/>
              <w:bottom w:type="dxa" w:w="80"/>
              <w:right w:type="dxa" w:w="100"/>
            </w:tcMar>
          </w:tcPr>
          <w:p>
            <w:r>
              <w:rPr>
                <w:b w:val="false"/>
                <w:bCs w:val="false"/>
                <w:color w:val="262626"/>
                <w:sz w:val="20"/>
                <w:szCs w:val="20"/>
              </w:rPr>
              <w:t xml:space="preserve">Fulfilment &amp; delivery tracking</w:t>
            </w:r>
          </w:p>
        </w:tc>
        <w:tc>
          <w:tcPr>
            <w:tcW w:type="dxa" w:w="3200"/>
            <w:shd w:fill="DCE6F1" w:val="clear"/>
            <w:tcMar>
              <w:top w:type="dxa" w:w="80"/>
              <w:left w:type="dxa" w:w="100"/>
              <w:bottom w:type="dxa" w:w="80"/>
              <w:right w:type="dxa" w:w="100"/>
            </w:tcMar>
          </w:tcPr>
          <w:p>
            <w:r>
              <w:rPr>
                <w:b w:val="false"/>
                <w:bCs w:val="false"/>
                <w:color w:val="262626"/>
                <w:sz w:val="20"/>
                <w:szCs w:val="20"/>
              </w:rPr>
              <w:t xml:space="preserve">Custom module “Dispatch Schedule” linked to Accounts, integrated with ERP</w:t>
            </w:r>
          </w:p>
        </w:tc>
        <w:tc>
          <w:tcPr>
            <w:tcW w:type="dxa" w:w="4560"/>
            <w:shd w:fill="DCE6F1" w:val="clear"/>
            <w:tcMar>
              <w:top w:type="dxa" w:w="80"/>
              <w:left w:type="dxa" w:w="100"/>
              <w:bottom w:type="dxa" w:w="80"/>
              <w:right w:type="dxa" w:w="100"/>
            </w:tcMar>
          </w:tcPr>
          <w:p>
            <w:r>
              <w:rPr>
                <w:b w:val="false"/>
                <w:bCs w:val="false"/>
                <w:color w:val="262626"/>
                <w:sz w:val="20"/>
                <w:szCs w:val="20"/>
              </w:rPr>
              <w:t xml:space="preserve">Sales team can see delivery status without calling the plant, and can proactively flag delays to the customer.</w:t>
            </w:r>
          </w:p>
        </w:tc>
      </w:tr>
      <w:tr>
        <w:tc>
          <w:tcPr>
            <w:tcW w:type="dxa" w:w="2200"/>
            <w:tcMar>
              <w:top w:type="dxa" w:w="80"/>
              <w:left w:type="dxa" w:w="100"/>
              <w:bottom w:type="dxa" w:w="80"/>
              <w:right w:type="dxa" w:w="100"/>
            </w:tcMar>
          </w:tcPr>
          <w:p>
            <w:r>
              <w:rPr>
                <w:b w:val="false"/>
                <w:bCs w:val="false"/>
                <w:color w:val="262626"/>
                <w:sz w:val="20"/>
                <w:szCs w:val="20"/>
              </w:rPr>
              <w:t xml:space="preserve">Post-sale &amp; renewal</w:t>
            </w:r>
          </w:p>
        </w:tc>
        <w:tc>
          <w:tcPr>
            <w:tcW w:type="dxa" w:w="3200"/>
            <w:tcMar>
              <w:top w:type="dxa" w:w="80"/>
              <w:left w:type="dxa" w:w="100"/>
              <w:bottom w:type="dxa" w:w="80"/>
              <w:right w:type="dxa" w:w="100"/>
            </w:tcMar>
          </w:tcPr>
          <w:p>
            <w:r>
              <w:rPr>
                <w:b w:val="false"/>
                <w:bCs w:val="false"/>
                <w:color w:val="262626"/>
                <w:sz w:val="20"/>
                <w:szCs w:val="20"/>
              </w:rPr>
              <w:t xml:space="preserve">Accounts + Activities + Zia reminders</w:t>
            </w:r>
          </w:p>
        </w:tc>
        <w:tc>
          <w:tcPr>
            <w:tcW w:type="dxa" w:w="4560"/>
            <w:tcMar>
              <w:top w:type="dxa" w:w="80"/>
              <w:left w:type="dxa" w:w="100"/>
              <w:bottom w:type="dxa" w:w="80"/>
              <w:right w:type="dxa" w:w="100"/>
            </w:tcMar>
          </w:tcPr>
          <w:p>
            <w:r>
              <w:rPr>
                <w:b w:val="false"/>
                <w:bCs w:val="false"/>
                <w:color w:val="262626"/>
                <w:sz w:val="20"/>
                <w:szCs w:val="20"/>
              </w:rPr>
              <w:t xml:space="preserve">Automated reminder tasks before contract/PO renewal dates and after a fixed period of inactivity on an account, so repeat business isn’t missed.</w:t>
            </w:r>
          </w:p>
        </w:tc>
      </w:tr>
      <w:tr>
        <w:tc>
          <w:tcPr>
            <w:tcW w:type="dxa" w:w="2200"/>
            <w:shd w:fill="DCE6F1" w:val="clear"/>
            <w:tcMar>
              <w:top w:type="dxa" w:w="80"/>
              <w:left w:type="dxa" w:w="100"/>
              <w:bottom w:type="dxa" w:w="80"/>
              <w:right w:type="dxa" w:w="100"/>
            </w:tcMar>
          </w:tcPr>
          <w:p>
            <w:r>
              <w:rPr>
                <w:b w:val="false"/>
                <w:bCs w:val="false"/>
                <w:color w:val="262626"/>
                <w:sz w:val="20"/>
                <w:szCs w:val="20"/>
              </w:rPr>
              <w:t xml:space="preserve">Management visibility</w:t>
            </w:r>
          </w:p>
        </w:tc>
        <w:tc>
          <w:tcPr>
            <w:tcW w:type="dxa" w:w="3200"/>
            <w:shd w:fill="DCE6F1" w:val="clear"/>
            <w:tcMar>
              <w:top w:type="dxa" w:w="80"/>
              <w:left w:type="dxa" w:w="100"/>
              <w:bottom w:type="dxa" w:w="80"/>
              <w:right w:type="dxa" w:w="100"/>
            </w:tcMar>
          </w:tcPr>
          <w:p>
            <w:r>
              <w:rPr>
                <w:b w:val="false"/>
                <w:bCs w:val="false"/>
                <w:color w:val="262626"/>
                <w:sz w:val="20"/>
                <w:szCs w:val="20"/>
              </w:rPr>
              <w:t xml:space="preserve">Analytics dashboards (pipeline value, RFQ-to-PO conversion rate, forecast by plant/region)</w:t>
            </w:r>
          </w:p>
        </w:tc>
        <w:tc>
          <w:tcPr>
            <w:tcW w:type="dxa" w:w="4560"/>
            <w:shd w:fill="DCE6F1" w:val="clear"/>
            <w:tcMar>
              <w:top w:type="dxa" w:w="80"/>
              <w:left w:type="dxa" w:w="100"/>
              <w:bottom w:type="dxa" w:w="80"/>
              <w:right w:type="dxa" w:w="100"/>
            </w:tcMar>
          </w:tcPr>
          <w:p>
            <w:r>
              <w:rPr>
                <w:b w:val="false"/>
                <w:bCs w:val="false"/>
                <w:color w:val="262626"/>
                <w:sz w:val="20"/>
                <w:szCs w:val="20"/>
              </w:rPr>
              <w:t xml:space="preserve">Leadership gets a live view of pipeline health instead of a monthly manually compiled spreadsheet.</w:t>
            </w:r>
          </w:p>
        </w:tc>
      </w:tr>
    </w:tbl>
    <w:p>
      <w:pPr>
        <w:spacing w:after="200"/>
      </w:pPr>
    </w:p>
    <w:p>
      <w:pPr>
        <w:pStyle w:val="Heading2"/>
        <w:spacing w:after="120" w:before="280"/>
      </w:pPr>
      <w:r>
        <w:rPr>
          <w:b/>
          <w:bCs/>
          <w:color w:val="2E74B5"/>
          <w:sz w:val="24"/>
          <w:szCs w:val="24"/>
        </w:rPr>
        <w:t xml:space="preserve">5.4 Expected Outcomes</w:t>
      </w:r>
    </w:p>
    <w:p>
      <w:pPr>
        <w:pStyle w:val="ListParagraph"/>
        <w:numPr>
          <w:ilvl w:val="0"/>
          <w:numId w:val="2"/>
        </w:numPr>
        <w:spacing w:after="80" w:line="264"/>
      </w:pPr>
      <w:r>
        <w:rPr>
          <w:color w:val="262626"/>
          <w:sz w:val="22"/>
          <w:szCs w:val="22"/>
        </w:rPr>
        <w:t xml:space="preserve">A single, centralised record per customer account instead of scattered spreadsheets and email threads.</w:t>
      </w:r>
    </w:p>
    <w:p>
      <w:pPr>
        <w:pStyle w:val="ListParagraph"/>
        <w:numPr>
          <w:ilvl w:val="0"/>
          <w:numId w:val="2"/>
        </w:numPr>
        <w:spacing w:after="80" w:line="264"/>
      </w:pPr>
      <w:r>
        <w:rPr>
          <w:color w:val="262626"/>
          <w:sz w:val="22"/>
          <w:szCs w:val="22"/>
        </w:rPr>
        <w:t xml:space="preserve">Fewer dropped or duplicate quotes, since every open RFQ is visible to the whole sales team, not just the individual rep.</w:t>
      </w:r>
    </w:p>
    <w:p>
      <w:pPr>
        <w:pStyle w:val="ListParagraph"/>
        <w:numPr>
          <w:ilvl w:val="0"/>
          <w:numId w:val="2"/>
        </w:numPr>
        <w:spacing w:after="80" w:line="264"/>
      </w:pPr>
      <w:r>
        <w:rPr>
          <w:color w:val="262626"/>
          <w:sz w:val="22"/>
          <w:szCs w:val="22"/>
        </w:rPr>
        <w:t xml:space="preserve">Faster RFQ-to-PO conversion, because the PPAP/sample bottleneck is tracked and chased automatically instead of relying on memory.</w:t>
      </w:r>
    </w:p>
    <w:p>
      <w:pPr>
        <w:pStyle w:val="ListParagraph"/>
        <w:numPr>
          <w:ilvl w:val="0"/>
          <w:numId w:val="2"/>
        </w:numPr>
        <w:spacing w:after="80" w:line="264"/>
      </w:pPr>
      <w:r>
        <w:rPr>
          <w:color w:val="262626"/>
          <w:sz w:val="22"/>
          <w:szCs w:val="22"/>
        </w:rPr>
        <w:t xml:space="preserve">Reliable, data-backed sales forecasts for production and raw-material planning.</w:t>
      </w:r>
    </w:p>
    <w:p>
      <w:pPr>
        <w:pStyle w:val="ListParagraph"/>
        <w:numPr>
          <w:ilvl w:val="0"/>
          <w:numId w:val="2"/>
        </w:numPr>
        <w:spacing w:after="80" w:line="264"/>
      </w:pPr>
      <w:r>
        <w:rPr>
          <w:color w:val="262626"/>
          <w:sz w:val="22"/>
          <w:szCs w:val="22"/>
        </w:rPr>
        <w:t xml:space="preserve">Higher renewal capture, driven by automated reminders ahead of contract expiry instead of ad-hoc follow-up.</w:t>
      </w:r>
    </w:p>
    <w:p>
      <w:pPr>
        <w:pStyle w:val="Heading1"/>
        <w:pBdr>
          <w:bottom w:val="single" w:color="1F3864" w:sz="6" w:space="4"/>
        </w:pBdr>
        <w:spacing w:after="160" w:before="360"/>
      </w:pPr>
      <w:r>
        <w:rPr>
          <w:b/>
          <w:bCs/>
          <w:color w:val="1F3864"/>
          <w:sz w:val="30"/>
          <w:szCs w:val="30"/>
        </w:rPr>
        <w:t xml:space="preserve">6. Conclusion</w:t>
      </w:r>
    </w:p>
    <w:p>
      <w:pPr>
        <w:spacing w:after="160" w:line="276"/>
      </w:pPr>
      <w:r>
        <w:rPr>
          <w:color w:val="262626"/>
          <w:sz w:val="22"/>
          <w:szCs w:val="22"/>
        </w:rPr>
        <w:t xml:space="preserve">Zoho CRM's module structure — Leads, Contacts, Accounts, Deals, Products, Quotes, and supporting automation like Blueprint and Workflow Rules — maps naturally onto a manufacturing sales process once the process itself has been clearly documented. The main implementation risk is not the software but skipping the planning and process-mapping stage: a CRM configured around how the business actually sells (including the sample/PPAP approval bottleneck specific to manufacturing) will get adopted; one configured around a generic template will not. The Precision Autoparts use case above shows how the standard and custom modules combine to close the specific gaps — fragmented data, an untracked approval step, and missed renewals — that a manufacturing sales team is likely to face.</w:t>
      </w:r>
    </w:p>
    <w:sectPr>
      <w:headerReference w:type="default" r:id="rId7"/>
      <w:footerReference w:type="default" r:id="rId8"/>
      <w:pgSz w:w="12240" w:h="15840" w:orient="portrait"/>
      <w:pgMar w:top="1350" w:right="1350" w:bottom="135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i/>
        <w:iCs/>
        <w:color w:val="595959"/>
        <w:sz w:val="16"/>
        <w:szCs w:val="16"/>
      </w:rPr>
      <w:t xml:space="preserve">Zoho CRM for Manufacturing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2026-08-19T07:43:33.021Z</dcterms:created>
  <dcterms:modified xsi:type="dcterms:W3CDTF">2026-08-19T07:43:33.037Z</dcterms:modified>
</cp:coreProperties>
</file>

<file path=docProps/custom.xml><?xml version="1.0" encoding="utf-8"?>
<Properties xmlns="http://schemas.openxmlformats.org/officeDocument/2006/custom-properties" xmlns:vt="http://schemas.openxmlformats.org/officeDocument/2006/docPropsVTypes"/>
</file>