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</w:pPr>
      <w:r>
        <w:rPr>
          <w:rFonts w:ascii="Calibri" w:hAnsi="Calibri"/>
          <w:b/>
          <w:color w:val="687381"/>
          <w:sz w:val="20"/>
        </w:rPr>
        <w:t>BENCHMARK INSIGHTS REPORT</w:t>
      </w:r>
    </w:p>
    <w:p>
      <w:pPr>
        <w:keepNext/>
        <w:spacing w:after="160" w:line="240" w:lineRule="auto"/>
      </w:pPr>
      <w:r>
        <w:rPr>
          <w:rFonts w:ascii="Calibri" w:hAnsi="Calibri"/>
          <w:b/>
          <w:color w:val="0B2545"/>
          <w:sz w:val="56"/>
        </w:rPr>
        <w:t>Why Agent Benchmarks Need Trajectory Intelligence</w:t>
      </w:r>
    </w:p>
    <w:p>
      <w:pPr>
        <w:keepNext w:val="0"/>
        <w:spacing w:after="360"/>
      </w:pPr>
      <w:r>
        <w:rPr>
          <w:rFonts w:ascii="Calibri" w:hAnsi="Calibri"/>
          <w:color w:val="1F4D78"/>
          <w:sz w:val="28"/>
        </w:rPr>
        <w:t>Evidence from Terminal-Bench, SWE-agent trajectories, and AFWB Foundation</w:t>
      </w:r>
    </w:p>
    <w:p>
      <w:pPr>
        <w:keepNext w:val="0"/>
        <w:spacing w:after="320"/>
      </w:pPr>
      <w:r>
        <w:rPr>
          <w:rFonts w:ascii="Calibri" w:hAnsi="Calibri"/>
          <w:color w:val="263238"/>
          <w:sz w:val="24"/>
        </w:rPr>
        <w:t>Pass rate is useful, but incomplete. The benchmark evidence shows that agent teams also need trajectory, cost, waste, root-cause, and scaffold-level analysis.</w:t>
      </w: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2100"/>
        <w:gridCol w:w="3100"/>
        <w:gridCol w:w="4000"/>
      </w:tblGrid>
      <w:tr>
        <w:trPr>
          <w:tblHeader w:val="true"/>
        </w:trP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Dataset family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Coverage used</w:t>
            </w:r>
          </w:p>
        </w:tc>
        <w:tc>
          <w:tcPr>
            <w:tcW w:w="4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use in this report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52,104 runs; cost and duration available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FinOps, failure cost, pass/fail, trajectory waste where available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80,036 runs; full trajectories; no cost/duration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Edit/test loop behavior, repeat behavior, scaffold and trajectory divergence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AFWB Foundation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 deterministic RCA scenarios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Controlled root-cause and remediation examples</w:t>
            </w:r>
          </w:p>
        </w:tc>
      </w:tr>
    </w:tbl>
    <w:p>
      <w:pPr>
        <w:spacing w:after="80"/>
      </w:pP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Reading note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Dollar figures in this report come only from Terminal-Bench because that dataset has cost fields. SWE-agent is used for trajectory behavior only, and AFWB is used as deterministic RCA proof.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Executive Summary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Core finding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Agent quality cannot be evaluated by final pass/fail alone. Failed runs are expensive, successful runs can still be wasteful, and the same model can behave very differently under different agent scaffolds.</w:t>
            </w:r>
          </w:p>
        </w:tc>
      </w:tr>
    </w:tbl>
    <w:p>
      <w:pPr>
        <w:spacing w:after="40"/>
      </w:pP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2300"/>
        <w:gridCol w:w="1900"/>
        <w:gridCol w:w="5000"/>
      </w:tblGrid>
      <w:tr>
        <w:trPr>
          <w:tblHeader w:val="true"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pass rate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39.6%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useful outcome metric, but not enough to explain cost or failure mode.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trajectory coverage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66.1%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About one-third of runs lack usable trajectories, which limits RCA.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 pass rate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16.7%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The full processed SWE-agent data shows harder software-repair trajectories.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 cost and duration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Unavailable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This prevents honest FinOps claims on SWE-agent alone.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Conservative early-stop savings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$1,495.83 and 452.8 hours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Counterfactual historical estimate from Terminal-Bench.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70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nchmark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1. Pass rate and trajectory coverage answer different benchmark questions.</w:t>
      </w:r>
    </w:p>
    <w:p>
      <w:pPr>
        <w:keepNext w:val="0"/>
      </w:pPr>
      <w:r>
        <w:rPr>
          <w:rFonts w:ascii="Calibri" w:hAnsi="Calibri"/>
        </w:rPr>
        <w:t>The report keeps dataset families separate. Terminal-Bench supports cost and duration analysis; SWE-agent supports trajectory-loop analysis; AFWB supports controlled RCA and remediation examples.</w:t>
      </w:r>
    </w:p>
    <w:p>
      <w:r>
        <w:br w:type="page"/>
      </w:r>
    </w:p>
    <w:p>
      <w:pPr>
        <w:pStyle w:val="Heading1"/>
        <w:keepNext/>
      </w:pPr>
      <w:r>
        <w:t>Methodology And Caveats</w:t>
      </w:r>
    </w:p>
    <w:p>
      <w:pPr>
        <w:keepNext w:val="0"/>
      </w:pPr>
      <w:r>
        <w:rPr>
          <w:rFonts w:ascii="Calibri" w:hAnsi="Calibri"/>
        </w:rPr>
        <w:t>The analysis uses local processed artifacts from the benchmark repository. It does not merge dataset families into a universal leaderboard because each dataset has different coverage, metadata, and measurement semantics.</w:t>
      </w:r>
    </w:p>
    <w:tbl>
      <w:tblPr>
        <w:tblStyle w:val="TableGrid"/>
        <w:jc w:val="left"/>
        <w:tblLook w:firstColumn="1" w:firstRow="1" w:lastColumn="0" w:lastRow="0" w:noHBand="0" w:noVBand="1" w:val="04A0"/>
        <w:tblW w:w="9400" w:type="dxa"/>
        <w:tblInd w:w="120" w:type="dxa"/>
        <w:tblLayout w:type="fixed"/>
      </w:tblPr>
      <w:tblGrid>
        <w:gridCol w:w="1900"/>
        <w:gridCol w:w="2500"/>
        <w:gridCol w:w="2900"/>
        <w:gridCol w:w="2100"/>
      </w:tblGrid>
      <w:tr>
        <w:trPr>
          <w:tblHeader w:val="true"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Dataset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Source revision / cutoff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is measured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Important caveat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04e8940f5b67...; cutoff 2026-03-05T22:54:39.383638+00:00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Outcome, trajectories when available, cost, duration, tokens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Only 66.1% of runs have usable trajectory steps.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68195a145086...; source last modified 2024-12-23T12:42:05+00:00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Outcome and full normalized trajectories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Cost, duration, and token fields are unavailable in the processed source.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AFWB Foundation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Local deterministic foundation suite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Known root cause, first observable failure, remediation, avoidable usage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Controlled RCA proof layer, not public-scale benchmark evidence.</w:t>
            </w:r>
          </w:p>
        </w:tc>
      </w:tr>
    </w:tbl>
    <w:p>
      <w:pPr>
        <w:spacing w:after="80"/>
      </w:pP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Counterfactual note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Early-stopping savings are historical counterfactual estimates: they estimate what could have been saved on these recorded trajectories if a stop rule had been applied.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What Is The Cost Of Failed AI Agent Runs?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Terminal-Bench failed runs consumed $17,845 in observed cost, about 82.8% of all observed run cost. Failed runs were 3.2x more expensive on average than successful runs: $0.567 vs. $0.180.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8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st_by_outc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2. Failed runs dominate observed Terminal-Bench spend.</w:t>
      </w: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2300"/>
        <w:gridCol w:w="1900"/>
        <w:gridCol w:w="5000"/>
      </w:tblGrid>
      <w:tr>
        <w:trPr>
          <w:tblHeader w:val="true"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Failed runs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31,455 runs; $17,845 observed cost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Failure burns budget before the final negative outcome.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 runs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20,649 runs; $3,718 observed cost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 outcomes still need efficiency analysis.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Median duration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565 sec failed vs. 307 sec successful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Failed runs tend to last longer.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cost-of-failure analysis should be a first-class benchmark dimension. A pass-rate-only table hides where the budget actually goes.</w:t>
      </w:r>
    </w:p>
    <w:p>
      <w:r>
        <w:br w:type="page"/>
      </w:r>
    </w:p>
    <w:p>
      <w:pPr>
        <w:pStyle w:val="Heading1"/>
        <w:keepNext/>
      </w:pPr>
      <w:r>
        <w:t>2. Why Can Successful Agent Runs Still Be Wasteful?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Successful Terminal-Bench trajectory runs still contained 5,107 suspected wasted actions, 27,070 error events, and 62,132 adjacent repeats. Estimated waste inside successful runs was $30.81 and 24.7 hours.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64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ccessful_runs_was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3. Passing runs can still contain repeated actions and error recovery overhead.</w:t>
      </w:r>
    </w:p>
    <w:p>
      <w:pPr>
        <w:keepNext w:val="0"/>
      </w:pPr>
      <w:r>
        <w:rPr>
          <w:rFonts w:ascii="Calibri" w:hAnsi="Calibri"/>
        </w:rPr>
        <w:t>Interpretation: a passing run can still be brittle, slow, or expensive. The useful question is not only whether the agent eventually succeeded, but how much avoidable work it did on the way.</w:t>
      </w:r>
    </w:p>
    <w:p>
      <w:r>
        <w:br w:type="page"/>
      </w:r>
    </w:p>
    <w:p>
      <w:pPr>
        <w:pStyle w:val="Heading1"/>
        <w:keepNext/>
      </w:pPr>
      <w:r>
        <w:t>3. Which Coding Agents Repeat Failed Actions Most Often?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Strict repeated-failed-approach RCA is concentrated in a small number of agents. In rate terms, judy is highest at 9.55% of trajectory runs, but with a small sample. In count terms, mini-swe-agent has 55 runs and terminus-2 has 42 runs.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61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peated_failed_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4. Strict repeated-failed-approach rate among agents with at least 100 trajectory runs.</w:t>
      </w:r>
    </w:p>
    <w:tbl>
      <w:tblPr>
        <w:tblStyle w:val="TableGrid"/>
        <w:jc w:val="left"/>
        <w:tblLook w:firstColumn="1" w:firstRow="1" w:lastColumn="0" w:lastRow="0" w:noHBand="0" w:noVBand="1" w:val="04A0"/>
        <w:tblW w:w="9300" w:type="dxa"/>
        <w:tblInd w:w="120" w:type="dxa"/>
        <w:tblLayout w:type="fixed"/>
      </w:tblPr>
      <w:tblGrid>
        <w:gridCol w:w="1500"/>
        <w:gridCol w:w="1700"/>
        <w:gridCol w:w="2100"/>
        <w:gridCol w:w="1300"/>
        <w:gridCol w:w="2700"/>
      </w:tblGrid>
      <w:tr>
        <w:trPr>
          <w:tblHeader w:val="true"/>
        </w:trPr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Agent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Trajectory runs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Strict repeated-failed runs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Rate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Repeat behavior note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judy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9.6%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High strict RCA rate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mini-swe-agent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6,495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0.8%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High volume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gemini-cli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0.8%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Observed pattern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terminus-2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15,941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0.3%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High volume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codex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1,410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Observed pattern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claude-code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2,522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Observed pattern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For general repeat behavior, not only strict failed repeats, the highest mean repeat rates were judy at 54.5% and openhands at 47.7%.</w:t>
      </w:r>
    </w:p>
    <w:p>
      <w:pPr>
        <w:keepNext w:val="0"/>
      </w:pPr>
      <w:r>
        <w:rPr>
          <w:rFonts w:ascii="Calibri" w:hAnsi="Calibri"/>
        </w:rPr>
        <w:t>Interpretation: repeated actions are invisible from final outcome alone. They require step-level trajectory analysis.</w:t>
      </w:r>
    </w:p>
    <w:p>
      <w:r>
        <w:br w:type="page"/>
      </w:r>
    </w:p>
    <w:p>
      <w:pPr>
        <w:pStyle w:val="Heading1"/>
        <w:keepNext/>
      </w:pPr>
      <w:r>
        <w:t>4. Where Do Successful And Failed Trajectories Diverge?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Terminal-Bench failed trajectory runs had higher medians than successful runs: 499 sec vs. 283 sec, 22 vs. 18 steps, and 25 vs. 23 tool calls. SWE-agent failed runs also used more steps and tool calls, with repeat rate 7.9% vs. 1.8%.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04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jectory_di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5. Failed trajectories show heavier execution patterns before final outcome.</w:t>
      </w:r>
    </w:p>
    <w:tbl>
      <w:tblPr>
        <w:tblStyle w:val="TableGrid"/>
        <w:jc w:val="left"/>
        <w:tblLook w:firstColumn="1" w:firstRow="1" w:lastColumn="0" w:lastRow="0" w:noHBand="0" w:noVBand="1" w:val="04A0"/>
        <w:tblW w:w="9300" w:type="dxa"/>
        <w:tblInd w:w="120" w:type="dxa"/>
        <w:tblLayout w:type="fixed"/>
      </w:tblPr>
      <w:tblGrid>
        <w:gridCol w:w="1700"/>
        <w:gridCol w:w="2700"/>
        <w:gridCol w:w="2700"/>
        <w:gridCol w:w="2200"/>
      </w:tblGrid>
      <w:tr>
        <w:trPr>
          <w:tblHeader w:val="true"/>
        </w:trP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Dataset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Failed trajectory profile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Successful trajectory profile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Most useful signal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499 sec; 22 steps; 25 tool calls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283 sec; 18 steps; 23 tool calls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Error rate 10.0% failed vs. 7.6% successful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 steps; 19 tool calls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 steps; 12 tool calls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Repeat rate 7.9% failed vs. 1.8% successful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trajectory signals can reveal a run going bad before the final answer is submitted.</w:t>
      </w:r>
    </w:p>
    <w:p>
      <w:r>
        <w:br w:type="page"/>
      </w:r>
    </w:p>
    <w:p>
      <w:pPr>
        <w:pStyle w:val="Heading1"/>
        <w:keepNext/>
      </w:pPr>
      <w:r>
        <w:t>5. How Much Could Early Stopping Save?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On Terminal-Bench, conservative early stopping could have saved about $1,495.83, 121,855 trajectory events, and 452.8 hours. It would trigger on 2,288 runs, or 4.4% of all runs.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641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arly_stop_sav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6. Conservative early-stop savings by individual policy.</w:t>
      </w:r>
    </w:p>
    <w:tbl>
      <w:tblPr>
        <w:tblStyle w:val="TableGrid"/>
        <w:jc w:val="left"/>
        <w:tblLook w:firstColumn="1" w:firstRow="1" w:lastColumn="0" w:lastRow="0" w:noHBand="0" w:noVBand="1" w:val="04A0"/>
        <w:tblW w:w="9500" w:type="dxa"/>
        <w:tblInd w:w="120" w:type="dxa"/>
        <w:tblLayout w:type="fixed"/>
      </w:tblPr>
      <w:tblGrid>
        <w:gridCol w:w="2600"/>
        <w:gridCol w:w="1900"/>
        <w:gridCol w:w="1500"/>
        <w:gridCol w:w="1700"/>
        <w:gridCol w:w="1800"/>
      </w:tblGrid>
      <w:tr>
        <w:trPr>
          <w:tblHeader w:val="true"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Policy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Conservative triggers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Saved events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Estimated saved cost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Estimated saved duration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same result no progress burst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840 (1.6%)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52,002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$1,001.14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209.3 hours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five consecutive errors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1,516 (2.9%)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72,972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$504.66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256.7 hours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third identical failed action result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 (0.1%)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1,863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$4.68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7.6 hours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stopping policy is a concrete efficiency lever. The best single policy in this run was same_result_no_progress_burst, saving about $1,001 conservatively.</w:t>
      </w:r>
    </w:p>
    <w:p>
      <w:r>
        <w:br w:type="page"/>
      </w:r>
    </w:p>
    <w:p>
      <w:pPr>
        <w:pStyle w:val="Heading1"/>
        <w:keepNext/>
      </w:pPr>
      <w:r>
        <w:t>6. Does The Same Model Behave Differently Under Different Scaffolds?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Yes. In Terminal-Bench trajectory runs for gpt-5@openai, pass rate ranged from 53.1% under codex to about 35.0% under mini-swe-agent, with large duration differences across scaffolds.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512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me_model_scaffo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7. Same model, different scaffold outcomes for gpt-5@openai.</w:t>
      </w:r>
    </w:p>
    <w:tbl>
      <w:tblPr>
        <w:tblStyle w:val="TableGrid"/>
        <w:jc w:val="left"/>
        <w:tblLook w:firstColumn="1" w:firstRow="1" w:lastColumn="0" w:lastRow="0" w:noHBand="0" w:noVBand="1" w:val="04A0"/>
        <w:tblW w:w="9300" w:type="dxa"/>
        <w:tblInd w:w="120" w:type="dxa"/>
        <w:tblLayout w:type="fixed"/>
      </w:tblPr>
      <w:tblGrid>
        <w:gridCol w:w="1800"/>
        <w:gridCol w:w="1300"/>
        <w:gridCol w:w="1400"/>
        <w:gridCol w:w="1800"/>
        <w:gridCol w:w="1500"/>
        <w:gridCol w:w="1500"/>
      </w:tblGrid>
      <w:tr>
        <w:trPr>
          <w:tblHeader w:val="true"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Agent scaffold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Runs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Pass rate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Median duration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Median steps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Median tool calls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codex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53.1%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213 sec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openhands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44.7%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946 sec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terminus-2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35.6%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506 sec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mini-swe-agent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432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35.0%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519 sec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model-only benchmarking is incomplete. The harness, tools, context strategy, retry behavior, and verification loop can materially change the outcome for the same model.</w:t>
      </w:r>
    </w:p>
    <w:p>
      <w:r>
        <w:br w:type="page"/>
      </w:r>
    </w:p>
    <w:p>
      <w:pPr>
        <w:pStyle w:val="Heading1"/>
        <w:keepNext/>
      </w:pPr>
      <w:r>
        <w:t>7. What Are The Most Expensive Failure Patterns?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By estimated avoidable waste, possible missing verification and tool execution failure are the top Terminal-Bench patterns. By total observed spend trapped in failed runs, tool execution failure is much larger, with about $9,522 in observed cost.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696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ailure_pattern_c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i/>
          <w:color w:val="687381"/>
          <w:sz w:val="18"/>
        </w:rPr>
        <w:t>Figure 8. Estimated avoidable Terminal-Bench cost by failure pattern.</w:t>
      </w:r>
    </w:p>
    <w:tbl>
      <w:tblPr>
        <w:tblStyle w:val="TableGrid"/>
        <w:jc w:val="left"/>
        <w:tblLook w:firstColumn="1" w:firstRow="1" w:lastColumn="0" w:lastRow="0" w:noHBand="0" w:noVBand="1" w:val="04A0"/>
        <w:tblW w:w="9300" w:type="dxa"/>
        <w:tblInd w:w="120" w:type="dxa"/>
        <w:tblLayout w:type="fixed"/>
      </w:tblPr>
      <w:tblGrid>
        <w:gridCol w:w="2700"/>
        <w:gridCol w:w="1200"/>
        <w:gridCol w:w="1300"/>
        <w:gridCol w:w="2100"/>
        <w:gridCol w:w="2000"/>
      </w:tblGrid>
      <w:tr>
        <w:trPr>
          <w:tblHeader w:val="true"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Failure pattern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Runs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Failed runs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Estimated avoidable cost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Observed cost in pattern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Possible Missing Verification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7,630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7,630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$75.76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$3,541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Tool Execution Failure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9,034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9,034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$65.53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$9,522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Major Rule Based Failure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11,079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$30.81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$3,435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Excessive Exploration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$22.54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$939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Unclassified Failure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5,774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5,774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$11.21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$1,406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Repeated Failed Approach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$9.68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$70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 Failure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$1.30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$2,082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teams should prioritize failure patterns by economic impact, not only by count. Tool execution failure has 9,034 runs and $9,522 observed cost in this analysis.</w:t>
      </w:r>
    </w:p>
    <w:p>
      <w:r>
        <w:br w:type="page"/>
      </w:r>
    </w:p>
    <w:p>
      <w:pPr>
        <w:pStyle w:val="Heading1"/>
        <w:keepNext/>
      </w:pPr>
      <w:r>
        <w:t>8. Why Is Pass Rate Alone A Weak Agent Benchmark?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Direct answer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Terminal-Bench pass rate is 39.6%, but only 66.1% of runs have usable trajectories. SWE-agent pass rate is 16.7% on 80,036 full processed runs, but cost and duration are unavailable. Pass rate answers whether a run worked; it does not answer why, at what cost, or what system behavior caused the result.</w:t>
            </w:r>
          </w:p>
        </w:tc>
      </w:tr>
    </w:tbl>
    <w:p>
      <w:pPr>
        <w:spacing w:after="40"/>
      </w:pP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2300"/>
        <w:gridCol w:w="1900"/>
        <w:gridCol w:w="5000"/>
      </w:tblGrid>
      <w:tr>
        <w:trPr>
          <w:tblHeader w:val="true"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Outcome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Pass/fail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Useful but too coarse for system improvement.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Observability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trajectory coverage 66.1%; SWE-agent 100.0%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run without a trajectory cannot support detailed RCA.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FinOps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cost available; SWE-agent cost unavailable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Cost-per-success claims need measured cost fields.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Tool errors, missing verification, repeats, late failures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These require step-level signals, not only final reward.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Cutoff and metadata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SWE-agent source last modified 2024-12-23T12:42:05+00:00; snapshot cutoff unavailable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Benchmark claims should disclose coverage and missing metadata.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</w:rPr>
        <w:t>Interpretation: stronger agent evaluation combines pass rate with trajectory coverage, cost per success, wasted actions, error events, repeat behavior, verification behavior, and root-cause classification.</w:t>
      </w:r>
    </w:p>
    <w:p>
      <w:r>
        <w:br w:type="page"/>
      </w:r>
    </w:p>
    <w:p>
      <w:pPr>
        <w:pStyle w:val="Heading1"/>
        <w:keepNext/>
      </w:pPr>
      <w:r>
        <w:t>Controlled RCA Proof: AFWB Foundation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Why this matters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AFWB Foundation is not a public-scale benchmark. It is a deterministic proof layer with 4 scenarios that name the root cause, first observable failure, remediation, and avoidable usage.</w:t>
            </w:r>
          </w:p>
        </w:tc>
      </w:tr>
    </w:tbl>
    <w:p>
      <w:pPr>
        <w:spacing w:after="40"/>
      </w:pPr>
    </w:p>
    <w:tbl>
      <w:tblPr>
        <w:tblStyle w:val="TableGrid"/>
        <w:jc w:val="left"/>
        <w:tblLook w:firstColumn="1" w:firstRow="1" w:lastColumn="0" w:lastRow="0" w:noHBand="0" w:noVBand="1" w:val="04A0"/>
        <w:tblW w:w="9400" w:type="dxa"/>
        <w:tblInd w:w="120" w:type="dxa"/>
        <w:tblLayout w:type="fixed"/>
      </w:tblPr>
      <w:tblGrid>
        <w:gridCol w:w="2300"/>
        <w:gridCol w:w="2500"/>
        <w:gridCol w:w="2500"/>
        <w:gridCol w:w="2100"/>
      </w:tblGrid>
      <w:tr>
        <w:trPr>
          <w:tblHeader w:val="true"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Scenario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Root cause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Remediation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Avoidable usage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invalid_booking_date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TOOL_ARGUMENT_ERROR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ARGUMENT_SCHEMA_VALIDATION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tool calls; 125 ms; 114 tokens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duplicate_payment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SIDE_EFFECT_DUPLICATION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IDEMPOTENCY_KEY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tool calls; 214 ms; 100 tokens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infinite_retry_terminal_error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TOOL_RETRY_STORM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RETRY_POLICY_CHANGE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tool calls; 190 ms; 0 tokens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missing_loop_exit_condition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LOOP_NON_TERMINATION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TERMINATION_CONDITION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tool calls; 152 ms; 128 tokens</w:t>
            </w:r>
          </w:p>
        </w:tc>
      </w:tr>
    </w:tbl>
    <w:p>
      <w:pPr>
        <w:spacing w:after="80"/>
      </w:pP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2300"/>
        <w:gridCol w:w="1900"/>
        <w:gridCol w:w="5000"/>
      </w:tblGrid>
      <w:tr>
        <w:trPr>
          <w:tblHeader w:val="true"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Avoidable tool calls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Shows excess tool usage in controlled failures.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Avoidable latency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681 ms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Measures delay from preventable behavior.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Avoidable tokens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342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Captures prompt/output overhead in controlled failures.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What These Benchmarks Let Teams Ask</w:t>
      </w:r>
    </w:p>
    <w:p>
      <w:pPr>
        <w:keepNext w:val="0"/>
      </w:pPr>
      <w:r>
        <w:rPr>
          <w:rFonts w:ascii="Calibri" w:hAnsi="Calibri"/>
        </w:rPr>
        <w:t>The common thread across the datasets is not a single universal ranking. It is a set of operational questions that pass rate alone cannot answer.</w:t>
      </w:r>
    </w:p>
    <w:tbl>
      <w:tblPr>
        <w:tblStyle w:val="TableGrid"/>
        <w:jc w:val="left"/>
        <w:tblLook w:firstColumn="1" w:firstRow="1" w:lastColumn="0" w:lastRow="0" w:noHBand="0" w:noVBand="1" w:val="04A0"/>
        <w:tblW w:w="9000" w:type="dxa"/>
        <w:tblInd w:w="120" w:type="dxa"/>
        <w:tblLayout w:type="fixed"/>
      </w:tblPr>
      <w:tblGrid>
        <w:gridCol w:w="2700"/>
        <w:gridCol w:w="3000"/>
        <w:gridCol w:w="3300"/>
      </w:tblGrid>
      <w:tr>
        <w:trPr>
          <w:tblHeader w:val="true"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Operational question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Benchmark evidence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the answer matters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Where is budget being wasted?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cost, duration, and waste estimates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Prioritize failures by dollars and time.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Which failures are preventable?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AFWB root-cause and remediation labels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Separate model limits from system design issues.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Which runs should stop earlier?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Terminal-Bench early-stop simulations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Reduce cost and delay from hopeless loops.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Which successful runs are fragile?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Successful-run errors, repeats, and wasted actions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Improve reliability even when pass rate looks acceptable.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 the model or scaffold responsible?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Same-model, different-scaffold comparison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Tune harness and tool interface before defaulting to model replacement.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Can we trust the benchmark row?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Trajectory, cost, duration, and cutoff coverage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Avoid making claims from missing or incompatible fields.</w:t>
            </w:r>
          </w:p>
        </w:tc>
      </w:tr>
    </w:tbl>
    <w:p>
      <w:pPr>
        <w:spacing w:after="80"/>
      </w:pP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Do not combine these into one universal leaderboard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Terminal-Bench, SWE-agent, and AFWB answer different questions. A credible evaluation keeps benchmark families separate and compares systems only within compatible measurement contexts.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How Lumniverse Helps</w:t>
      </w:r>
    </w:p>
    <w:tbl>
      <w:tblPr>
        <w:jc w:val="left"/>
        <w:tblLook w:firstColumn="1" w:firstRow="1" w:lastColumn="0" w:lastRow="0" w:noHBand="0" w:noVBand="1" w:val="04A0"/>
        <w:tblW w:w="912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Solution thesis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Lumniverse turns agent trajectories into operational intelligence: why agents fail, where they waste money and time, which scaffold behaviors drive outcomes, and what teams should change next.</w:t>
            </w:r>
          </w:p>
        </w:tc>
      </w:tr>
    </w:tbl>
    <w:p>
      <w:pPr>
        <w:spacing w:after="40"/>
      </w:pPr>
    </w:p>
    <w:tbl>
      <w:tblPr>
        <w:tblStyle w:val="TableGrid"/>
        <w:jc w:val="left"/>
        <w:tblLook w:firstColumn="1" w:firstRow="1" w:lastColumn="0" w:lastRow="0" w:noHBand="0" w:noVBand="1" w:val="04A0"/>
        <w:tblW w:w="9200" w:type="dxa"/>
        <w:tblInd w:w="120" w:type="dxa"/>
        <w:tblLayout w:type="fixed"/>
      </w:tblPr>
      <w:tblGrid>
        <w:gridCol w:w="3100"/>
        <w:gridCol w:w="3000"/>
        <w:gridCol w:w="3100"/>
      </w:tblGrid>
      <w:tr>
        <w:trPr>
          <w:tblHeader w:val="true"/>
        </w:trP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Problem exposed by the benchmarks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Lumniverse capability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4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Practical outcome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Failed runs burn budget before failing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 and waste attribution by run, task, model, and scaffold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can quantify the economic impact of failure.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Successful runs hide waste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Trajectory-level efficiency scoring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can optimize passing runs, not only failing ones.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Agents repeat failed actions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Loop, retry, and same-result detection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can set better stop, retry, and escalation policies.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Model-only benchmarks mislead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 + scaffold + tool comparison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can improve harness design instead of only swapping models.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Root cause is unclear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RCA for tool, context, verification, retry, and submit failures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get actionable explanations, not just aggregate scores.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Benchmark findings do not automatically transfer to production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Benchmark-to-production observability layer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 can monitor the same failure modes in live agent systems.</w:t>
            </w:r>
          </w:p>
        </w:tc>
      </w:tr>
    </w:tbl>
    <w:p>
      <w:pPr>
        <w:spacing w:after="80"/>
      </w:pPr>
    </w:p>
    <w:p>
      <w:pPr>
        <w:keepNext w:val="0"/>
      </w:pPr>
      <w:r>
        <w:rPr>
          <w:rFonts w:ascii="Calibri" w:hAnsi="Calibri"/>
          <w:b/>
          <w:color w:val="0B2545"/>
        </w:rPr>
        <w:t>The product value is deliberately downstream of the evidence: benchmarks reveal that pass rate is insufficient; Lumniverse gives teams the trajectory intelligence needed to act on that reality.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87381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1" w:color="D9E2EC"/>
      </w:pBdr>
    </w:pPr>
    <w:r>
      <w:rPr>
        <w:rFonts w:ascii="Calibri" w:hAnsi="Calibri"/>
        <w:color w:val="687381"/>
        <w:sz w:val="18"/>
      </w:rPr>
      <w:t>Agent Efficiency Benchmark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/>
      <w:bCs/>
      <w:color w:val="68738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