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line="269" w:lineRule="auto" w:after="60"/>
        <w:jc w:val="center"/>
      </w:pPr>
      <w:r>
        <w:rPr>
          <w:rFonts w:ascii="Aptos Display" w:hAnsi="Aptos Display"/>
          <w:b/>
          <w:bCs/>
          <w:color w:val="000000"/>
          <w:sz w:val="46"/>
          <w:szCs w:val="44"/>
        </w:rPr>
        <w:t xml:space="preserve">AI MODELLERİNİN KARBON EMİSYONU</w:t>
      </w:r>
    </w:p>
    <w:p>
      <w:pPr>
        <w:spacing w:after="60" w:line="269" w:lineRule="auto"/>
        <w:jc w:val="center"/>
      </w:pPr>
      <w:r>
        <w:rPr>
          <w:rFonts w:ascii="Aptos Display" w:hAnsi="Aptos Display"/>
          <w:b/>
          <w:bCs/>
          <w:color w:val="000000"/>
          <w:sz w:val="46"/>
          <w:szCs w:val="44"/>
        </w:rPr>
        <w:t xml:space="preserve">ANALİZİ, TAHMİNİ VE RAPORLANMASI</w:t>
      </w:r>
    </w:p>
    <w:p>
      <w:pPr>
        <w:spacing w:after="120" w:before="300" w:line="269" w:lineRule="auto"/>
        <w:jc w:val="center"/>
      </w:pPr>
      <w:r>
        <w:rPr>
          <w:rFonts w:ascii="Aptos" w:hAnsi="Aptos"/>
          <w:b w:val="0"/>
          <w:i/>
          <w:iCs/>
          <w:color w:val="646464"/>
          <w:sz w:val="28"/>
          <w:szCs w:val="28"/>
        </w:rPr>
        <w:t xml:space="preserve">Proje Teknik Raporu</w:t>
      </w:r>
    </w:p>
    <w:p>
      <w:pPr>
        <w:spacing w:before="900" w:line="269" w:lineRule="auto" w:after="120"/>
        <w:jc w:val="center"/>
      </w:pPr>
      <w:r>
        <w:rPr>
          <w:rFonts w:ascii="Aptos" w:hAnsi="Aptos"/>
          <w:b/>
          <w:color w:val="232323"/>
          <w:sz w:val="22"/>
          <w:szCs w:val="22"/>
        </w:rPr>
        <w:t xml:space="preserve">Veri Analizi Kursu — Bitirme Projesi</w:t>
      </w:r>
    </w:p>
    <w:p>
      <w:pPr>
        <w:spacing w:before="100" w:line="269" w:lineRule="auto" w:after="120"/>
        <w:jc w:val="center"/>
      </w:pPr>
      <w:r>
        <w:rPr>
          <w:rFonts w:ascii="Aptos" w:hAnsi="Aptos"/>
          <w:color w:val="646464"/>
          <w:sz w:val="19"/>
          <w:szCs w:val="22"/>
        </w:rPr>
        <w:t xml:space="preserve">Hazırlanma Tarihi: 18 Ağustos 2026</w:t>
      </w:r>
    </w:p>
    <w:p>
      <w:r>
        <w:br w:type="page"/>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6"/>
          <w:szCs w:val="30"/>
        </w:rPr>
        <w:t xml:space="preserve">İçindekiler</w:t>
      </w:r>
    </w:p>
    <w:p>
      <w:pPr>
        <w:spacing w:after="120" w:line="269" w:lineRule="auto"/>
      </w:pPr>
      <w:r>
        <w:rPr>
          <w:rFonts w:ascii="Aptos" w:hAnsi="Aptos"/>
          <w:color w:val="232323"/>
          <w:sz w:val="21"/>
          <w:szCs w:val="21"/>
        </w:rPr>
        <w:t xml:space="preserve">1. Giriş ve Projenin Amacı</w:t>
      </w:r>
    </w:p>
    <w:p>
      <w:pPr>
        <w:spacing w:after="120" w:line="269" w:lineRule="auto"/>
      </w:pPr>
      <w:r>
        <w:rPr>
          <w:rFonts w:ascii="Aptos" w:hAnsi="Aptos"/>
          <w:color w:val="232323"/>
          <w:sz w:val="21"/>
          <w:szCs w:val="21"/>
        </w:rPr>
        <w:t xml:space="preserve">2. Veri Setinin Tanıtılması</w:t>
      </w:r>
    </w:p>
    <w:p>
      <w:pPr>
        <w:spacing w:after="120" w:line="269" w:lineRule="auto"/>
      </w:pPr>
      <w:r>
        <w:rPr>
          <w:rFonts w:ascii="Aptos" w:hAnsi="Aptos"/>
          <w:color w:val="232323"/>
          <w:sz w:val="21"/>
          <w:szCs w:val="21"/>
        </w:rPr>
        <w:t xml:space="preserve">3. Temel Keşifsel Veri Analizi (EDA)</w:t>
      </w:r>
    </w:p>
    <w:p>
      <w:pPr>
        <w:spacing w:after="120" w:line="269" w:lineRule="auto"/>
      </w:pPr>
      <w:r>
        <w:rPr>
          <w:rFonts w:ascii="Aptos" w:hAnsi="Aptos"/>
          <w:color w:val="232323"/>
          <w:sz w:val="21"/>
          <w:szCs w:val="21"/>
        </w:rPr>
        <w:t xml:space="preserve">4. İleri Seviye EDA</w:t>
      </w:r>
    </w:p>
    <w:p>
      <w:pPr>
        <w:spacing w:after="120" w:line="269" w:lineRule="auto"/>
      </w:pPr>
      <w:r>
        <w:rPr>
          <w:rFonts w:ascii="Aptos" w:hAnsi="Aptos"/>
          <w:color w:val="232323"/>
          <w:sz w:val="21"/>
          <w:szCs w:val="21"/>
        </w:rPr>
        <w:t xml:space="preserve">5. Data Leakage Ön İncelemesi</w:t>
      </w:r>
    </w:p>
    <w:p>
      <w:pPr>
        <w:spacing w:after="120" w:line="269" w:lineRule="auto"/>
      </w:pPr>
      <w:r>
        <w:rPr>
          <w:rFonts w:ascii="Aptos" w:hAnsi="Aptos"/>
          <w:color w:val="232323"/>
          <w:sz w:val="21"/>
          <w:szCs w:val="21"/>
        </w:rPr>
        <w:t xml:space="preserve">6. Feature Engineering</w:t>
      </w:r>
    </w:p>
    <w:p>
      <w:pPr>
        <w:spacing w:after="120" w:line="269" w:lineRule="auto"/>
      </w:pPr>
      <w:r>
        <w:rPr>
          <w:rFonts w:ascii="Aptos" w:hAnsi="Aptos"/>
          <w:color w:val="232323"/>
          <w:sz w:val="21"/>
          <w:szCs w:val="21"/>
        </w:rPr>
        <w:t xml:space="preserve">7. Feature Setlerinin Ayrılması</w:t>
      </w:r>
    </w:p>
    <w:p>
      <w:pPr>
        <w:spacing w:after="120" w:line="269" w:lineRule="auto"/>
      </w:pPr>
      <w:r>
        <w:rPr>
          <w:rFonts w:ascii="Aptos" w:hAnsi="Aptos"/>
          <w:color w:val="232323"/>
          <w:sz w:val="21"/>
          <w:szCs w:val="21"/>
        </w:rPr>
        <w:t xml:space="preserve">8. Modelleme Öncesi Validasyon</w:t>
      </w:r>
    </w:p>
    <w:p>
      <w:pPr>
        <w:spacing w:after="120" w:line="269" w:lineRule="auto"/>
      </w:pPr>
      <w:r>
        <w:rPr>
          <w:rFonts w:ascii="Aptos" w:hAnsi="Aptos"/>
          <w:color w:val="232323"/>
          <w:sz w:val="21"/>
          <w:szCs w:val="21"/>
        </w:rPr>
        <w:t xml:space="preserve">9. Modelleme Stratejisi ve Target Değişkeni</w:t>
      </w:r>
    </w:p>
    <w:p>
      <w:pPr>
        <w:spacing w:after="120" w:line="269" w:lineRule="auto"/>
      </w:pPr>
      <w:r>
        <w:rPr>
          <w:rFonts w:ascii="Aptos" w:hAnsi="Aptos"/>
          <w:color w:val="232323"/>
          <w:sz w:val="21"/>
          <w:szCs w:val="21"/>
        </w:rPr>
        <w:t xml:space="preserve">10. Modelleme Veri Setinin Hazırlanması ve Train/Test Split</w:t>
      </w:r>
    </w:p>
    <w:p>
      <w:pPr>
        <w:spacing w:after="120" w:line="269" w:lineRule="auto"/>
      </w:pPr>
      <w:r>
        <w:rPr>
          <w:rFonts w:ascii="Aptos" w:hAnsi="Aptos"/>
          <w:color w:val="232323"/>
          <w:sz w:val="21"/>
          <w:szCs w:val="21"/>
        </w:rPr>
        <w:t xml:space="preserve">11. Baseline Model (DummyRegressor)</w:t>
      </w:r>
    </w:p>
    <w:p>
      <w:pPr>
        <w:spacing w:after="120" w:line="269" w:lineRule="auto"/>
      </w:pPr>
      <w:r>
        <w:rPr>
          <w:rFonts w:ascii="Aptos" w:hAnsi="Aptos"/>
          <w:color w:val="232323"/>
          <w:sz w:val="21"/>
          <w:szCs w:val="21"/>
        </w:rPr>
        <w:t xml:space="preserve">12. Linear Regression</w:t>
      </w:r>
    </w:p>
    <w:p>
      <w:pPr>
        <w:spacing w:after="120" w:line="269" w:lineRule="auto"/>
      </w:pPr>
      <w:r>
        <w:rPr>
          <w:rFonts w:ascii="Aptos" w:hAnsi="Aptos"/>
          <w:color w:val="232323"/>
          <w:sz w:val="21"/>
          <w:szCs w:val="21"/>
        </w:rPr>
        <w:t xml:space="preserve">13. XGBoost Regressor</w:t>
      </w:r>
    </w:p>
    <w:p>
      <w:pPr>
        <w:spacing w:after="120" w:line="269" w:lineRule="auto"/>
      </w:pPr>
      <w:r>
        <w:rPr>
          <w:rFonts w:ascii="Aptos" w:hAnsi="Aptos"/>
          <w:color w:val="232323"/>
          <w:sz w:val="21"/>
          <w:szCs w:val="21"/>
        </w:rPr>
        <w:t xml:space="preserve">14. Model Değerlendirme Metrikleri</w:t>
      </w:r>
    </w:p>
    <w:p>
      <w:pPr>
        <w:spacing w:after="120" w:line="269" w:lineRule="auto"/>
      </w:pPr>
      <w:r>
        <w:rPr>
          <w:rFonts w:ascii="Aptos" w:hAnsi="Aptos"/>
          <w:color w:val="232323"/>
          <w:sz w:val="21"/>
          <w:szCs w:val="21"/>
        </w:rPr>
        <w:t xml:space="preserve">15. Overfitting Analizi</w:t>
      </w:r>
    </w:p>
    <w:p>
      <w:pPr>
        <w:spacing w:after="120" w:line="269" w:lineRule="auto"/>
      </w:pPr>
      <w:r>
        <w:rPr>
          <w:rFonts w:ascii="Aptos" w:hAnsi="Aptos"/>
          <w:color w:val="232323"/>
          <w:sz w:val="21"/>
          <w:szCs w:val="21"/>
        </w:rPr>
        <w:t xml:space="preserve">16. 5-Fold Cross Validation</w:t>
      </w:r>
    </w:p>
    <w:p>
      <w:pPr>
        <w:spacing w:after="120" w:line="269" w:lineRule="auto"/>
      </w:pPr>
      <w:r>
        <w:rPr>
          <w:rFonts w:ascii="Aptos" w:hAnsi="Aptos"/>
          <w:color w:val="232323"/>
          <w:sz w:val="21"/>
          <w:szCs w:val="21"/>
        </w:rPr>
        <w:t xml:space="preserve">17. XGBoost Regularization ve Hyperparameter Tuning</w:t>
      </w:r>
    </w:p>
    <w:p>
      <w:pPr>
        <w:spacing w:after="120" w:line="269" w:lineRule="auto"/>
      </w:pPr>
      <w:r>
        <w:rPr>
          <w:rFonts w:ascii="Aptos" w:hAnsi="Aptos"/>
          <w:color w:val="232323"/>
          <w:sz w:val="21"/>
          <w:szCs w:val="21"/>
        </w:rPr>
        <w:t xml:space="preserve">18. Original XGBoost vs Tuned XGBoost</w:t>
      </w:r>
    </w:p>
    <w:p>
      <w:pPr>
        <w:spacing w:after="120" w:line="269" w:lineRule="auto"/>
      </w:pPr>
      <w:r>
        <w:rPr>
          <w:rFonts w:ascii="Aptos" w:hAnsi="Aptos"/>
          <w:color w:val="232323"/>
          <w:sz w:val="21"/>
          <w:szCs w:val="21"/>
        </w:rPr>
        <w:t xml:space="preserve">19. Feature Importance</w:t>
      </w:r>
    </w:p>
    <w:p>
      <w:pPr>
        <w:spacing w:after="120" w:line="269" w:lineRule="auto"/>
      </w:pPr>
      <w:r>
        <w:rPr>
          <w:rFonts w:ascii="Aptos" w:hAnsi="Aptos"/>
          <w:color w:val="232323"/>
          <w:sz w:val="21"/>
          <w:szCs w:val="21"/>
        </w:rPr>
        <w:t xml:space="preserve">20. Method Feature'ının Özel Testi</w:t>
      </w:r>
    </w:p>
    <w:p>
      <w:pPr>
        <w:spacing w:after="120" w:line="269" w:lineRule="auto"/>
      </w:pPr>
      <w:r>
        <w:rPr>
          <w:rFonts w:ascii="Aptos" w:hAnsi="Aptos"/>
          <w:color w:val="232323"/>
          <w:sz w:val="21"/>
          <w:szCs w:val="21"/>
        </w:rPr>
        <w:t xml:space="preserve">21. Residual / Error Analysis</w:t>
      </w:r>
    </w:p>
    <w:p>
      <w:pPr>
        <w:spacing w:after="120" w:line="269" w:lineRule="auto"/>
      </w:pPr>
      <w:r>
        <w:rPr>
          <w:rFonts w:ascii="Aptos" w:hAnsi="Aptos"/>
          <w:color w:val="232323"/>
          <w:sz w:val="21"/>
          <w:szCs w:val="21"/>
        </w:rPr>
        <w:t xml:space="preserve">22. Yüksek Emisyonlu Modeller / Outlier Analizi</w:t>
      </w:r>
    </w:p>
    <w:p>
      <w:pPr>
        <w:spacing w:after="120" w:line="269" w:lineRule="auto"/>
      </w:pPr>
      <w:r>
        <w:rPr>
          <w:rFonts w:ascii="Aptos" w:hAnsi="Aptos"/>
          <w:color w:val="232323"/>
          <w:sz w:val="21"/>
          <w:szCs w:val="21"/>
        </w:rPr>
        <w:t xml:space="preserve">23. Final Model Seçimi</w:t>
      </w:r>
    </w:p>
    <w:p>
      <w:pPr>
        <w:spacing w:after="120" w:line="269" w:lineRule="auto"/>
      </w:pPr>
      <w:r>
        <w:rPr>
          <w:rFonts w:ascii="Aptos" w:hAnsi="Aptos"/>
          <w:color w:val="232323"/>
          <w:sz w:val="21"/>
          <w:szCs w:val="21"/>
        </w:rPr>
        <w:t xml:space="preserve">24. Hybrid Carbon Estimation System</w:t>
      </w:r>
    </w:p>
    <w:p>
      <w:pPr>
        <w:spacing w:after="120" w:line="269" w:lineRule="auto"/>
      </w:pPr>
      <w:r>
        <w:rPr>
          <w:rFonts w:ascii="Aptos" w:hAnsi="Aptos"/>
          <w:color w:val="232323"/>
          <w:sz w:val="21"/>
          <w:szCs w:val="21"/>
        </w:rPr>
        <w:t xml:space="preserve">25. Confidence Score</w:t>
      </w:r>
    </w:p>
    <w:p>
      <w:pPr>
        <w:spacing w:after="120" w:line="269" w:lineRule="auto"/>
      </w:pPr>
      <w:r>
        <w:rPr>
          <w:rFonts w:ascii="Aptos" w:hAnsi="Aptos"/>
          <w:color w:val="232323"/>
          <w:sz w:val="21"/>
          <w:szCs w:val="21"/>
        </w:rPr>
        <w:t xml:space="preserve">26. Final Sustainability Score</w:t>
      </w:r>
    </w:p>
    <w:p>
      <w:pPr>
        <w:spacing w:after="120" w:line="269" w:lineRule="auto"/>
      </w:pPr>
      <w:r>
        <w:rPr>
          <w:rFonts w:ascii="Aptos" w:hAnsi="Aptos"/>
          <w:color w:val="232323"/>
          <w:sz w:val="21"/>
          <w:szCs w:val="21"/>
        </w:rPr>
        <w:t xml:space="preserve">27. Final Teknik Çıktı</w:t>
      </w:r>
    </w:p>
    <w:p>
      <w:pPr>
        <w:spacing w:after="120" w:line="269" w:lineRule="auto"/>
      </w:pPr>
      <w:r>
        <w:rPr>
          <w:rFonts w:ascii="Aptos" w:hAnsi="Aptos"/>
          <w:color w:val="232323"/>
          <w:sz w:val="21"/>
          <w:szCs w:val="21"/>
        </w:rPr>
        <w:t xml:space="preserve">28. Final Modelin Tüm Veri Üzerinde Yeniden Eğitilmesi</w:t>
      </w:r>
    </w:p>
    <w:p>
      <w:pPr>
        <w:spacing w:after="120" w:line="269" w:lineRule="auto"/>
      </w:pPr>
      <w:r>
        <w:rPr>
          <w:rFonts w:ascii="Aptos" w:hAnsi="Aptos"/>
          <w:color w:val="232323"/>
          <w:sz w:val="21"/>
          <w:szCs w:val="21"/>
        </w:rPr>
        <w:t xml:space="preserve">29. Model ve Artefaktların Kaydedilmesi</w:t>
      </w:r>
    </w:p>
    <w:p>
      <w:pPr>
        <w:spacing w:after="120" w:line="269" w:lineRule="auto"/>
      </w:pPr>
      <w:r>
        <w:rPr>
          <w:rFonts w:ascii="Aptos" w:hAnsi="Aptos"/>
          <w:color w:val="232323"/>
          <w:sz w:val="21"/>
          <w:szCs w:val="21"/>
        </w:rPr>
        <w:t xml:space="preserve">30. Round-Trip / Model Yükleme Testi</w:t>
      </w:r>
    </w:p>
    <w:p>
      <w:pPr>
        <w:spacing w:after="120" w:line="269" w:lineRule="auto"/>
      </w:pPr>
      <w:r>
        <w:rPr>
          <w:rFonts w:ascii="Aptos" w:hAnsi="Aptos"/>
          <w:color w:val="232323"/>
          <w:sz w:val="21"/>
          <w:szCs w:val="21"/>
        </w:rPr>
        <w:t xml:space="preserve">31. Yeniden Kullanılabilir Tahmin Fonksiyonu</w:t>
      </w:r>
    </w:p>
    <w:p>
      <w:pPr>
        <w:spacing w:after="120" w:line="269" w:lineRule="auto"/>
      </w:pPr>
      <w:r>
        <w:rPr>
          <w:rFonts w:ascii="Aptos" w:hAnsi="Aptos"/>
          <w:color w:val="232323"/>
          <w:sz w:val="21"/>
          <w:szCs w:val="21"/>
        </w:rPr>
        <w:t xml:space="preserve">32. Demo / Final Test</w:t>
      </w:r>
    </w:p>
    <w:p>
      <w:pPr>
        <w:spacing w:after="120" w:line="269" w:lineRule="auto"/>
      </w:pPr>
      <w:r>
        <w:rPr>
          <w:rFonts w:ascii="Aptos" w:hAnsi="Aptos"/>
          <w:color w:val="232323"/>
          <w:sz w:val="21"/>
          <w:szCs w:val="21"/>
        </w:rPr>
        <w:t xml:space="preserve">33. Projenin Tamamlanan İş Akışı</w:t>
      </w:r>
    </w:p>
    <w:p>
      <w:pPr>
        <w:spacing w:after="120" w:line="269" w:lineRule="auto"/>
      </w:pPr>
      <w:r>
        <w:rPr>
          <w:rFonts w:ascii="Aptos" w:hAnsi="Aptos"/>
          <w:color w:val="232323"/>
          <w:sz w:val="21"/>
          <w:szCs w:val="21"/>
        </w:rPr>
        <w:t xml:space="preserve">34. Projenin Güçlü Yönleri</w:t>
      </w:r>
    </w:p>
    <w:p>
      <w:pPr>
        <w:spacing w:after="120" w:line="269" w:lineRule="auto"/>
      </w:pPr>
      <w:r>
        <w:rPr>
          <w:rFonts w:ascii="Aptos" w:hAnsi="Aptos"/>
          <w:color w:val="232323"/>
          <w:sz w:val="21"/>
          <w:szCs w:val="21"/>
        </w:rPr>
        <w:t xml:space="preserve">35. Projenin Sınırlılıkları</w:t>
      </w:r>
    </w:p>
    <w:p>
      <w:pPr>
        <w:spacing w:after="120" w:line="269" w:lineRule="auto"/>
      </w:pPr>
      <w:r>
        <w:rPr>
          <w:rFonts w:ascii="Aptos" w:hAnsi="Aptos"/>
          <w:color w:val="232323"/>
          <w:sz w:val="21"/>
          <w:szCs w:val="21"/>
        </w:rPr>
        <w:t xml:space="preserve">36. Sonuç</w:t>
      </w:r>
    </w:p>
    <w:p>
      <w:r>
        <w:br w:type="page"/>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 Giriş ve Projenin Amacı</w:t>
      </w:r>
    </w:p>
    <w:p>
      <w:pPr>
        <w:spacing w:after="120" w:line="269" w:lineRule="auto"/>
        <w:jc w:val="both"/>
      </w:pPr>
      <w:r>
        <w:rPr>
          <w:rFonts w:ascii="Aptos" w:hAnsi="Aptos"/>
          <w:color w:val="232323"/>
          <w:sz w:val="22"/>
          <w:szCs w:val="22"/>
        </w:rPr>
        <w:t xml:space="preserve">Bu proje, yapay zekâ (AI) modellerinin eğitim sürecinden kaynaklanan karbon emisyonlarını analiz etmeyi, mevcut bilgi yeterli olduğunda bu emisyonu doğrudan hesaplamayı, gerekli bilgiler eksik olduğunda makine öğrenmesi (ML) ile tahmin etmeyi ve elde edilen sonucu kullanıcıya şeffaf, açıklanabilir ve sürdürülebilirlik odaklı biçimde raporlamayı amaçlamaktadır. Projenin temel amacı yalnızca bir regresyon modeli kurup karbon emisyonu tahmin etmek değildir; amaç, gerçek/bildirilen veriyi, fiziksel hesaplamayı ve ML tahminini bir arada kullanan, kaynağını ve güvenilirlik seviyesini açıkça belirten bütünleşik bir karbon değerlendirme sistemi geliştirmektir.</w:t>
      </w:r>
    </w:p>
    <w:p>
      <w:pPr>
        <w:spacing w:after="120" w:line="269" w:lineRule="auto"/>
        <w:jc w:val="both"/>
      </w:pPr>
      <w:r>
        <w:rPr>
          <w:rFonts w:ascii="Aptos" w:hAnsi="Aptos"/>
          <w:color w:val="232323"/>
          <w:sz w:val="22"/>
          <w:szCs w:val="22"/>
        </w:rPr>
        <w:t xml:space="preserve">Bu doğrultuda proje üç temel bileşen üzerine kurulmuştur:</w:t>
      </w:r>
    </w:p>
    <w:p>
      <w:pPr>
        <w:pStyle w:val="ListParagraph"/>
        <w:numPr>
          <w:ilvl w:val="0"/>
          <w:numId w:val="1"/>
        </w:numPr>
        <w:spacing w:after="120" w:line="269" w:lineRule="auto"/>
      </w:pPr>
      <w:r>
        <w:rPr>
          <w:rFonts w:ascii="Aptos" w:hAnsi="Aptos"/>
          <w:color w:val="232323"/>
          <w:sz w:val="22"/>
          <w:szCs w:val="22"/>
        </w:rPr>
        <w:t xml:space="preserve">Direct Carbon Calculation: Elektrik tüketimi ve emisyon faktörü gibi bilgiler mevcut olduğunda karbonun fiziksel formülle doğrudan hesaplanması.</w:t>
      </w:r>
    </w:p>
    <w:p>
      <w:pPr>
        <w:pStyle w:val="ListParagraph"/>
        <w:numPr>
          <w:ilvl w:val="0"/>
          <w:numId w:val="1"/>
        </w:numPr>
        <w:spacing w:after="120" w:line="269" w:lineRule="auto"/>
      </w:pPr>
      <w:r>
        <w:rPr>
          <w:rFonts w:ascii="Aptos" w:hAnsi="Aptos"/>
          <w:color w:val="232323"/>
          <w:sz w:val="22"/>
          <w:szCs w:val="22"/>
        </w:rPr>
        <w:t xml:space="preserve">Machine Learning Prediction: Doğrudan hesaplama için gerekli bilgiler eksik olduğunda, geçmiş verilerden öğrenilen bir modelle emisyonun tahmin edilmesi.</w:t>
      </w:r>
    </w:p>
    <w:p>
      <w:pPr>
        <w:pStyle w:val="ListParagraph"/>
        <w:numPr>
          <w:ilvl w:val="0"/>
          <w:numId w:val="1"/>
        </w:numPr>
        <w:spacing w:after="120" w:line="269" w:lineRule="auto"/>
      </w:pPr>
      <w:r>
        <w:rPr>
          <w:rFonts w:ascii="Aptos" w:hAnsi="Aptos"/>
          <w:color w:val="232323"/>
          <w:sz w:val="22"/>
          <w:szCs w:val="22"/>
        </w:rPr>
        <w:t xml:space="preserve">Reporting / Sustainability Layer: Elde edilen sonucun kaynağı, güvenilirlik seviyesi ve sürdürülebilirlik açısından anlamı ile birlikte kullanıcıya sunulması.</w:t>
      </w:r>
    </w:p>
    <w:p>
      <w:pPr>
        <w:spacing w:after="120" w:line="269" w:lineRule="auto"/>
        <w:jc w:val="both"/>
      </w:pPr>
      <w:r>
        <w:rPr>
          <w:rFonts w:ascii="Aptos" w:hAnsi="Aptos"/>
          <w:color w:val="232323"/>
          <w:sz w:val="22"/>
          <w:szCs w:val="22"/>
        </w:rPr>
        <w:t xml:space="preserve">Bu rapor, projenin şimdiye kadar tamamlanan teknik sürecinin tamamını — veri setinin tanıtılmasından final modelin kaydedilmesine kadar — hangi işlemlerin, neden yapıldığını ve elde edilen sonuçların ne anlama geldiğini açıklamak amacıyla hazırlanmıştır. Rapor yeni bir analiz önermek için değil, tamamlanan çalışmayı belgelemek için yazılmıştır.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 Veri Setinin Tanıtılması</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 açık kaynaklardan derlenmiş AI modellerine ait eğitim ve donanım bilgilerini içeren bir veri seti üzerinde yürütülmüştür. Veri seti başlangıçta 5.227 satır (model kaydı) ve 24 sütun (değişken) içermektedir. Veri setindeki başlıca bilgi grupları şunlardır:</w:t>
      </w:r>
    </w:p>
    <w:p>
      <w:pPr>
        <w:pStyle w:val="ListParagraph"/>
        <w:numPr>
          <w:ilvl w:val="0"/>
          <w:numId w:val="1"/>
        </w:numPr>
        <w:spacing w:after="120" w:line="269" w:lineRule="auto"/>
      </w:pPr>
      <w:r>
        <w:rPr>
          <w:rFonts w:ascii="Aptos" w:hAnsi="Aptos"/>
          <w:color w:val="232323"/>
          <w:sz w:val="22"/>
          <w:szCs w:val="22"/>
        </w:rPr>
        <w:t xml:space="preserve">Eğitim/compute bilgileri: training_flops (eğitim için harcanan toplam işlem gücü), parameter_values (model parametre sayısı), training_token_count (eğitim veri hacmi).</w:t>
      </w:r>
    </w:p>
    <w:p>
      <w:pPr>
        <w:pStyle w:val="ListParagraph"/>
        <w:numPr>
          <w:ilvl w:val="0"/>
          <w:numId w:val="1"/>
        </w:numPr>
        <w:spacing w:after="120" w:line="269" w:lineRule="auto"/>
      </w:pPr>
      <w:r>
        <w:rPr>
          <w:rFonts w:ascii="Aptos" w:hAnsi="Aptos"/>
          <w:color w:val="232323"/>
          <w:sz w:val="22"/>
          <w:szCs w:val="22"/>
        </w:rPr>
        <w:t xml:space="preserve">Donanım bilgileri: training_gpu_type, training_hardware_type, training_tpu_pod, inference_gpu_type, inference_gpu_count.</w:t>
      </w:r>
    </w:p>
    <w:p>
      <w:pPr>
        <w:pStyle w:val="ListParagraph"/>
        <w:numPr>
          <w:ilvl w:val="0"/>
          <w:numId w:val="1"/>
        </w:numPr>
        <w:spacing w:after="120" w:line="269" w:lineRule="auto"/>
      </w:pPr>
      <w:r>
        <w:rPr>
          <w:rFonts w:ascii="Aptos" w:hAnsi="Aptos"/>
          <w:color w:val="232323"/>
          <w:sz w:val="22"/>
          <w:szCs w:val="22"/>
        </w:rPr>
        <w:t xml:space="preserve">Bölge bilgileri: model_region, disc_region_text, disclosed_region gibi birden fazla sütunda dağınık biçimde bulunan lokasyon bilgisi.</w:t>
      </w:r>
    </w:p>
    <w:p>
      <w:pPr>
        <w:pStyle w:val="ListParagraph"/>
        <w:numPr>
          <w:ilvl w:val="0"/>
          <w:numId w:val="1"/>
        </w:numPr>
        <w:spacing w:after="120" w:line="269" w:lineRule="auto"/>
      </w:pPr>
      <w:r>
        <w:rPr>
          <w:rFonts w:ascii="Aptos" w:hAnsi="Aptos"/>
          <w:color w:val="232323"/>
          <w:sz w:val="22"/>
          <w:szCs w:val="22"/>
        </w:rPr>
        <w:t xml:space="preserve">Enerji ve emisyon bilgileri: emission_factor_tco2e_per_mwh, disclosed_electricity_used_mwh, disclosed_emission_factor_tco2e_per_mwh, disclosed_emissions_tco2e, emissions_tCO2e (ham/bildirilen karbon emisyonu), intensity_tCO2e_per_FLOP.</w:t>
      </w:r>
    </w:p>
    <w:p>
      <w:pPr>
        <w:pStyle w:val="ListParagraph"/>
        <w:numPr>
          <w:ilvl w:val="0"/>
          <w:numId w:val="1"/>
        </w:numPr>
        <w:spacing w:after="120" w:line="269" w:lineRule="auto"/>
      </w:pPr>
      <w:r>
        <w:rPr>
          <w:rFonts w:ascii="Aptos" w:hAnsi="Aptos"/>
          <w:color w:val="232323"/>
          <w:sz w:val="22"/>
          <w:szCs w:val="22"/>
        </w:rPr>
        <w:t xml:space="preserve">Model meta verisi: tier, method (emisyonun nasıl ölçüldüğü/raporlandığı), modality, type, is_moe (Mixture-of-Experts mimarisi olup olmadığı).</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df.info() çıktısına göre veri setinde 13 kategorik (metin) sütun, 10 sayısal (float) sütun ve 1 boolean sütun (is_moe) bulunmaktadır; ham veri setinde hiçbir sütunda eksik (null) değer görülmemektedir. Bunun nedeni, veri setinin bazı alanlarının — orijinal kaynaklarda ciddi eksiklik bulunduğu için — daha önce imputation/sentetik tamamlama yöntemleriyle doldurulmuş olmasıdır (bu husus dosya adında da "imputed_realistic" ibaresiyle belirtilmektedir). Bu durum, projenin geçersizliği anlamına gelmemekte; yalnızca bazı dağılımların kusursuz bir gerçek dünya dağılımı yansıtmayabileceği, dolayısıyla sonuçların bu sınırlılık göz önünde bulundurularak yorumlanması gerektiği anlamına gelmektedir.</w:t>
      </w:r>
    </w:p>
    <w:p>
      <w:pPr>
        <w:spacing w:after="120" w:line="269" w:lineRule="auto"/>
        <w:jc w:val="both"/>
      </w:pPr>
      <w:r>
        <w:rPr>
          <w:rFonts w:ascii="Aptos" w:hAnsi="Aptos"/>
          <w:color w:val="232323"/>
          <w:sz w:val="22"/>
          <w:szCs w:val="22"/>
        </w:rPr>
        <w:t xml:space="preserve">EDA'nın ilerleyen adımlarında, disclosed_electricity_used_mwh değeri 0 olan 81 kayıt (bu bilgi hem direct calculation hem de model açısından kullanılamaz durumda olduğu için) veri setinden çıkarılmış ve çalışmanın geri kalanı 5.146 satır üzerinden yürütülmüştür.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Veri setinin yapısının ve sınırlılıklarının en baştan netleştirilmesi, sonraki tüm feature engineering ve modelleme kararlarının (örneğin hangi değişkenlerin doğrudan hesaplama, hangilerinin ML tahmini için kullanılabileceğinin) sağlam bir zemin üzerine oturmasını sağlamıştır.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 Temel Keşifsel Veri Analizi (EDA)</w:t>
      </w:r>
    </w:p>
    <w:p>
      <w:pPr>
        <w:spacing w:after="120" w:line="269" w:lineRule="auto"/>
        <w:jc w:val="both"/>
      </w:pPr>
      <w:r>
        <w:rPr>
          <w:rFonts w:ascii="Aptos" w:hAnsi="Aptos"/>
          <w:color w:val="232323"/>
          <w:sz w:val="22"/>
          <w:szCs w:val="22"/>
        </w:rPr>
        <w:t xml:space="preserve">Modelleme aşamasına geçmeden önce, veri setinin yapısını ayrıntılı biçimde anlamak amacıyla bir dizi temel EDA işlemi uygulanmıştır. Bu adımların ortak amacı, veri temizliği veya feature engineering'e başlamadan önce veri setinin "olduğu gibi" tanınmasıdır.</w:t>
      </w:r>
    </w:p>
    <w:p>
      <w:pPr>
        <w:spacing w:after="120" w:before="180" w:line="269" w:lineRule="auto"/>
      </w:pPr>
      <w:r>
        <w:rPr>
          <w:rFonts w:ascii="Aptos" w:hAnsi="Aptos"/>
          <w:b/>
          <w:bCs/>
          <w:color w:val="000000"/>
          <w:sz w:val="22"/>
          <w:szCs w:val="22"/>
        </w:rPr>
        <w:t xml:space="preserve">Boyut, ilk kayıtlar ve sütun isimleri kontrolü</w:t>
      </w:r>
    </w:p>
    <w:p>
      <w:pPr>
        <w:spacing w:after="120" w:line="269" w:lineRule="auto"/>
        <w:jc w:val="both"/>
      </w:pPr>
      <w:r>
        <w:rPr>
          <w:rFonts w:ascii="Aptos" w:hAnsi="Aptos"/>
          <w:color w:val="232323"/>
          <w:sz w:val="22"/>
          <w:szCs w:val="22"/>
        </w:rPr>
        <w:t xml:space="preserve">Veri setinin satır/sütun sayısı (df.shape), ilk birkaç kaydı (df.head()) ve sütun isimleri incelenmiştir. Sütun isimlerindeki nokta (.) karakterleri, kod içinde erişim hatalarına yol açmaması için alt çizgi (_) ile değiştirilmiştir. Bu, ileride yazılacak kodların güvenilirliği açısından gerekli bir ön hazırlık adımıdır.</w:t>
      </w:r>
    </w:p>
    <w:p>
      <w:pPr>
        <w:spacing w:after="120" w:before="180" w:line="269" w:lineRule="auto"/>
      </w:pPr>
      <w:r>
        <w:rPr>
          <w:rFonts w:ascii="Aptos" w:hAnsi="Aptos"/>
          <w:b/>
          <w:bCs/>
          <w:color w:val="000000"/>
          <w:sz w:val="22"/>
          <w:szCs w:val="22"/>
        </w:rPr>
        <w:t xml:space="preserve">Veri tipleri ve temel istatistikler</w:t>
      </w:r>
    </w:p>
    <w:p>
      <w:pPr>
        <w:spacing w:after="120" w:line="269" w:lineRule="auto"/>
        <w:jc w:val="both"/>
      </w:pPr>
      <w:r>
        <w:rPr>
          <w:rFonts w:ascii="Aptos" w:hAnsi="Aptos"/>
          <w:color w:val="232323"/>
          <w:sz w:val="22"/>
          <w:szCs w:val="22"/>
        </w:rPr>
        <w:t xml:space="preserve">df.info() ile her sütunun veri tipi ve dolu değer sayısı kontrol edilmiş, sayısal sütunlarda beklenmedik biçimde metin (object) tipi olup olmadığı doğrulanmıştır. Ardından df.describe() ile training_flops, emissions_tCO2e, training_token_count, parameter_values gibi anahtar sayısal değişkenlerin ortalama, standart sapma, çeyreklik ve uç değerleri incelenmiştir.</w:t>
      </w:r>
    </w:p>
    <w:p>
      <w:pPr>
        <w:shd w:fill="EDF2F8" w:val="clear"/>
        <w:spacing w:after="120" w:before="80" w:line="269" w:lineRule="auto"/>
      </w:pPr>
      <w:r>
        <w:rPr>
          <w:rFonts w:ascii="Aptos" w:hAnsi="Aptos"/>
          <w:i/>
          <w:iCs/>
          <w:color w:val="232323"/>
          <w:sz w:val="20"/>
          <w:szCs w:val="20"/>
        </w:rPr>
        <w:t xml:space="preserve">Örnek bulgular: training_flops ortalama 1,34×10²³ iken standart sapması 1,14×10²⁴'e ulaşmaktadır (birkaç dev modelin ortalamayı domine ettiğinin ilk işareti); emissions_tCO2e ortalama 11,41 tCO2e, maksimum ise 8.176 tCO2e'dir — bu da hedef değişkenin son derece sağa çarpık olduğunu göstermektedir.</w:t>
      </w:r>
    </w:p>
    <w:p>
      <w:pPr>
        <w:spacing w:after="120" w:before="180" w:line="269" w:lineRule="auto"/>
      </w:pPr>
      <w:r>
        <w:rPr>
          <w:rFonts w:ascii="Aptos" w:hAnsi="Aptos"/>
          <w:b/>
          <w:bCs/>
          <w:color w:val="000000"/>
          <w:sz w:val="22"/>
          <w:szCs w:val="22"/>
        </w:rPr>
        <w:t xml:space="preserve">Kategorik değişkenlerin dağılımı</w:t>
      </w:r>
    </w:p>
    <w:p>
      <w:pPr>
        <w:spacing w:after="120" w:line="269" w:lineRule="auto"/>
        <w:jc w:val="both"/>
      </w:pPr>
      <w:r>
        <w:rPr>
          <w:rFonts w:ascii="Aptos" w:hAnsi="Aptos"/>
          <w:color w:val="232323"/>
          <w:sz w:val="22"/>
          <w:szCs w:val="22"/>
        </w:rPr>
        <w:t xml:space="preserve">tier, method, model_region, training_gpu_type, modality, type gibi kategorik sütunların benzersiz değer sayıları ve en sık görülen kategorileri incelenmiştir. Bu inceleme, ileride standardizasyon (örneğin bölge bilgisinin tek bir standart yapıya getirilmesi) ve seyrek kategori birleştirme kararlarının gerekçesini oluşturmuştur.</w:t>
      </w:r>
    </w:p>
    <w:p>
      <w:pPr>
        <w:spacing w:after="120" w:before="180" w:line="269" w:lineRule="auto"/>
      </w:pPr>
      <w:r>
        <w:rPr>
          <w:rFonts w:ascii="Aptos" w:hAnsi="Aptos"/>
          <w:b/>
          <w:bCs/>
          <w:color w:val="000000"/>
          <w:sz w:val="22"/>
          <w:szCs w:val="22"/>
        </w:rPr>
        <w:t xml:space="preserve">Eksik değer, duplicate ve sıfır değer analizi</w:t>
      </w:r>
    </w:p>
    <w:p>
      <w:pPr>
        <w:spacing w:after="120" w:line="269" w:lineRule="auto"/>
        <w:jc w:val="both"/>
      </w:pPr>
      <w:r>
        <w:rPr>
          <w:rFonts w:ascii="Aptos" w:hAnsi="Aptos"/>
          <w:color w:val="232323"/>
          <w:sz w:val="22"/>
          <w:szCs w:val="22"/>
        </w:rPr>
        <w:t xml:space="preserve">Eksik değer analizinde, ham veri setinde hiçbir sütunda null değer bulunmadığı doğrulanmıştır (veri setinin daha önce imputation ile tamamlanmış olmasının bir sonucu). Duplicate kontrolünde tamamen aynı satır veya tekrar eden model_id bulunmadığı görülmüştür (0 duplicate). Sıfır değer analizinde ise özellikle emissions_tCO2e sütununda 80 kayıt (%1,53) sıfır değerine sahip bulunmuştur.</w:t>
      </w:r>
    </w:p>
    <w:p>
      <w:pPr>
        <w:spacing w:after="120" w:line="269" w:lineRule="auto"/>
        <w:jc w:val="both"/>
      </w:pPr>
      <w:r>
        <w:rPr>
          <w:rFonts w:ascii="Aptos" w:hAnsi="Aptos"/>
          <w:color w:val="232323"/>
          <w:sz w:val="22"/>
          <w:szCs w:val="22"/>
        </w:rPr>
        <w:t xml:space="preserve">emissions_tCO2e = 0 olan kayıtlar ayrıca incelenmiştir, çünkü bir emisyon değerinin gerçekten sıfıra yakın (örneğin çok küçük bir LoRA/adaptör modeli) mi yoksa "veri yok" anlamında bir yer tutucu (placeholder) mı olduğunu ayırt etmek, hedef değişkenin nasıl kurgulanacağı konusunda kritik bir karardır. Bu inceleme, Bölüm 6.2'de açıklanan cleaned_emissions_tCO2e / calculation_method mantığının temelini oluşturmuştur.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Temel EDA aşaması, veri setinde ciddi bir eksik değer sorunu bulunmadığını, ancak sıfır değerlerin ve aşırı çarpık dağılımların dikkatle ele alınması gerektiğini ortaya koymuştur. Bu bulgular, sonraki feature engineering kararlarını (log dönüşümü, hedef değişken zinciri, sıfır değerlerin korunması) doğrudan yönlendirmiştir.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4. İleri Seviye EDA</w:t>
      </w:r>
    </w:p>
    <w:p>
      <w:pPr>
        <w:spacing w:after="120" w:line="269" w:lineRule="auto"/>
        <w:jc w:val="both"/>
      </w:pPr>
      <w:r>
        <w:rPr>
          <w:rFonts w:ascii="Aptos" w:hAnsi="Aptos"/>
          <w:color w:val="232323"/>
          <w:sz w:val="22"/>
          <w:szCs w:val="22"/>
        </w:rPr>
        <w:t xml:space="preserve">Temel EDA'nın ardından, değişkenler arasındaki ilişkileri ve dağılım şekillerini daha derinlemesine anlamak amacıyla ileri seviye analizler yapılmıştır. Buradaki amaç yalnızca grafik üretmek değil, her bulgunun sonraki feature engineering veya modelleme kararını nasıl etkilediğini ortaya koymaktır.</w:t>
      </w:r>
    </w:p>
    <w:p>
      <w:pPr>
        <w:spacing w:after="120" w:before="180" w:line="269" w:lineRule="auto"/>
      </w:pPr>
      <w:r>
        <w:rPr>
          <w:rFonts w:ascii="Aptos" w:hAnsi="Aptos"/>
          <w:b/>
          <w:bCs/>
          <w:color w:val="000000"/>
          <w:sz w:val="22"/>
          <w:szCs w:val="22"/>
        </w:rPr>
        <w:t xml:space="preserve">Sayısal değişkenlerin dağılımı ve çarpıklık (skewness)</w:t>
      </w:r>
    </w:p>
    <w:p>
      <w:pPr>
        <w:spacing w:after="120" w:line="269" w:lineRule="auto"/>
        <w:jc w:val="both"/>
      </w:pPr>
      <w:r>
        <w:rPr>
          <w:rFonts w:ascii="Aptos" w:hAnsi="Aptos"/>
          <w:color w:val="232323"/>
          <w:sz w:val="22"/>
          <w:szCs w:val="22"/>
        </w:rPr>
        <w:t xml:space="preserve">training_flops, emissions_tCO2e, parameter_values, training_token_count gibi değişkenlerin histogramları incelenmiş; tamamının güçlü biçimde sağa çarpık olduğu görülmüştür (çoğu model küçük/orta ölçekli, az sayıda dev model ise ölçeği domine etmektedir). Bu gözlem, Bölüm 6.4'te açıklanan log dönüşümü kararının doğrudan gerekçesini oluşturmuştur.</w:t>
      </w:r>
    </w:p>
    <w:p>
      <w:pPr>
        <w:spacing w:after="120" w:before="180" w:line="269" w:lineRule="auto"/>
      </w:pPr>
      <w:r>
        <w:rPr>
          <w:rFonts w:ascii="Aptos" w:hAnsi="Aptos"/>
          <w:b/>
          <w:bCs/>
          <w:color w:val="000000"/>
          <w:sz w:val="22"/>
          <w:szCs w:val="22"/>
        </w:rPr>
        <w:t xml:space="preserve">Boxplot ve aykırı değer (outlier) analizi</w:t>
      </w:r>
    </w:p>
    <w:p>
      <w:pPr>
        <w:spacing w:after="120" w:line="269" w:lineRule="auto"/>
        <w:jc w:val="both"/>
      </w:pPr>
      <w:r>
        <w:rPr>
          <w:rFonts w:ascii="Aptos" w:hAnsi="Aptos"/>
          <w:color w:val="232323"/>
          <w:sz w:val="22"/>
          <w:szCs w:val="22"/>
        </w:rPr>
        <w:t xml:space="preserve">Boxplot analizleri, özellikle training_flops ve emissions_tCO2e değişkenlerinde çok sayıda istatistiksel aykırı değer bulunduğunu göstermiştir. Ancak bu uç değerler yanlış ölçüm değil, gerçekten çok büyük modelleri (örneğin GPT ölçeğinde modelleri) temsil etmektedir. Bu nedenle bu kayıtlar veri setinden çıkarılmamış; bunun yerine modelin bu bölgedeki performansı ayrıca değerlendirilmiştir (bkz. Bölüm 22).</w:t>
      </w:r>
    </w:p>
    <w:p>
      <w:pPr>
        <w:spacing w:after="120" w:before="180" w:line="269" w:lineRule="auto"/>
      </w:pPr>
      <w:r>
        <w:rPr>
          <w:rFonts w:ascii="Aptos" w:hAnsi="Aptos"/>
          <w:b/>
          <w:bCs/>
          <w:color w:val="000000"/>
          <w:sz w:val="22"/>
          <w:szCs w:val="22"/>
        </w:rPr>
        <w:t xml:space="preserve">Korelasyon analizi</w:t>
      </w:r>
    </w:p>
    <w:p>
      <w:pPr>
        <w:spacing w:after="120" w:line="269" w:lineRule="auto"/>
        <w:jc w:val="both"/>
      </w:pPr>
      <w:r>
        <w:rPr>
          <w:rFonts w:ascii="Aptos" w:hAnsi="Aptos"/>
          <w:color w:val="232323"/>
          <w:sz w:val="22"/>
          <w:szCs w:val="22"/>
        </w:rPr>
        <w:t xml:space="preserve">emissions_tCO2e ile diğer sayısal değişkenler arasındaki korelasyonlar incelenmiştir. En güçlü ilişkiler disclosed_emissions_tco2e (r ≈ 0,986) ve disclosed_electricity_used_mwh (r ≈ 0,977) ile bulunmuştur — bu, beklenen ve aynı zamanda kritik bir bulgudur, çünkü bu değişkenler hedefle neredeyse birebir örtüşmektedir ve bu yüzden ML feature seti dışında tutulmuştur (bkz. Bölüm 5). training_flops (r ≈ 0,442) ve parameter_values (r ≈ 0,425) ile orta düzeyde, daha "dolaylı" ve modele girmesi güvenli ilişkiler gözlenmiştir.</w:t>
      </w:r>
    </w:p>
    <w:p>
      <w:pPr>
        <w:spacing w:after="120" w:before="180" w:line="269" w:lineRule="auto"/>
      </w:pPr>
      <w:r>
        <w:rPr>
          <w:rFonts w:ascii="Aptos" w:hAnsi="Aptos"/>
          <w:b/>
          <w:bCs/>
          <w:color w:val="000000"/>
          <w:sz w:val="22"/>
          <w:szCs w:val="22"/>
        </w:rPr>
        <w:t xml:space="preserve">Bildirilen ve doğrudan hesaplanan emisyon değerlerinin karşılaştırılması</w:t>
      </w:r>
    </w:p>
    <w:p>
      <w:pPr>
        <w:spacing w:after="120" w:line="269" w:lineRule="auto"/>
        <w:jc w:val="both"/>
      </w:pPr>
      <w:r>
        <w:rPr>
          <w:rFonts w:ascii="Aptos" w:hAnsi="Aptos"/>
          <w:color w:val="232323"/>
          <w:sz w:val="22"/>
          <w:szCs w:val="22"/>
        </w:rPr>
        <w:t xml:space="preserve">Her ikisi de dolu olan 5.146 kayıtta emissions_tCO2e ile disclosed_emissions_tco2e arasındaki korelasyon 1,0000 olarak bulunmuştur; bu da iki kaynağın büyük ölçüde tutarlı olduğunu, dolayısıyla "bildirilen" değerin güvenilir bir referans olarak kullanılabileceğini doğrulamıştır.</w:t>
      </w:r>
    </w:p>
    <w:p>
      <w:pPr>
        <w:spacing w:after="120" w:before="180" w:line="269" w:lineRule="auto"/>
      </w:pPr>
      <w:r>
        <w:rPr>
          <w:rFonts w:ascii="Aptos" w:hAnsi="Aptos"/>
          <w:b/>
          <w:bCs/>
          <w:color w:val="000000"/>
          <w:sz w:val="22"/>
          <w:szCs w:val="22"/>
        </w:rPr>
        <w:t xml:space="preserve">Bölgesel emisyon ve elektrik tüketimi ilişkisi</w:t>
      </w:r>
    </w:p>
    <w:p>
      <w:pPr>
        <w:spacing w:after="120" w:line="269" w:lineRule="auto"/>
        <w:jc w:val="both"/>
      </w:pPr>
      <w:r>
        <w:rPr>
          <w:rFonts w:ascii="Aptos" w:hAnsi="Aptos"/>
          <w:color w:val="232323"/>
          <w:sz w:val="22"/>
          <w:szCs w:val="22"/>
        </w:rPr>
        <w:t xml:space="preserve">Bölgeye göre ortalama emisyon faktörü incelenmiş; farklı coğrafyaların elektrik şebekesi karbon yoğunluğunun belirgin biçimde farklılaştığı görülmüştür. Bu bulgu, Bölüm 6.7'de açıklanan region_carbon_intensity feature'ının üretilmesini motive etmiştir. Elektrik tüketimi ile emisyon arasında da güçlü, beklenen bir doğrusal ilişki gözlenmiştir (enerji × emisyon faktörü mantığıyla tutarlı).</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İleri EDA bulguları üç somut karara dönüşmüştür: (1) sağa çarpık dağılımlar nedeniyle log dönüşümlerinin uygulanması, (2) aykırı değerlerin silinmemesi ve ayrı biçimde değerlendirilmesi, (3) hedefle çok yüksek korelasyona sahip değişkenlerin (disclosed_emissions_tco2e, disclosed_electricity_used_mwh vb.) olası veri sızıntısı (leakage) riski taşıdığının tespit edilmesi.</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5. Data Leakage Ön İncelemesi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Projede veri sızıntısı (data leakage) konusu özel bir titizlikle ele alınmıştır. Karbon emisyonuyla matematiksel/doğrudan ilişkisi bulunan disclosed_emissions_tco2e, disclosed_electricity_used_mwh, emission_factor_tco2e_per_mwh, calculated_emissions_tCO2e ve intensity_tCO2e_per_FLOP gibi değişkenlerin kullanım amacı açıkça ayrılmıştır.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Karbon emisyonunu doğrudan hesaplamak için kullanılabilecek bir değişkenin aynı zamanda ML modeline verilmesi durumunda, model gerçek bir tahmin ilişkisi öğrenmek yerine hedefi matematiksel olarak yeniden inşa edebilir (örneğin emisyon = enerji × faktör formülünün bir parçasını görüp neredeyse mükemmel ama sahte bir "tahmin" üretebilir). Bu, gerçek dünyada modelin işe yaramamasına yol açar çünkü tahmin anında bu bilgiler genellikle mevcut değildir.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intensity_tCO2e_per_FLOP değişkeninin emissions_tCO2e / training_flops özdeşliğiyle yeniden hesaplanan değerle neredeyse birebir örtüştüğü (korelasyon ≈ 1,0000) doğrulanmış; bu değişkenin matematiksel bir leakage kaynağı olduğu kanıtlanmıştır. Bu bulgu ışığında, Direct Calculation feature'ları ile ML Prediction feature'ları birbirinden kesin sınırlarla ayrılmıştır (bkz. Bölüm 7).</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erken ayrım, projenin en temel metodolojik kararlarından biri haline gelmiş ve modelleme aşamasının başından sonuna kadar (feature seçiminden hyperparameter tuning'e, feature importance yorumlamasından final model seçimine kadar) tutarlı biçimde korunmuştur.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6. Feature Engineering</w:t>
      </w:r>
    </w:p>
    <w:p>
      <w:pPr>
        <w:spacing w:after="120" w:line="269" w:lineRule="auto"/>
        <w:jc w:val="both"/>
      </w:pPr>
      <w:r>
        <w:rPr>
          <w:rFonts w:ascii="Aptos" w:hAnsi="Aptos"/>
          <w:color w:val="232323"/>
          <w:sz w:val="22"/>
          <w:szCs w:val="22"/>
        </w:rPr>
        <w:t xml:space="preserve">Bu bölüm, EDA bulgularının somut, modele girecek değişkenlere dönüştürüldüğü aşamadır. Toplam 14 yeni feature, bilinçli olarak sınırlı ve gerekçeli bir kapsamda üretilmiştir.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6.1 calculated_emissions_tCO2e — Direct Calculation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Elektrik tüketimi (disclosed_electricity_used_mwh) ile emisyon faktörü (önce disclosed_emission_factor_tco2e_per_mwh, o yoksa genel emission_factor_tco2e_per_mwh) çarpılarak fiziksel bir emisyon değeri hesaplanmıştır.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Amaç, bilgi mevcut olduğunda ML tahmini yapmak yerine fiziksel/doğrudan hesaplamayı kullanmaktır — bu, projenin "Direct Calculation" bileşenini oluşturur ve ML'e olan bağımlılığı azaltır.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feature, aynı zamanda bir sonraki adımdaki (cleaned_emissions_tCO2e) hedef değişken kurtarma zincirinin bir halkasını oluşturmuştur; kendisi ML modeline KESİNLİKLE girmemiştir çünkü hedefin cebirsel bir bileşenidir.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6.2 cleaned_emissions_tCO2e ve calculation_method</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Nihai hedef değişken, aşağıdaki öncelik sırasıyla oluşturulmuştur: (1) orijinal emissions_tCO2e sıfır değilse doğrudan kullanılır ("reported"), (2) sıfırsa ama disclosed_emissions_tco2e doluysa oradan kurtarılır ("recovered_from_disclosed"), (3) o da yoksa calculated_emissions_tCO2e kullanılır ("direct_calculation"), (4) hiçbiri yoksa ama compute bilgisi mevcutsa doğrulanmış bir sıfıra yakın değer kabul edilir ("validated_zero"), (5) hiçbiri mevcut değilse NaN bırakılır ("ml_estimated" — ML tahminine ihtiyaç duyar). Her kaydın bu değerin hangi yöntemle elde edildiğini gösteren calculation_method sütunu paralel olarak 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Ham emissions_tCO2e sütunu, kurtarılabilir sıfırları (aslında başka bir kaynaktan bilinen değerleri) gereksiz yere kayıp olarak bırakmaktadır. Mevcut güvenilir bilgiyi mümkün olduğunca koruyup, gerekli durumda hesaplanan/tamamlanan değeri kullanarak daha tutarlı ve eksiksiz bir hedef değişken elde etmek amaçlanmıştır.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Kullanılan veri seti (5.146 satır, disclosed_electricity_used_mwh=0 olan kayıtlar çıkarıldıktan sonra) üzerinde tüm kayıtların calculation_method='reported' olarak çözüldüğü görülmüştür — yani bu spesifik veri kesitinde her kayıt için bağımsız bir emisyon bilgisi zaten mevcuttur. Bu, projenin 5 kademeli kurtarma/hesaplama mantığının çalıştığını doğrulamakla birlikte, mevcut veri setinde direct_calculation / validated_zero / ml_estimated dallarının fiilen tetiklenmediği anlamına gelmektedir; bu dallar ilerleyen bölümlerde (Hybrid System, Final Teknik Çıktı) simülasyon yoluyla ayrıca doğrulanmıştır.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üçlü yapı (calculated_emissions_tCO2e → cleaned_emissions_tCO2e → calculation_method), projenin şeffaflık ilkesinin temelini oluşturmuş ve doğrudan ADIM 11'deki Hybrid Carbon Estimation System'in karar mantığına taşınmıştır.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6.3 Bölge Standardizasyonu — standardized_region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model_region, disc_region_text ve disclosed_region sütunlarındaki bölge bilgisi tek bir öncelik sırasıyla birleştirilmiş, kural tabanlı bir normalize fonksiyonuyla (alias eşleştirme + ülke listesi taraması) standart bir kategorik yapıya (standardized_region) dönüştürülmüştür.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Farklı yazımlarda veya farklı sütunlarda dağınık bulunan bölge bilgisi, analizleri tutarsız hale getirmekte ve kategorik model girdisi olarak anlamsızlaşmaktadır. Standardizasyon, hem analizlerin tutarlı hale gelmesini hem de bölgesel karbon yoğunluğunun (region_carbon_intensity) hesaplanabilmesini sağlamıştır.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Standardizasyon sonucunda en sık görülen kategoriler Unknown (2.126), United States (1.630) ve China (621) olmuştur; yalnızca 5 kayıt (%0,10) sınıflandırılamamış olarak kalmıştır.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6.4 Log Dönüşümleri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log_training_flops, log_parameters ve log_training_tokens feature'ları, ilgili ham değişkenlere log1p dönüşümü uygulanarak 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AI model verilerinde FLOPs, parametre ve token sayıları birkaç mertebe büyüklük farkı gösterebilmekte ve güçlü sağ çarpıklık taşımaktadır (bkz. Bölüm 4). Log dönüşümü, uç değerlerin etkisini azaltmakta, ölçek farklarını yönetilebilir kılmakta ve özellikle Linear Regression için değişkenler arasında daha doğrusal, daha uygun bir ilişki oluşturmaktadır. Ham değerler veri setinden tamamen silinmemiş; yalnızca ML tarafında log versiyonları tercih edilmiştir, böylece hem yorumlanabilirlik hem de orijinal ölçekle karşılaştırma imkânı korunmuştur.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6.5 Donanım Feature Engineering — gpu_family</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training_gpu_type sütunundaki çok sayıda farklı GPU/TPU isimlendirmesi, kural tabanlı bir regex eşleştirmesiyle altı ana aile altında (A100, V100, H100, A800, H800, TPU) ve tanımlanamayanlar için Unknown/Other kategorilerinde toplanmıştır.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Çok sayıda benzersiz GPU ismi, kategori karmaşasına ve seyrekliğe yol açmaktadır. Benzer donanımların aynı aile altında birlikte değerlendirilmesi, modelin daha genellenebilir ilişkiler öğrenmesine yardımcı olur.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Standardizasyon sonrası dağılım: A100 (2.240), V100 (2.072), Unknown (358), H100 (215), Other (167), A800 (60), H800 (34); ana altı aileye girmeyen donanımların oranı yalnızca %3,25'tir.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6.6 Compute Efficiency Feature'ları — flops_per_parameter, flops_per_token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flops_per_parameter, bir parametre başına harcanan eğitim compute miktarını; flops_per_token ise bir token başına harcanan compute miktarını ifade eder. Her ikisi de training_flops'un ilgili büyüklüğe bölünmesiyle üretilmiş, eksik/sonsuz değerler medyanla doldurulmuştur.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oranlar, model büyüklüğü ile eğitime ayrılan hesaplama miktarı arasındaki ilişkiyi (eğitim yoğunluğu) ve mimari/compute verimliliğini temsil eder; ham FLOPs bilgisinden daha zengin, göreli bir bilgi sunarlar ve yalnızca "ne kadar büyük" değil "ne kadar yoğun eğitildi" sorusuna da cevap verirler.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6.7 Bölgesel Karbon Feature'ları — region_carbon_intensity, low_carbon_region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region_carbon_intensity, her standardized_region için ortalama emission_factor_tco2e_per_mwh değeri olarak hesaplanmıştır. low_carbon_region ise bu değerin medyanın altında/üstünde olmasına göre ikili bir gösterge olarak türetilmiştir.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Aynı miktarda enerji kullanan iki model, eğitildikleri bölgenin elektrik üretim karmasına bağlı olarak çok farklı karbon emisyonuna sahip olabilir. region_carbon_intensity bu etkiyi doğrudan modele taşırken, low_carbon_region kullanıcıya sunulabilecek basitleştirilmiş bir sürdürülebilirlik göstergesidir.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6.8 Data Quality Flag</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Her kaydın calculation_method, bölge bilgisinin bilinip bilinmediği ve emisyon faktörünün mevcut olup olmadığına göre high/medium/low seviyelerinde bir data_quality_flag üretilmiştir.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Doğrudan bildirilen bir veri, hesaplanan bir değer ve bir model tahmini aynı güvenilirlik seviyesinde değerlendirilmemelidir. Bu feature, kullanıcıya sunulan emisyon bilgisinin ne kadar veriye dayalı olduğunu göstermek için üretilmiştir ve özellikle raporlama katmanı için önemlidir.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Kullanılan veri kesitinde 3.014 kayıt "high", 2.132 kayıt "medium" kalite seviyesinde bulunmuştur (tüm kayıtlar reported olduğu için "low" seviyesi bu kesitte gözlenmemiştir).</w:t>
      </w:r>
    </w:p>
    <w:p>
      <w:pPr>
        <w:pStyle w:val="Heading2"/>
        <w:spacing w:after="140" w:before="280" w:line="269" w:lineRule="auto"/>
        <w:pBdr>
          <w:bottom w:val="single" w:sz="6" w:space="4" w:color="000000"/>
        </w:pBdr>
      </w:pPr>
      <w:r>
        <w:rPr>
          <w:rFonts w:ascii="Aptos Display" w:hAnsi="Aptos Display"/>
          <w:b/>
          <w:bCs/>
          <w:color w:val="000000"/>
          <w:sz w:val="24"/>
          <w:szCs w:val="24"/>
        </w:rPr>
        <w:t xml:space="preserve">6.9 Sustainability Score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sustainability_score, üç bileşenin ağırlıklı ortalaması olarak tasarlanmıştır: Carbon Footprint (log-normalize edilmiş cleaned_emissions_tCO2e'nin percentile-rank'i, ağırlık %50), Compute Efficiency (flops_per_parameter ve flops_per_token'ın percentile-rank ortalaması, ağırlık %30) ve Grid Cleanliness (region_carbon_intensity'nin percentile-rank'i, ağırlık %20). Tüm bileşenler percentile-rank tabanlı olarak 0-1 aralığına normalize edilip 100 ile çarpılmıştır.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Tek başına karbon emisyonu, bir modelin sürdürülebilirlik açısından ne kadar "iyi" olduğunu tam olarak yansıtmaz — büyük bir modelin yüksek mutlak emisyonu olması doğaldır, oysa asıl ilgi çekici olan verimliliği ve çalıştığı bölgenin temizliğidir. Skorun bileşenleri, aynı ham bilgiyi (örneğin emission_factor) birden fazla kez saymayacak şekilde (double-counting riski göz önünde bulundurularak) tasarlanmıştır: Grid Cleanliness yalnızca region_carbon_intensity üzerinden hesaplanmış, ham elektrik tüketimi bileşene dahil edilmemiştir.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Skor, 1,46 ile 98,82 arasında, ortalama 49,99 (std 22,12) olacak şekilde dağılmıştır. En yüksek skora sahip modeller çok küçük, niş modeller (örn. sentiment/embedding modelleri); en düşük skora sahip modeller ise Qwen2.5-72B, DeepSeek-V3-Base, GLM-4.5, Qwen3-235B-A22B gibi büyük ölçekli modellerdir — bu, skorun fiziksel olarak beklenen yönde çalıştığını doğrulamaktadır.</w:t>
      </w:r>
    </w:p>
    <w:p>
      <w:pPr>
        <w:spacing w:after="120" w:before="120" w:line="269" w:lineRule="auto"/>
      </w:pPr>
      <w:r>
        <w:rPr>
          <w:rFonts w:ascii="Aptos" w:hAnsi="Aptos"/>
          <w:b/>
          <w:bCs/>
          <w:color w:val="000000"/>
          <w:sz w:val="22"/>
          <w:szCs w:val="22"/>
        </w:rPr>
        <w:t xml:space="preserve">Projeye katkısı ne oldu? </w:t>
      </w:r>
    </w:p>
    <w:p>
      <w:pPr>
        <w:shd w:fill="EDF2F8" w:val="clear"/>
        <w:spacing w:after="120" w:before="80" w:line="269" w:lineRule="auto"/>
      </w:pPr>
      <w:r>
        <w:rPr>
          <w:rFonts w:ascii="Aptos" w:hAnsi="Aptos"/>
          <w:i/>
          <w:iCs/>
          <w:color w:val="232323"/>
          <w:sz w:val="20"/>
          <w:szCs w:val="20"/>
        </w:rPr>
        <w:t xml:space="preserve">Önemli metodolojik nokta: sustainability_score, ML modelinin GİRDİSİ değil; final karbon sonucu üzerinden hesaplanan bir RAPORLAMA/karşılaştırma metriğidir. Modelin tahmin girdisi olarak kullanılmamıştır çünkü doğrudan hedeften türetilmiştir (leakage riski taşır); bkz. Bölüm 7 ve Bölüm 26.</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7. Feature Setlerinin Ayrılması</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 boyunca üretilen tüm değişkenler üç temel gruba ayrılmıştır:</w:t>
      </w:r>
    </w:p>
    <w:p>
      <w:pPr>
        <w:pStyle w:val="ListParagraph"/>
        <w:numPr>
          <w:ilvl w:val="0"/>
          <w:numId w:val="1"/>
        </w:numPr>
        <w:spacing w:after="120" w:line="269" w:lineRule="auto"/>
      </w:pPr>
      <w:r>
        <w:rPr>
          <w:rFonts w:ascii="Aptos" w:hAnsi="Aptos"/>
          <w:color w:val="232323"/>
          <w:sz w:val="22"/>
          <w:szCs w:val="22"/>
        </w:rPr>
        <w:t xml:space="preserve">ML Prediction Features: Modelin karbon emisyonunu tahmin etmek için kullandığı 14 değişken — log_training_flops, log_parameters, log_training_tokens, flops_per_parameter, flops_per_token, region_carbon_intensity, low_carbon_region (sayısal); standardized_region, gpu_family, tier, method, modality, type, is_moe (kategorik).</w:t>
      </w:r>
    </w:p>
    <w:p>
      <w:pPr>
        <w:pStyle w:val="ListParagraph"/>
        <w:numPr>
          <w:ilvl w:val="0"/>
          <w:numId w:val="1"/>
        </w:numPr>
        <w:spacing w:after="120" w:line="269" w:lineRule="auto"/>
      </w:pPr>
      <w:r>
        <w:rPr>
          <w:rFonts w:ascii="Aptos" w:hAnsi="Aptos"/>
          <w:color w:val="232323"/>
          <w:sz w:val="22"/>
          <w:szCs w:val="22"/>
        </w:rPr>
        <w:t xml:space="preserve">Direct Calculation / Carbon Accounting Features: Karbonun fiziksel/matematiksel olarak hesaplanması veya doğrulanması için kullanılan disclosed_emissions_tco2e, disclosed_electricity_used_mwh, disclosed_emission_factor_tco2e_per_mwh, emission_factor_tco2e_per_mwh, calculated_emissions_tCO2e, intensity_tCO2e_per_FLOP.</w:t>
      </w:r>
    </w:p>
    <w:p>
      <w:pPr>
        <w:pStyle w:val="ListParagraph"/>
        <w:numPr>
          <w:ilvl w:val="0"/>
          <w:numId w:val="1"/>
        </w:numPr>
        <w:spacing w:after="120" w:line="269" w:lineRule="auto"/>
      </w:pPr>
      <w:r>
        <w:rPr>
          <w:rFonts w:ascii="Aptos" w:hAnsi="Aptos"/>
          <w:color w:val="232323"/>
          <w:sz w:val="22"/>
          <w:szCs w:val="22"/>
        </w:rPr>
        <w:t xml:space="preserve">Reporting / Sustainability Features: Kullanıcıya tahminin kaynağını, veri kalitesini ve sürdürülebilirlik durumunu açıklamak için kullanılan cleaned_emissions_tCO2e, calculation_method, data_quality_flag, sustainability_score.</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ayrım, Bölüm 5'te tespit edilen leakage riskinin sistematik biçimde yönetilmesini sağlar. Bir değişkenin "faydalı bilgi" olması, onun otomatik olarak ML feature'ı olması gerektiği anlamına gelmez — eğer o bilgi hedeften türetilmişse veya hedefi cebirsel olarak yeniden inşa ediyorsa, doğru yeri Direct Calculation veya Reporting katmanıdır, ML katmanı değildir.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üçlü ayrım, projenin en önemli metodolojik kararlarından biridir; hem Hybrid Carbon Estimation System'in mimarisini (Bölüm 24) hem de model değerlendirmesinin güvenilirliğini doğrudan temellendirmektedir.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8. Modelleme Öncesi Validasyon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Feature engineering tamamlandıktan sonra, modellemeye geçmeden önce bir dizi otomatik doğrulama çalıştırılmıştır: eksik değer kontrolü, inf (sonsuz) değer kontrolü, veri tiplerinin doğrulanması, ML feature listelerinin (ML_NUMERIC_FEATURES, ML_CATEGORICAL_FEATURES) yasaklı/leakage sütunlarıyla kesişmediğinin assert ile kontrolü, korelasyon/redundancy kontrolü ve target değişkenin (cleaned_emissions_tCO2e) son kez doğrulanması.</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kontroller, "feature engineering doğru yapıldı" varsayımına güvenmek yerine, modellemeye geçmeden önce bunu somut biçimde kanıtlamak için gereklidir. Özellikle otomatik assert tabanlı leakage kontrolü, insan hatasından kaynaklanabilecek bir sızıntının modele sessizce girmesini engeller.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Tüm kontroller başarıyla geçmiştir: Grup A (ML feature) içinde hiçbir eksik/inf değer bulunmamış, ve on maddelik leakage kontrol listesinin (emissions_tCO2e, disclosed_emissions_tco2e, calculated_emissions_tCO2e, intensity_tCO2e_per_FLOP, disclosed_electricity_used_mwh, sustainability_score, calculation_method, data_quality_flag, hedefin kendisi ve region_carbon_intensity/ham emisyon faktörü çiftinin ML setinde birlikte yer almadığı) tamamı ✅ olarak doğrulanmıştır.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adım, modelleme aşamasına "temiz" bir zeminde başlanmasını garanti etmiş ve projenin bilimsel güvenilirliğini artırmıştır.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9. Modelleme Stratejisi ve Target Değişkeni</w:t>
      </w:r>
    </w:p>
    <w:p>
      <w:pPr>
        <w:spacing w:after="120" w:before="180" w:line="269" w:lineRule="auto"/>
      </w:pPr>
      <w:r>
        <w:rPr>
          <w:rFonts w:ascii="Aptos" w:hAnsi="Aptos"/>
          <w:b/>
          <w:bCs/>
          <w:color w:val="000000"/>
          <w:sz w:val="22"/>
          <w:szCs w:val="22"/>
        </w:rPr>
        <w:t xml:space="preserve">Modelleme stratejisi</w:t>
      </w:r>
    </w:p>
    <w:p>
      <w:pPr>
        <w:spacing w:after="120" w:line="269" w:lineRule="auto"/>
        <w:jc w:val="both"/>
      </w:pPr>
      <w:r>
        <w:rPr>
          <w:rFonts w:ascii="Aptos" w:hAnsi="Aptos"/>
          <w:color w:val="232323"/>
          <w:sz w:val="22"/>
          <w:szCs w:val="22"/>
        </w:rPr>
        <w:t xml:space="preserve">Proje, karbon emisyonu bilgisine erişimde beş kademeli bir hiyerarşi izlemektedir: (1) bağımsız olarak bildirilmiş bir değer varsa doğrudan kullanılır (reported/recovered_from_disclosed — en güvenilir, ML'e gerek yoktur), (2) enerji ve emisyon faktörü mevcutsa fiziksel formülle hesaplanır (direct_calculation), (3) bağımsız kaynaklar da sıfıra işaret ediyorsa doğrulanmış bir sıfıra yakın değer kabul edilir (validated_zero), (4) hiçbiri mevcut değilse ML tahmini devreye girer (ml_estimated). ML, yalnızca gerçekten gerekli olduğunda kullanılmaktadır; bu, projenin "her şeyi ML ile tahmin etme" yaklaşımından bilinçli bir sapmasıdır.</w:t>
      </w:r>
    </w:p>
    <w:p>
      <w:pPr>
        <w:spacing w:after="120" w:before="180" w:line="269" w:lineRule="auto"/>
      </w:pPr>
      <w:r>
        <w:rPr>
          <w:rFonts w:ascii="Aptos" w:hAnsi="Aptos"/>
          <w:b/>
          <w:bCs/>
          <w:color w:val="000000"/>
          <w:sz w:val="22"/>
          <w:szCs w:val="22"/>
        </w:rPr>
        <w:t xml:space="preserve">Target değişkeni: cleaned_emissions_tCO2e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Model, ham emissions_tCO2e yerine Bölüm 6.2'de açıklanan cleaned_emissions_tCO2e değişkenini hedef almaktadır. Hedefin aşırı sağa çarpık olması nedeniyle (ortalama/medyan oranı çok yüksek), model log1p(cleaned_emissions_tCO2e) üzerinde eğitilmiş; tahminler sonrasında expm1 ile orijinal tCO2e ölçeğine geri çevrilmiştir.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Log-target kullanımı, yüksek emisyonlu birkaç modelin eğitim sürecini domine etmesini engellemekte ve tahmin hatalarını farklı büyüklük ölçeklerinde daha dengeli hale getirmektedir. log1p tercih edilmiştir (çıplak log değil) çünkü hedefte 0 değerleri (validated_zero kayıtları) bulunmaktadır ve log(0) tanımsızdır.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10. Modelleme Veri Setinin Hazırlanması ve Train/Test Split</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Linear Regression ve XGBoost için aynı temel feature seti (14 değişken) kullanılmış, ancak preprocessing yöntemleri algoritmaların yapısına göre farklılaştırılmıştır: Linear Regression için One-Hot Encoding (drop_first=True) ve sayısal feature'lar için StandardScaler, bir ColumnTransformer/Pipeline içinde uygulanmıştır. XGBoost için ise native categorical dtype desteği kullanılmış; ayrı bir one-hot encoding veya scaling uygulanmamıştır (ağaç tabanlı modeller ölçeğe değil bölme noktalarına dayandığı için).</w:t>
      </w:r>
    </w:p>
    <w:p>
      <w:pPr>
        <w:spacing w:after="120" w:line="269" w:lineRule="auto"/>
        <w:jc w:val="both"/>
      </w:pPr>
      <w:r>
        <w:rPr>
          <w:rFonts w:ascii="Aptos" w:hAnsi="Aptos"/>
          <w:color w:val="232323"/>
          <w:sz w:val="22"/>
          <w:szCs w:val="22"/>
        </w:rPr>
        <w:t xml:space="preserve">Veri, %80 train / %20 test oranında ayrılmıştır (5.146 kayıttan train: 4.116, test: 1.030). Rastgele bir split yerine, log_training_flops'un çeyreklik dilimlerine göre stratifiye edilmiş bir split kullanılmıştır; bu, hem küçük hem büyük compute'lu modellerin train ve test setlerinde orantılı temsil edilmesini garanti etmiştir (train ve test setlerinde log_training_flops ortalaması sırasıyla 46,60 ve 46,62, standart sapması 5,43 ve 5,42 olarak neredeyse özdeş bulunmuştur).</w:t>
      </w:r>
    </w:p>
    <w:p>
      <w:pPr>
        <w:spacing w:after="120" w:line="269" w:lineRule="auto"/>
        <w:jc w:val="both"/>
      </w:pPr>
      <w:r>
        <w:rPr>
          <w:rFonts w:ascii="Aptos" w:hAnsi="Aptos"/>
          <w:color w:val="232323"/>
          <w:sz w:val="22"/>
          <w:szCs w:val="22"/>
        </w:rPr>
        <w:t xml:space="preserve">Ayrıca, standardized_region (51 kategori) ve method sütunlarındaki seyrek kategoriler, yalnızca train setinden öğrenilen bir eşikle (train'de 15'ten az gözlemi olan kategoriler "Other" olarak birleştirilmiş) test setine sızıntı olmadan işlenmiştir.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Train/test ayrımı, modelin daha önce görmediği veriler üzerindeki genellenebilirliğini ölçmek için zorunludur. Stratifiye split, hedefle güçlü ilişkili bir değişkene göre yapılarak, tesadüfi bir bölünmenin büyük modelleri test setinde yetersiz temsil etme riskini azaltmıştır.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11. Baseline Model (DummyRegressor)</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Hiçbir feature'a bakmadan, tüm tahminleri eğitim setinin medyanı (1,00 tCO2e) olarak veren bir DummyRegressor(strategy='median') kurulmuştur.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Kurulan ML modellerinin gerçekten anlamlı bir şey öğrendiğini iddia edebilmek için, en azından "hiçbir şey öğrenmeyen" bir modelden daha iyi olduklarını göstermek gerekir. Medyan tercih edilmiştir çünkü hedef aşırı çarpık olduğu için ortalama, uç değerlerden etkilenen adaletsiz bir referans noktası olurdu.</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Test setinde Dummy Baseline: MAE = 9,60, RMSE = 48,85, R² = −0,03, RMSLE = 1,28. Negatif R², modelin ortalamadan/medyandan bile daha kötü olduğu anlamına gelmez; medyan tahmininin varyansı hiç açıklamadığının beklenen bir sonucudur ve karşılaştırma için referans noktasını oluşturur.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baseline, Bölüm 12 ve 13'teki Linear Regression ve XGBoost sonuçlarının gerçekten anlamlı bir öğrenme temsil edip etmediğinin nesnel ölçütü olmuştur.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12. Linear Regression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14 feature, One-Hot Encoding ve StandardScaler ile hazırlanarak (one-hot sonrası toplam 42 sütun) bir Linear Regression modeli log1p(hedef) üzerinde eğitilmiştir.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Linear Regression, projede basit, hızlı ve tamamen yorumlanabilir bir karşılaştırma/baseline modeli olarak kullanılmıştır. Amacı "en iyi model olmak" değil, feature'lar ile hedef arasında doğrusal bir ilişkinin ne ölçüde var olduğunu sınamak ve XGBoost gibi daha karmaşık bir modelin gerçekten gerekli olup olmadığını değerlendirmek için bir alt sınır oluşturmaktır.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Test setinde (orijinal tCO2e ölçeğinde): MAE = 7,84, RMSE = 46,38, R² = 0,068, RMSLE = 0,73. 5-Fold Cross Validation'da (log-hedef üzerinde) ortalama R² = 0,571 (std = 0,041), ortalama MAE(log) = 0,556, RMSE(log) = 0,806 bulunmuştur.</w:t>
      </w:r>
    </w:p>
    <w:p>
      <w:pPr>
        <w:shd w:fill="EDF2F8" w:val="clear"/>
        <w:spacing w:after="120" w:before="80" w:line="269" w:lineRule="auto"/>
      </w:pPr>
      <w:r>
        <w:rPr>
          <w:rFonts w:ascii="Aptos" w:hAnsi="Aptos"/>
          <w:i/>
          <w:iCs/>
          <w:color w:val="232323"/>
          <w:sz w:val="20"/>
          <w:szCs w:val="20"/>
        </w:rPr>
        <w:t xml:space="preserve">Yorumlama notu: Ham tCO2e ölçeğindeki R² (≈0,07) ile log-uzaydaki CV R² (≈0,57) arasındaki büyük fark, modelin kötü olduğu anlamına gelmez. Ham ölçekte birkaç dev-model gözlemi toplam varyansın büyük kısmını domine ettiği için R² neredeyse sıfıra çekilmektedir; log-uzayda ise model makul bir açıklayıcılık göstermektedir. Bu iki metrik farklı ölçeklerde hesaplandığından doğrudan karşılaştırılmamalı, hangi ölçekte hesaplandığı her zaman belirtilmelidir.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Linear Regression, Dummy Baseline'ı MAE ve RMSE açısından belirgin biçimde geçmiş, ancak XGBoost'un çok gerisinde kalmıştır. Bu sonuç, feature'lar ile hedef arasında güçlü doğrusal olmayan ilişkiler ve feature etkileşimleri bulunduğuna işaret etmiş ve XGBoost'un kullanılmasının gerekçesini güçlendirmiştir.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13. XGBoost Regressor</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Aynı 14 feature, native categorical dtype desteğiyle (ayrı encoding/scaling yapılmadan) makul başlangıç parametreleriyle (n_estimators=300, max_depth=6, learning_rate=0,05, subsample=0,8, colsample_bytree=0,8) bir XGBRegressor'a verilmiştir.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XGBoost, ağaç tabanlı ve gradyan artırımlı (gradient boosting) yapısı sayesinde doğrusal olmayan ilişkileri ve feature etkileşimlerini (örneğin belirli bir GPU ailesi ile belirli bir bölgenin birlikte etkisini) öğrenebilir; bu, karmaşık, heterojen bir AI model veri setinde Linear Regression'dan daha uygun bir yaklaşımdır.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İlk (optimize edilmemiş) XGBoost modeli test setinde: MAE = 2,88, RMSE = 22,56, R² = 0,78, RMSLE = 0,35 — Linear Regression'a göre belirgin bir iyileşme göstermiştir. Ancak train setinde R² = 0,97 bulunması, overfitting riskinin ayrıca araştırılmasını gerektirmiştir (bkz. Bölüm 15).</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14. Model Değerlendirme Metrikleri</w:t>
      </w:r>
    </w:p>
    <w:p>
      <w:pPr>
        <w:spacing w:after="120" w:line="269" w:lineRule="auto"/>
        <w:jc w:val="both"/>
      </w:pPr>
      <w:r>
        <w:rPr>
          <w:rFonts w:ascii="Aptos" w:hAnsi="Aptos"/>
          <w:color w:val="232323"/>
          <w:sz w:val="22"/>
          <w:szCs w:val="22"/>
        </w:rPr>
        <w:t xml:space="preserve">Model performansı tek bir metrikle değil, birbirini tamamlayan dört metrikle birlikte değerlendirilmiştir:</w:t>
      </w:r>
    </w:p>
    <w:p>
      <w:pPr>
        <w:pStyle w:val="ListParagraph"/>
        <w:numPr>
          <w:ilvl w:val="0"/>
          <w:numId w:val="1"/>
        </w:numPr>
        <w:spacing w:after="120" w:line="269" w:lineRule="auto"/>
      </w:pPr>
      <w:r>
        <w:rPr>
          <w:rFonts w:ascii="Aptos" w:hAnsi="Aptos"/>
          <w:color w:val="232323"/>
          <w:sz w:val="22"/>
          <w:szCs w:val="22"/>
        </w:rPr>
        <w:t xml:space="preserve">MAE (Mean Absolute Error): Ortalama tahmin hatasının mutlak büyüklüğünü, orijinal tCO2e biriminde gösterir; yorumlanması en kolay metriktir.</w:t>
      </w:r>
    </w:p>
    <w:p>
      <w:pPr>
        <w:pStyle w:val="ListParagraph"/>
        <w:numPr>
          <w:ilvl w:val="0"/>
          <w:numId w:val="1"/>
        </w:numPr>
        <w:spacing w:after="120" w:line="269" w:lineRule="auto"/>
      </w:pPr>
      <w:r>
        <w:rPr>
          <w:rFonts w:ascii="Aptos" w:hAnsi="Aptos"/>
          <w:color w:val="232323"/>
          <w:sz w:val="22"/>
          <w:szCs w:val="22"/>
        </w:rPr>
        <w:t xml:space="preserve">RMSE (Root Mean Squared Error): Büyük hataları orantısız biçimde daha fazla cezalandırır; özellikle yüksek emisyonlu modellerdeki büyük hataların önemli olduğu bu projede kritik bir metriktir.</w:t>
      </w:r>
    </w:p>
    <w:p>
      <w:pPr>
        <w:pStyle w:val="ListParagraph"/>
        <w:numPr>
          <w:ilvl w:val="0"/>
          <w:numId w:val="1"/>
        </w:numPr>
        <w:spacing w:after="120" w:line="269" w:lineRule="auto"/>
      </w:pPr>
      <w:r>
        <w:rPr>
          <w:rFonts w:ascii="Aptos" w:hAnsi="Aptos"/>
          <w:color w:val="232323"/>
          <w:sz w:val="22"/>
          <w:szCs w:val="22"/>
        </w:rPr>
        <w:t xml:space="preserve">R² (Belirtme Katsayısı): Emisyondaki değişkenliğin ne kadarının model tarafından açıklanabildiğini gösterir.</w:t>
      </w:r>
    </w:p>
    <w:p>
      <w:pPr>
        <w:pStyle w:val="ListParagraph"/>
        <w:numPr>
          <w:ilvl w:val="0"/>
          <w:numId w:val="1"/>
        </w:numPr>
        <w:spacing w:after="120" w:line="269" w:lineRule="auto"/>
      </w:pPr>
      <w:r>
        <w:rPr>
          <w:rFonts w:ascii="Aptos" w:hAnsi="Aptos"/>
          <w:color w:val="232323"/>
          <w:sz w:val="22"/>
          <w:szCs w:val="22"/>
        </w:rPr>
        <w:t xml:space="preserve">RMSLE (Root Mean Squared Log Error): Çok farklı büyüklükteki emisyon değerleri (0,001 tCO2e'den 8.000 tCO2e'ye kadar) arasındaki oransal tahmin hatasını dengeli biçimde değerlendirir.</w:t>
      </w:r>
    </w:p>
    <w:p>
      <w:pPr>
        <w:spacing w:after="120" w:line="269" w:lineRule="auto"/>
        <w:jc w:val="both"/>
      </w:pPr>
      <w:r>
        <w:rPr>
          <w:rFonts w:ascii="Aptos" w:hAnsi="Aptos"/>
          <w:color w:val="232323"/>
          <w:sz w:val="22"/>
          <w:szCs w:val="22"/>
        </w:rPr>
        <w:t xml:space="preserve">Bu dört metrik birlikte kullanılmıştır çünkü hiçbiri tek başına yeterli bir resim sunmaz: örneğin düşük bir MAE, yüksek emisyonlu birkaç modelde yapılan büyük hataları gizleyebilir; bu durumda RMSE ve RMSLE devreye girerek daha bütünlüklü bir değerlendirme sağlar.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15. Overfitting Analizi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Her iki model için train ve test performansları karşılaştırılmış, aralarındaki fark (R² farkı) sistematik olarak izlenmiştir.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Yüksek bir test skoru tek başına yeterli değildir: bir model train setinde test setinden çok daha iyi performans gösteriyorsa, bu modelin eğitim verisini "ezberlediğinin" (overfitting) işaretidir ve yeni verilerde güvenilir olmayabilir.</w:t>
      </w:r>
    </w:p>
    <w:p>
      <w:pPr>
        <w:spacing w:after="120" w:before="120" w:line="269" w:lineRule="auto"/>
      </w:pPr>
      <w:r>
        <w:rPr>
          <w:rFonts w:ascii="Aptos" w:hAnsi="Aptos"/>
          <w:b/>
          <w:bCs/>
          <w:color w:val="000000"/>
          <w:sz w:val="22"/>
          <w:szCs w:val="22"/>
        </w:rPr>
        <w:t xml:space="preserve">Ne elde ettik? </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2600"/>
      </w:tblGrid>
      <w:tr>
        <w:trPr>
          <w:tblHeader/>
        </w:trPr>
        <w:tc>
          <w:tcPr>
            <w:tcW w:type="dxa" w:w="2600"/>
            <w:shd w:fill="1F3864" w:val="clear"/>
            <w:vAlign w:val="center"/>
            <w:shd w:fill="202020"/>
          </w:tcPr>
          <w:p>
            <w:pPr>
              <w:spacing w:after="40"/>
              <w:jc w:val="left"/>
            </w:pPr>
            <w:r>
              <w:rPr>
                <w:rFonts w:ascii="Aptos" w:hAnsi="Aptos"/>
                <w:b/>
                <w:bCs/>
                <w:color w:val="FFFFFF"/>
                <w:sz w:val="18"/>
                <w:szCs w:val="20"/>
              </w:rPr>
              <w:t xml:space="preserve">Model</w:t>
            </w:r>
          </w:p>
        </w:tc>
        <w:tc>
          <w:tcPr>
            <w:tcW w:type="dxa" w:w="1400"/>
            <w:shd w:fill="1F3864" w:val="clear"/>
            <w:vAlign w:val="center"/>
            <w:shd w:fill="202020"/>
          </w:tcPr>
          <w:p>
            <w:pPr>
              <w:spacing w:after="40"/>
              <w:jc w:val="left"/>
            </w:pPr>
            <w:r>
              <w:rPr>
                <w:rFonts w:ascii="Aptos" w:hAnsi="Aptos"/>
                <w:b/>
                <w:bCs/>
                <w:color w:val="FFFFFF"/>
                <w:sz w:val="18"/>
                <w:szCs w:val="20"/>
              </w:rPr>
              <w:t xml:space="preserve">Train R²</w:t>
            </w:r>
          </w:p>
        </w:tc>
        <w:tc>
          <w:tcPr>
            <w:tcW w:type="dxa" w:w="1400"/>
            <w:shd w:fill="1F3864" w:val="clear"/>
            <w:vAlign w:val="center"/>
            <w:shd w:fill="202020"/>
          </w:tcPr>
          <w:p>
            <w:pPr>
              <w:spacing w:after="40"/>
              <w:jc w:val="left"/>
            </w:pPr>
            <w:r>
              <w:rPr>
                <w:rFonts w:ascii="Aptos" w:hAnsi="Aptos"/>
                <w:b/>
                <w:bCs/>
                <w:color w:val="FFFFFF"/>
                <w:sz w:val="18"/>
                <w:szCs w:val="20"/>
              </w:rPr>
              <w:t xml:space="preserve">Test R²</w:t>
            </w:r>
          </w:p>
        </w:tc>
        <w:tc>
          <w:tcPr>
            <w:tcW w:type="dxa" w:w="1400"/>
            <w:shd w:fill="1F3864" w:val="clear"/>
            <w:vAlign w:val="center"/>
            <w:shd w:fill="202020"/>
          </w:tcPr>
          <w:p>
            <w:pPr>
              <w:spacing w:after="40"/>
              <w:jc w:val="left"/>
            </w:pPr>
            <w:r>
              <w:rPr>
                <w:rFonts w:ascii="Aptos" w:hAnsi="Aptos"/>
                <w:b/>
                <w:bCs/>
                <w:color w:val="FFFFFF"/>
                <w:sz w:val="18"/>
                <w:szCs w:val="20"/>
              </w:rPr>
              <w:t xml:space="preserve">R² Farkı</w:t>
            </w:r>
          </w:p>
        </w:tc>
        <w:tc>
          <w:tcPr>
            <w:tcW w:type="dxa" w:w="2600"/>
            <w:shd w:fill="1F3864" w:val="clear"/>
            <w:vAlign w:val="center"/>
            <w:shd w:fill="202020"/>
          </w:tcPr>
          <w:p>
            <w:pPr>
              <w:spacing w:after="40"/>
              <w:jc w:val="left"/>
            </w:pPr>
            <w:r>
              <w:rPr>
                <w:rFonts w:ascii="Aptos" w:hAnsi="Aptos"/>
                <w:b/>
                <w:bCs/>
                <w:color w:val="FFFFFF"/>
                <w:sz w:val="18"/>
                <w:szCs w:val="20"/>
              </w:rPr>
              <w:t xml:space="preserve">Yorum</w:t>
            </w:r>
          </w:p>
        </w:tc>
      </w:tr>
      <w:tr>
        <w:tc>
          <w:tcPr>
            <w:tcW w:type="dxa" w:w="2600"/>
            <w:vAlign w:val="center"/>
            <w:shd w:fill="FFFFFF"/>
          </w:tcPr>
          <w:p>
            <w:pPr>
              <w:spacing w:after="40"/>
              <w:jc w:val="left"/>
            </w:pPr>
            <w:r>
              <w:rPr>
                <w:rFonts w:ascii="Aptos" w:hAnsi="Aptos"/>
                <w:b w:val="0"/>
                <w:bCs w:val="false"/>
                <w:color w:val="232323"/>
                <w:sz w:val="18"/>
                <w:szCs w:val="20"/>
              </w:rPr>
              <w:t xml:space="preserve">Linear Regression</w:t>
            </w:r>
          </w:p>
        </w:tc>
        <w:tc>
          <w:tcPr>
            <w:tcW w:type="dxa" w:w="1400"/>
            <w:vAlign w:val="center"/>
            <w:shd w:fill="FFFFFF"/>
          </w:tcPr>
          <w:p>
            <w:pPr>
              <w:spacing w:after="40"/>
              <w:jc w:val="left"/>
            </w:pPr>
            <w:r>
              <w:rPr>
                <w:rFonts w:ascii="Aptos" w:hAnsi="Aptos"/>
                <w:b w:val="0"/>
                <w:bCs w:val="false"/>
                <w:color w:val="232323"/>
                <w:sz w:val="18"/>
                <w:szCs w:val="20"/>
              </w:rPr>
              <w:t xml:space="preserve">0,017</w:t>
            </w:r>
          </w:p>
        </w:tc>
        <w:tc>
          <w:tcPr>
            <w:tcW w:type="dxa" w:w="1400"/>
            <w:vAlign w:val="center"/>
            <w:shd w:fill="FFFFFF"/>
          </w:tcPr>
          <w:p>
            <w:pPr>
              <w:spacing w:after="40"/>
              <w:jc w:val="left"/>
            </w:pPr>
            <w:r>
              <w:rPr>
                <w:rFonts w:ascii="Aptos" w:hAnsi="Aptos"/>
                <w:b w:val="0"/>
                <w:bCs w:val="false"/>
                <w:color w:val="232323"/>
                <w:sz w:val="18"/>
                <w:szCs w:val="20"/>
              </w:rPr>
              <w:t xml:space="preserve">0,068</w:t>
            </w:r>
          </w:p>
        </w:tc>
        <w:tc>
          <w:tcPr>
            <w:tcW w:type="dxa" w:w="1400"/>
            <w:vAlign w:val="center"/>
            <w:shd w:fill="FFFFFF"/>
          </w:tcPr>
          <w:p>
            <w:pPr>
              <w:spacing w:after="40"/>
              <w:jc w:val="left"/>
            </w:pPr>
            <w:r>
              <w:rPr>
                <w:rFonts w:ascii="Aptos" w:hAnsi="Aptos"/>
                <w:b w:val="0"/>
                <w:bCs w:val="false"/>
                <w:color w:val="232323"/>
                <w:sz w:val="18"/>
                <w:szCs w:val="20"/>
              </w:rPr>
              <w:t xml:space="preserve">−0,051</w:t>
            </w:r>
          </w:p>
        </w:tc>
        <w:tc>
          <w:tcPr>
            <w:tcW w:type="dxa" w:w="2600"/>
            <w:vAlign w:val="center"/>
            <w:shd w:fill="FFFFFF"/>
          </w:tcPr>
          <w:p>
            <w:pPr>
              <w:spacing w:after="40"/>
              <w:jc w:val="left"/>
            </w:pPr>
            <w:r>
              <w:rPr>
                <w:rFonts w:ascii="Aptos" w:hAnsi="Aptos"/>
                <w:b w:val="0"/>
                <w:bCs w:val="false"/>
                <w:color w:val="232323"/>
                <w:sz w:val="18"/>
                <w:szCs w:val="20"/>
              </w:rPr>
              <w:t xml:space="preserve">Overfitting riski düşük</w:t>
            </w:r>
          </w:p>
        </w:tc>
      </w:tr>
      <w:tr>
        <w:tc>
          <w:tcPr>
            <w:tcW w:type="dxa" w:w="2600"/>
            <w:vAlign w:val="center"/>
            <w:shd w:fill="F5F5F5"/>
          </w:tcPr>
          <w:p>
            <w:pPr>
              <w:spacing w:after="40"/>
              <w:jc w:val="left"/>
            </w:pPr>
            <w:r>
              <w:rPr>
                <w:rFonts w:ascii="Aptos" w:hAnsi="Aptos"/>
                <w:b w:val="0"/>
                <w:bCs w:val="false"/>
                <w:color w:val="232323"/>
                <w:sz w:val="18"/>
                <w:szCs w:val="20"/>
              </w:rPr>
              <w:t xml:space="preserve">XGBoost (ilk/optimize edilmemiş)</w:t>
            </w:r>
          </w:p>
        </w:tc>
        <w:tc>
          <w:tcPr>
            <w:tcW w:type="dxa" w:w="1400"/>
            <w:vAlign w:val="center"/>
            <w:shd w:fill="F5F5F5"/>
          </w:tcPr>
          <w:p>
            <w:pPr>
              <w:spacing w:after="40"/>
              <w:jc w:val="left"/>
            </w:pPr>
            <w:r>
              <w:rPr>
                <w:rFonts w:ascii="Aptos" w:hAnsi="Aptos"/>
                <w:b w:val="0"/>
                <w:bCs w:val="false"/>
                <w:color w:val="232323"/>
                <w:sz w:val="18"/>
                <w:szCs w:val="20"/>
              </w:rPr>
              <w:t xml:space="preserve">0,969</w:t>
            </w:r>
          </w:p>
        </w:tc>
        <w:tc>
          <w:tcPr>
            <w:tcW w:type="dxa" w:w="1400"/>
            <w:vAlign w:val="center"/>
            <w:shd w:fill="F5F5F5"/>
          </w:tcPr>
          <w:p>
            <w:pPr>
              <w:spacing w:after="40"/>
              <w:jc w:val="left"/>
            </w:pPr>
            <w:r>
              <w:rPr>
                <w:rFonts w:ascii="Aptos" w:hAnsi="Aptos"/>
                <w:b w:val="0"/>
                <w:bCs w:val="false"/>
                <w:color w:val="232323"/>
                <w:sz w:val="18"/>
                <w:szCs w:val="20"/>
              </w:rPr>
              <w:t xml:space="preserve">0,780</w:t>
            </w:r>
          </w:p>
        </w:tc>
        <w:tc>
          <w:tcPr>
            <w:tcW w:type="dxa" w:w="1400"/>
            <w:vAlign w:val="center"/>
            <w:shd w:fill="F5F5F5"/>
          </w:tcPr>
          <w:p>
            <w:pPr>
              <w:spacing w:after="40"/>
              <w:jc w:val="left"/>
            </w:pPr>
            <w:r>
              <w:rPr>
                <w:rFonts w:ascii="Aptos" w:hAnsi="Aptos"/>
                <w:b w:val="0"/>
                <w:bCs w:val="false"/>
                <w:color w:val="232323"/>
                <w:sz w:val="18"/>
                <w:szCs w:val="20"/>
              </w:rPr>
              <w:t xml:space="preserve">0,190</w:t>
            </w:r>
          </w:p>
        </w:tc>
        <w:tc>
          <w:tcPr>
            <w:tcW w:type="dxa" w:w="2600"/>
            <w:vAlign w:val="center"/>
            <w:shd w:fill="F5F5F5"/>
          </w:tcPr>
          <w:p>
            <w:pPr>
              <w:spacing w:after="40"/>
              <w:jc w:val="left"/>
            </w:pPr>
            <w:r>
              <w:rPr>
                <w:rFonts w:ascii="Aptos" w:hAnsi="Aptos"/>
                <w:b w:val="0"/>
                <w:bCs w:val="false"/>
                <w:color w:val="232323"/>
                <w:sz w:val="18"/>
                <w:szCs w:val="20"/>
              </w:rPr>
              <w:t xml:space="preserve">Overfitting riski YÜKSEK</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XGBoost'ta train R²'nin test R²'den belirgin biçimde yüksek olması (fark = 0,19), regularization parametrelerinin (min_child_weight, reg_alpha, reg_lambda) ayarlanmamış (varsayılan) olmasından kaynaklandığı değerlendirilmiş ve bu bulgu Bölüm 17'deki regularization/tuning çalışmasının doğrudan gerekçesini oluşturmuştur.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"Yüksek train skoru tek başına başarı değildir" ilkesi, projenin model seçimi felsefesinin merkezine yerleştirilmiş ve final model kararına kadar (Bölüm 23) tutarlı biçimde uygulanmıştır.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16. 5-Fold Cross Validation</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Tek bir train/test split sonucuna bağımlı kalmamak için, hem Linear Regression hem de (optimize edilmemiş) XGBoost modeli, veri setinin 5 farklı train/test kombinasyonunda (KFold, shuffle=True, random_state=42) eğitilip değerlendirilmiştir.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Tek bir split, şans eseri kolay veya zor bir test kümesi oluşturabilir. 5-fold CV, performansın tek bir bölünmeye ne kadar "bağlı" (fragile) olduğunu ölçer; fold'lar arasındaki standart sapma düşükse model kararlı demektir.</w:t>
      </w:r>
    </w:p>
    <w:p>
      <w:pPr>
        <w:spacing w:after="120" w:before="120" w:line="269" w:lineRule="auto"/>
      </w:pPr>
      <w:r>
        <w:rPr>
          <w:rFonts w:ascii="Aptos" w:hAnsi="Aptos"/>
          <w:b/>
          <w:bCs/>
          <w:color w:val="000000"/>
          <w:sz w:val="22"/>
          <w:szCs w:val="22"/>
        </w:rPr>
        <w:t xml:space="preserve">Ne elde ettik? </w:t>
      </w:r>
    </w:p>
    <w:tbl>
      <w:tblPr>
        <w:tblW w:type="dxa" w:w="94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rPr>
          <w:tblHeader/>
        </w:trPr>
        <w:tc>
          <w:tcPr>
            <w:tcW w:type="dxa" w:w="2600"/>
            <w:shd w:fill="1F3864" w:val="clear"/>
            <w:vAlign w:val="center"/>
            <w:shd w:fill="202020"/>
          </w:tcPr>
          <w:p>
            <w:pPr>
              <w:spacing w:after="40"/>
              <w:jc w:val="left"/>
            </w:pPr>
            <w:r>
              <w:rPr>
                <w:rFonts w:ascii="Aptos" w:hAnsi="Aptos"/>
                <w:b/>
                <w:bCs/>
                <w:color w:val="FFFFFF"/>
                <w:sz w:val="18"/>
                <w:szCs w:val="20"/>
              </w:rPr>
              <w:t xml:space="preserve">Model</w:t>
            </w:r>
          </w:p>
        </w:tc>
        <w:tc>
          <w:tcPr>
            <w:tcW w:type="dxa" w:w="1700"/>
            <w:shd w:fill="1F3864" w:val="clear"/>
            <w:vAlign w:val="center"/>
            <w:shd w:fill="202020"/>
          </w:tcPr>
          <w:p>
            <w:pPr>
              <w:spacing w:after="40"/>
              <w:jc w:val="left"/>
            </w:pPr>
            <w:r>
              <w:rPr>
                <w:rFonts w:ascii="Aptos" w:hAnsi="Aptos"/>
                <w:b/>
                <w:bCs/>
                <w:color w:val="FFFFFF"/>
                <w:sz w:val="18"/>
                <w:szCs w:val="20"/>
              </w:rPr>
              <w:t xml:space="preserve">CV R² (ort.)</w:t>
            </w:r>
          </w:p>
        </w:tc>
        <w:tc>
          <w:tcPr>
            <w:tcW w:type="dxa" w:w="1700"/>
            <w:shd w:fill="1F3864" w:val="clear"/>
            <w:vAlign w:val="center"/>
            <w:shd w:fill="202020"/>
          </w:tcPr>
          <w:p>
            <w:pPr>
              <w:spacing w:after="40"/>
              <w:jc w:val="left"/>
            </w:pPr>
            <w:r>
              <w:rPr>
                <w:rFonts w:ascii="Aptos" w:hAnsi="Aptos"/>
                <w:b/>
                <w:bCs/>
                <w:color w:val="FFFFFF"/>
                <w:sz w:val="18"/>
                <w:szCs w:val="20"/>
              </w:rPr>
              <w:t xml:space="preserve">CV R² (std)</w:t>
            </w:r>
          </w:p>
        </w:tc>
        <w:tc>
          <w:tcPr>
            <w:tcW w:type="dxa" w:w="1700"/>
            <w:shd w:fill="1F3864" w:val="clear"/>
            <w:vAlign w:val="center"/>
            <w:shd w:fill="202020"/>
          </w:tcPr>
          <w:p>
            <w:pPr>
              <w:spacing w:after="40"/>
              <w:jc w:val="left"/>
            </w:pPr>
            <w:r>
              <w:rPr>
                <w:rFonts w:ascii="Aptos" w:hAnsi="Aptos"/>
                <w:b/>
                <w:bCs/>
                <w:color w:val="FFFFFF"/>
                <w:sz w:val="18"/>
                <w:szCs w:val="20"/>
              </w:rPr>
              <w:t xml:space="preserve">CV MAE (log)</w:t>
            </w:r>
          </w:p>
        </w:tc>
        <w:tc>
          <w:tcPr>
            <w:tcW w:type="dxa" w:w="1700"/>
            <w:shd w:fill="1F3864" w:val="clear"/>
            <w:vAlign w:val="center"/>
            <w:shd w:fill="202020"/>
          </w:tcPr>
          <w:p>
            <w:pPr>
              <w:spacing w:after="40"/>
              <w:jc w:val="left"/>
            </w:pPr>
            <w:r>
              <w:rPr>
                <w:rFonts w:ascii="Aptos" w:hAnsi="Aptos"/>
                <w:b/>
                <w:bCs/>
                <w:color w:val="FFFFFF"/>
                <w:sz w:val="18"/>
                <w:szCs w:val="20"/>
              </w:rPr>
              <w:t xml:space="preserve">CV RMSE (log)</w:t>
            </w:r>
          </w:p>
        </w:tc>
      </w:tr>
      <w:tr>
        <w:tc>
          <w:tcPr>
            <w:tcW w:type="dxa" w:w="2600"/>
            <w:vAlign w:val="center"/>
            <w:shd w:fill="FFFFFF"/>
          </w:tcPr>
          <w:p>
            <w:pPr>
              <w:spacing w:after="40"/>
              <w:jc w:val="left"/>
            </w:pPr>
            <w:r>
              <w:rPr>
                <w:rFonts w:ascii="Aptos" w:hAnsi="Aptos"/>
                <w:b w:val="0"/>
                <w:bCs w:val="false"/>
                <w:color w:val="232323"/>
                <w:sz w:val="18"/>
                <w:szCs w:val="20"/>
              </w:rPr>
              <w:t xml:space="preserve">Linear Regression</w:t>
            </w:r>
          </w:p>
        </w:tc>
        <w:tc>
          <w:tcPr>
            <w:tcW w:type="dxa" w:w="1700"/>
            <w:vAlign w:val="center"/>
            <w:shd w:fill="FFFFFF"/>
          </w:tcPr>
          <w:p>
            <w:pPr>
              <w:spacing w:after="40"/>
              <w:jc w:val="left"/>
            </w:pPr>
            <w:r>
              <w:rPr>
                <w:rFonts w:ascii="Aptos" w:hAnsi="Aptos"/>
                <w:b w:val="0"/>
                <w:bCs w:val="false"/>
                <w:color w:val="232323"/>
                <w:sz w:val="18"/>
                <w:szCs w:val="20"/>
              </w:rPr>
              <w:t xml:space="preserve">0,571</w:t>
            </w:r>
          </w:p>
        </w:tc>
        <w:tc>
          <w:tcPr>
            <w:tcW w:type="dxa" w:w="1700"/>
            <w:vAlign w:val="center"/>
            <w:shd w:fill="FFFFFF"/>
          </w:tcPr>
          <w:p>
            <w:pPr>
              <w:spacing w:after="40"/>
              <w:jc w:val="left"/>
            </w:pPr>
            <w:r>
              <w:rPr>
                <w:rFonts w:ascii="Aptos" w:hAnsi="Aptos"/>
                <w:b w:val="0"/>
                <w:bCs w:val="false"/>
                <w:color w:val="232323"/>
                <w:sz w:val="18"/>
                <w:szCs w:val="20"/>
              </w:rPr>
              <w:t xml:space="preserve">0,041</w:t>
            </w:r>
          </w:p>
        </w:tc>
        <w:tc>
          <w:tcPr>
            <w:tcW w:type="dxa" w:w="1700"/>
            <w:vAlign w:val="center"/>
            <w:shd w:fill="FFFFFF"/>
          </w:tcPr>
          <w:p>
            <w:pPr>
              <w:spacing w:after="40"/>
              <w:jc w:val="left"/>
            </w:pPr>
            <w:r>
              <w:rPr>
                <w:rFonts w:ascii="Aptos" w:hAnsi="Aptos"/>
                <w:b w:val="0"/>
                <w:bCs w:val="false"/>
                <w:color w:val="232323"/>
                <w:sz w:val="18"/>
                <w:szCs w:val="20"/>
              </w:rPr>
              <w:t xml:space="preserve">0,556</w:t>
            </w:r>
          </w:p>
        </w:tc>
        <w:tc>
          <w:tcPr>
            <w:tcW w:type="dxa" w:w="1700"/>
            <w:vAlign w:val="center"/>
            <w:shd w:fill="FFFFFF"/>
          </w:tcPr>
          <w:p>
            <w:pPr>
              <w:spacing w:after="40"/>
              <w:jc w:val="left"/>
            </w:pPr>
            <w:r>
              <w:rPr>
                <w:rFonts w:ascii="Aptos" w:hAnsi="Aptos"/>
                <w:b w:val="0"/>
                <w:bCs w:val="false"/>
                <w:color w:val="232323"/>
                <w:sz w:val="18"/>
                <w:szCs w:val="20"/>
              </w:rPr>
              <w:t xml:space="preserve">0,806</w:t>
            </w:r>
          </w:p>
        </w:tc>
      </w:tr>
      <w:tr>
        <w:tc>
          <w:tcPr>
            <w:tcW w:type="dxa" w:w="2600"/>
            <w:vAlign w:val="center"/>
            <w:shd w:fill="F5F5F5"/>
          </w:tcPr>
          <w:p>
            <w:pPr>
              <w:spacing w:after="40"/>
              <w:jc w:val="left"/>
            </w:pPr>
            <w:r>
              <w:rPr>
                <w:rFonts w:ascii="Aptos" w:hAnsi="Aptos"/>
                <w:b w:val="0"/>
                <w:bCs w:val="false"/>
                <w:color w:val="232323"/>
                <w:sz w:val="18"/>
                <w:szCs w:val="20"/>
              </w:rPr>
              <w:t xml:space="preserve">XGBoost (ilk)</w:t>
            </w:r>
          </w:p>
        </w:tc>
        <w:tc>
          <w:tcPr>
            <w:tcW w:type="dxa" w:w="1700"/>
            <w:vAlign w:val="center"/>
            <w:shd w:fill="F5F5F5"/>
          </w:tcPr>
          <w:p>
            <w:pPr>
              <w:spacing w:after="40"/>
              <w:jc w:val="left"/>
            </w:pPr>
            <w:r>
              <w:rPr>
                <w:rFonts w:ascii="Aptos" w:hAnsi="Aptos"/>
                <w:b w:val="0"/>
                <w:bCs w:val="false"/>
                <w:color w:val="232323"/>
                <w:sz w:val="18"/>
                <w:szCs w:val="20"/>
              </w:rPr>
              <w:t xml:space="preserve">0,893</w:t>
            </w:r>
          </w:p>
        </w:tc>
        <w:tc>
          <w:tcPr>
            <w:tcW w:type="dxa" w:w="1700"/>
            <w:vAlign w:val="center"/>
            <w:shd w:fill="F5F5F5"/>
          </w:tcPr>
          <w:p>
            <w:pPr>
              <w:spacing w:after="40"/>
              <w:jc w:val="left"/>
            </w:pPr>
            <w:r>
              <w:rPr>
                <w:rFonts w:ascii="Aptos" w:hAnsi="Aptos"/>
                <w:b w:val="0"/>
                <w:bCs w:val="false"/>
                <w:color w:val="232323"/>
                <w:sz w:val="18"/>
                <w:szCs w:val="20"/>
              </w:rPr>
              <w:t xml:space="preserve">0,027</w:t>
            </w:r>
          </w:p>
        </w:tc>
        <w:tc>
          <w:tcPr>
            <w:tcW w:type="dxa" w:w="1700"/>
            <w:vAlign w:val="center"/>
            <w:shd w:fill="F5F5F5"/>
          </w:tcPr>
          <w:p>
            <w:pPr>
              <w:spacing w:after="40"/>
              <w:jc w:val="left"/>
            </w:pPr>
            <w:r>
              <w:rPr>
                <w:rFonts w:ascii="Aptos" w:hAnsi="Aptos"/>
                <w:b w:val="0"/>
                <w:bCs w:val="false"/>
                <w:color w:val="232323"/>
                <w:sz w:val="18"/>
                <w:szCs w:val="20"/>
              </w:rPr>
              <w:t xml:space="preserve">0,133</w:t>
            </w:r>
          </w:p>
        </w:tc>
        <w:tc>
          <w:tcPr>
            <w:tcW w:type="dxa" w:w="1700"/>
            <w:vAlign w:val="center"/>
            <w:shd w:fill="F5F5F5"/>
          </w:tcPr>
          <w:p>
            <w:pPr>
              <w:spacing w:after="40"/>
              <w:jc w:val="left"/>
            </w:pPr>
            <w:r>
              <w:rPr>
                <w:rFonts w:ascii="Aptos" w:hAnsi="Aptos"/>
                <w:b w:val="0"/>
                <w:bCs w:val="false"/>
                <w:color w:val="232323"/>
                <w:sz w:val="18"/>
                <w:szCs w:val="20"/>
              </w:rPr>
              <w:t xml:space="preserve">0,401</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Her iki modelin de CV standart sapması düşüktür (Linear Regression için 0,041, XGBoost için 0,027), bu da sonuçların farklı veri bölünmelerinde tutarlı olduğunu, yani "şanslı bir split" sonucu olmadığını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CV, tüm modelleme sürecinin ilerleyen adımlarında (regularization, tuning, final model seçimi) tekrar tekrar başvurulan, güvenilirliğin temel dayanağı olmuştur.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17. XGBoost Regularization ve Hyperparameter Tuning</w:t>
      </w:r>
    </w:p>
    <w:p>
      <w:pPr>
        <w:spacing w:after="120" w:before="180" w:line="269" w:lineRule="auto"/>
      </w:pPr>
      <w:r>
        <w:rPr>
          <w:rFonts w:ascii="Aptos" w:hAnsi="Aptos"/>
          <w:b/>
          <w:bCs/>
          <w:color w:val="000000"/>
          <w:sz w:val="22"/>
          <w:szCs w:val="22"/>
        </w:rPr>
        <w:t xml:space="preserve">Regularization (kontrollü parametre seti)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Bölüm 15'te tespit edilen overfitting riskine yönelik olarak, sekiz XGBoost hiperparametresi (max_depth, min_child_weight, reg_alpha, reg_lambda, learning_rate, n_estimators, subsample, colsample_bytree) tek tek değerlendirilmiş; her birinin overfitting üzerindeki etkisi gerekçelendirilerek dört parametre kontrollü biçimde değiştirilmiştir: max_depth 6→5, min_child_weight (varsayılan) 1→2, reg_alpha 0→0,1, reg_lambda 1→1,5; ayrıca learning_rate 0,05→0,03 düşürülüp n_estimators 300→500 artırılarak dengelenmiştir.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max_depth en güçlü overfitting kaynağı olarak değerlendirilmiştir (derin ağaçlar veri setindeki gürültüyü/nadir kombinasyonları ezberleyebilir); min_child_weight'in varsayılan (çok düşük) değeri, az sayıda örnekle temsil edilen dalların oluşmasına izin vermekteydi. Amaç yalnızca Test R²'yi yükseltmek değil, train-test farkını azaltarak modelin genellenebilirliğini artırmaktı.</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Düzenlileştirilmiş model: Train R² = 0,775, Test R² = 0,764, R² farkı = 0,011 (0,190'dan 0,011'e düşmüştür) — MAE = 2,87, RMSE = 23,34, RMSLE = 0,346. Train-test farkındaki iyileşme, Test performansında neredeyse hiç kayıp olmadan elde edilmiştir.</w:t>
      </w:r>
    </w:p>
    <w:p>
      <w:pPr>
        <w:spacing w:after="120" w:before="180" w:line="269" w:lineRule="auto"/>
      </w:pPr>
      <w:r>
        <w:rPr>
          <w:rFonts w:ascii="Aptos" w:hAnsi="Aptos"/>
          <w:b/>
          <w:bCs/>
          <w:color w:val="000000"/>
          <w:sz w:val="22"/>
          <w:szCs w:val="22"/>
        </w:rPr>
        <w:t xml:space="preserve">Hyperparameter Tuning (RandomizedSearchCV)</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Manuel düzenlileştirmenin etrafında dar, gerekçeli bir arama uzayı tanımlanarak RandomizedSearchCV (n_iter=25, cv=5) ile sistematik bir optimizasyon yapılmıştır.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Tüm kombinasyonları tek tek deneyen büyük bir GridSearch yerine kontrollü bir RandomizedSearch tercih edilmiştir; çünkü arama uzayı zaten ADIM 1'deki analizle daraltılmıştır ve kapsamlı bir GridSearch hesaplama açısından gereksiz maliyetli olurdu. Optimizasyon metriği olarak RMSE (log-hedef üzerinde, neg_root_mean_squared_error) seçilmiştir; çünkü RMSE hatanın büyüklüğünü doğrudan ölçer ve büyük hataları orantısız cezalandırır — bu, "büyük modellerde büyük hata yapmamak" önceliğiyle örtüşmektedir; log-hedef üzerinde RMSE optimize etmek, orijinal ölçekteki RMSLE'yi optimize etmeye eşdeğerdir.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Bulunan en iyi parametreler: n_estimators=628, max_depth=5, learning_rate≈0,072, min_child_weight=7, reg_alpha≈0,098, reg_lambda≈4,80, subsample≈0,941, colsample_bytree≈0,817. Bu kombinasyonla en iyi CV RMSE (log-uzayda) 0,4166 olarak bulunmuştur.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18. Original XGBoost vs Tuned XGBoost</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Orijinal, manuel düzenlileştirilmiş ve tuned (RandomizedSearchCV) modeller tek bir tabloda karşılaştırılmıştır.</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000"/>
        <w:gridCol w:w="1000"/>
        <w:gridCol w:w="1000"/>
      </w:tblGrid>
      <w:tr>
        <w:trPr>
          <w:tblHeader/>
        </w:trPr>
        <w:tc>
          <w:tcPr>
            <w:tcW w:type="dxa" w:w="2600"/>
            <w:shd w:fill="1F3864" w:val="clear"/>
            <w:vAlign w:val="center"/>
            <w:shd w:fill="202020"/>
          </w:tcPr>
          <w:p>
            <w:pPr>
              <w:spacing w:after="40"/>
              <w:jc w:val="left"/>
            </w:pPr>
            <w:r>
              <w:rPr>
                <w:rFonts w:ascii="Aptos" w:hAnsi="Aptos"/>
                <w:b/>
                <w:bCs/>
                <w:color w:val="FFFFFF"/>
                <w:sz w:val="18"/>
                <w:szCs w:val="20"/>
              </w:rPr>
              <w:t xml:space="preserve">Model</w:t>
            </w:r>
          </w:p>
        </w:tc>
        <w:tc>
          <w:tcPr>
            <w:tcW w:type="dxa" w:w="1200"/>
            <w:shd w:fill="1F3864" w:val="clear"/>
            <w:vAlign w:val="center"/>
            <w:shd w:fill="202020"/>
          </w:tcPr>
          <w:p>
            <w:pPr>
              <w:spacing w:after="40"/>
              <w:jc w:val="left"/>
            </w:pPr>
            <w:r>
              <w:rPr>
                <w:rFonts w:ascii="Aptos" w:hAnsi="Aptos"/>
                <w:b/>
                <w:bCs/>
                <w:color w:val="FFFFFF"/>
                <w:sz w:val="18"/>
                <w:szCs w:val="20"/>
              </w:rPr>
              <w:t xml:space="preserve">Train R²</w:t>
            </w:r>
          </w:p>
        </w:tc>
        <w:tc>
          <w:tcPr>
            <w:tcW w:type="dxa" w:w="1200"/>
            <w:shd w:fill="1F3864" w:val="clear"/>
            <w:vAlign w:val="center"/>
            <w:shd w:fill="202020"/>
          </w:tcPr>
          <w:p>
            <w:pPr>
              <w:spacing w:after="40"/>
              <w:jc w:val="left"/>
            </w:pPr>
            <w:r>
              <w:rPr>
                <w:rFonts w:ascii="Aptos" w:hAnsi="Aptos"/>
                <w:b/>
                <w:bCs/>
                <w:color w:val="FFFFFF"/>
                <w:sz w:val="18"/>
                <w:szCs w:val="20"/>
              </w:rPr>
              <w:t xml:space="preserve">Test R²</w:t>
            </w:r>
          </w:p>
        </w:tc>
        <w:tc>
          <w:tcPr>
            <w:tcW w:type="dxa" w:w="1200"/>
            <w:shd w:fill="1F3864" w:val="clear"/>
            <w:vAlign w:val="center"/>
            <w:shd w:fill="202020"/>
          </w:tcPr>
          <w:p>
            <w:pPr>
              <w:spacing w:after="40"/>
              <w:jc w:val="left"/>
            </w:pPr>
            <w:r>
              <w:rPr>
                <w:rFonts w:ascii="Aptos" w:hAnsi="Aptos"/>
                <w:b/>
                <w:bCs/>
                <w:color w:val="FFFFFF"/>
                <w:sz w:val="18"/>
                <w:szCs w:val="20"/>
              </w:rPr>
              <w:t xml:space="preserve">R² Farkı</w:t>
            </w:r>
          </w:p>
        </w:tc>
        <w:tc>
          <w:tcPr>
            <w:tcW w:type="dxa" w:w="1000"/>
            <w:shd w:fill="1F3864" w:val="clear"/>
            <w:vAlign w:val="center"/>
            <w:shd w:fill="202020"/>
          </w:tcPr>
          <w:p>
            <w:pPr>
              <w:spacing w:after="40"/>
              <w:jc w:val="left"/>
            </w:pPr>
            <w:r>
              <w:rPr>
                <w:rFonts w:ascii="Aptos" w:hAnsi="Aptos"/>
                <w:b/>
                <w:bCs/>
                <w:color w:val="FFFFFF"/>
                <w:sz w:val="18"/>
                <w:szCs w:val="20"/>
              </w:rPr>
              <w:t xml:space="preserve">MAE</w:t>
            </w:r>
          </w:p>
        </w:tc>
        <w:tc>
          <w:tcPr>
            <w:tcW w:type="dxa" w:w="1000"/>
            <w:shd w:fill="1F3864" w:val="clear"/>
            <w:vAlign w:val="center"/>
            <w:shd w:fill="202020"/>
          </w:tcPr>
          <w:p>
            <w:pPr>
              <w:spacing w:after="40"/>
              <w:jc w:val="left"/>
            </w:pPr>
            <w:r>
              <w:rPr>
                <w:rFonts w:ascii="Aptos" w:hAnsi="Aptos"/>
                <w:b/>
                <w:bCs/>
                <w:color w:val="FFFFFF"/>
                <w:sz w:val="18"/>
                <w:szCs w:val="20"/>
              </w:rPr>
              <w:t xml:space="preserve">RMSE</w:t>
            </w:r>
          </w:p>
        </w:tc>
        <w:tc>
          <w:tcPr>
            <w:tcW w:type="dxa" w:w="1000"/>
            <w:shd w:fill="1F3864" w:val="clear"/>
            <w:vAlign w:val="center"/>
            <w:shd w:fill="202020"/>
          </w:tcPr>
          <w:p>
            <w:pPr>
              <w:spacing w:after="40"/>
              <w:jc w:val="left"/>
            </w:pPr>
            <w:r>
              <w:rPr>
                <w:rFonts w:ascii="Aptos" w:hAnsi="Aptos"/>
                <w:b/>
                <w:bCs/>
                <w:color w:val="FFFFFF"/>
                <w:sz w:val="18"/>
                <w:szCs w:val="20"/>
              </w:rPr>
              <w:t xml:space="preserve">RMSLE</w:t>
            </w:r>
          </w:p>
        </w:tc>
      </w:tr>
      <w:tr>
        <w:tc>
          <w:tcPr>
            <w:tcW w:type="dxa" w:w="2600"/>
            <w:vAlign w:val="center"/>
            <w:shd w:fill="FFFFFF"/>
          </w:tcPr>
          <w:p>
            <w:pPr>
              <w:spacing w:after="40"/>
              <w:jc w:val="left"/>
            </w:pPr>
            <w:r>
              <w:rPr>
                <w:rFonts w:ascii="Aptos" w:hAnsi="Aptos"/>
                <w:b w:val="0"/>
                <w:bCs w:val="false"/>
                <w:color w:val="232323"/>
                <w:sz w:val="18"/>
                <w:szCs w:val="20"/>
              </w:rPr>
              <w:t xml:space="preserve">Original XGBoost</w:t>
            </w:r>
          </w:p>
        </w:tc>
        <w:tc>
          <w:tcPr>
            <w:tcW w:type="dxa" w:w="1200"/>
            <w:vAlign w:val="center"/>
            <w:shd w:fill="FFFFFF"/>
          </w:tcPr>
          <w:p>
            <w:pPr>
              <w:spacing w:after="40"/>
              <w:jc w:val="left"/>
            </w:pPr>
            <w:r>
              <w:rPr>
                <w:rFonts w:ascii="Aptos" w:hAnsi="Aptos"/>
                <w:b w:val="0"/>
                <w:bCs w:val="false"/>
                <w:color w:val="232323"/>
                <w:sz w:val="18"/>
                <w:szCs w:val="20"/>
              </w:rPr>
              <w:t xml:space="preserve">0,969</w:t>
            </w:r>
          </w:p>
        </w:tc>
        <w:tc>
          <w:tcPr>
            <w:tcW w:type="dxa" w:w="1200"/>
            <w:vAlign w:val="center"/>
            <w:shd w:fill="FFFFFF"/>
          </w:tcPr>
          <w:p>
            <w:pPr>
              <w:spacing w:after="40"/>
              <w:jc w:val="left"/>
            </w:pPr>
            <w:r>
              <w:rPr>
                <w:rFonts w:ascii="Aptos" w:hAnsi="Aptos"/>
                <w:b w:val="0"/>
                <w:bCs w:val="false"/>
                <w:color w:val="232323"/>
                <w:sz w:val="18"/>
                <w:szCs w:val="20"/>
              </w:rPr>
              <w:t xml:space="preserve">0,780</w:t>
            </w:r>
          </w:p>
        </w:tc>
        <w:tc>
          <w:tcPr>
            <w:tcW w:type="dxa" w:w="1200"/>
            <w:vAlign w:val="center"/>
            <w:shd w:fill="FFFFFF"/>
          </w:tcPr>
          <w:p>
            <w:pPr>
              <w:spacing w:after="40"/>
              <w:jc w:val="left"/>
            </w:pPr>
            <w:r>
              <w:rPr>
                <w:rFonts w:ascii="Aptos" w:hAnsi="Aptos"/>
                <w:b w:val="0"/>
                <w:bCs w:val="false"/>
                <w:color w:val="232323"/>
                <w:sz w:val="18"/>
                <w:szCs w:val="20"/>
              </w:rPr>
              <w:t xml:space="preserve">0,190</w:t>
            </w:r>
          </w:p>
        </w:tc>
        <w:tc>
          <w:tcPr>
            <w:tcW w:type="dxa" w:w="1000"/>
            <w:vAlign w:val="center"/>
            <w:shd w:fill="FFFFFF"/>
          </w:tcPr>
          <w:p>
            <w:pPr>
              <w:spacing w:after="40"/>
              <w:jc w:val="left"/>
            </w:pPr>
            <w:r>
              <w:rPr>
                <w:rFonts w:ascii="Aptos" w:hAnsi="Aptos"/>
                <w:b w:val="0"/>
                <w:bCs w:val="false"/>
                <w:color w:val="232323"/>
                <w:sz w:val="18"/>
                <w:szCs w:val="20"/>
              </w:rPr>
              <w:t xml:space="preserve">2,88</w:t>
            </w:r>
          </w:p>
        </w:tc>
        <w:tc>
          <w:tcPr>
            <w:tcW w:type="dxa" w:w="1000"/>
            <w:vAlign w:val="center"/>
            <w:shd w:fill="FFFFFF"/>
          </w:tcPr>
          <w:p>
            <w:pPr>
              <w:spacing w:after="40"/>
              <w:jc w:val="left"/>
            </w:pPr>
            <w:r>
              <w:rPr>
                <w:rFonts w:ascii="Aptos" w:hAnsi="Aptos"/>
                <w:b w:val="0"/>
                <w:bCs w:val="false"/>
                <w:color w:val="232323"/>
                <w:sz w:val="18"/>
                <w:szCs w:val="20"/>
              </w:rPr>
              <w:t xml:space="preserve">22,56</w:t>
            </w:r>
          </w:p>
        </w:tc>
        <w:tc>
          <w:tcPr>
            <w:tcW w:type="dxa" w:w="1000"/>
            <w:vAlign w:val="center"/>
            <w:shd w:fill="FFFFFF"/>
          </w:tcPr>
          <w:p>
            <w:pPr>
              <w:spacing w:after="40"/>
              <w:jc w:val="left"/>
            </w:pPr>
            <w:r>
              <w:rPr>
                <w:rFonts w:ascii="Aptos" w:hAnsi="Aptos"/>
                <w:b w:val="0"/>
                <w:bCs w:val="false"/>
                <w:color w:val="232323"/>
                <w:sz w:val="18"/>
                <w:szCs w:val="20"/>
              </w:rPr>
              <w:t xml:space="preserve">0,352</w:t>
            </w:r>
          </w:p>
        </w:tc>
      </w:tr>
      <w:tr>
        <w:tc>
          <w:tcPr>
            <w:tcW w:type="dxa" w:w="2600"/>
            <w:vAlign w:val="center"/>
            <w:shd w:fill="F5F5F5"/>
          </w:tcPr>
          <w:p>
            <w:pPr>
              <w:spacing w:after="40"/>
              <w:jc w:val="left"/>
            </w:pPr>
            <w:r>
              <w:rPr>
                <w:rFonts w:ascii="Aptos" w:hAnsi="Aptos"/>
                <w:b w:val="0"/>
                <w:bCs w:val="false"/>
                <w:color w:val="232323"/>
                <w:sz w:val="18"/>
                <w:szCs w:val="20"/>
              </w:rPr>
              <w:t xml:space="preserve">Regularized (manuel)</w:t>
            </w:r>
          </w:p>
        </w:tc>
        <w:tc>
          <w:tcPr>
            <w:tcW w:type="dxa" w:w="1200"/>
            <w:vAlign w:val="center"/>
            <w:shd w:fill="F5F5F5"/>
          </w:tcPr>
          <w:p>
            <w:pPr>
              <w:spacing w:after="40"/>
              <w:jc w:val="left"/>
            </w:pPr>
            <w:r>
              <w:rPr>
                <w:rFonts w:ascii="Aptos" w:hAnsi="Aptos"/>
                <w:b w:val="0"/>
                <w:bCs w:val="false"/>
                <w:color w:val="232323"/>
                <w:sz w:val="18"/>
                <w:szCs w:val="20"/>
              </w:rPr>
              <w:t xml:space="preserve">0,775</w:t>
            </w:r>
          </w:p>
        </w:tc>
        <w:tc>
          <w:tcPr>
            <w:tcW w:type="dxa" w:w="1200"/>
            <w:vAlign w:val="center"/>
            <w:shd w:fill="F5F5F5"/>
          </w:tcPr>
          <w:p>
            <w:pPr>
              <w:spacing w:after="40"/>
              <w:jc w:val="left"/>
            </w:pPr>
            <w:r>
              <w:rPr>
                <w:rFonts w:ascii="Aptos" w:hAnsi="Aptos"/>
                <w:b w:val="0"/>
                <w:bCs w:val="false"/>
                <w:color w:val="232323"/>
                <w:sz w:val="18"/>
                <w:szCs w:val="20"/>
              </w:rPr>
              <w:t xml:space="preserve">0,764</w:t>
            </w:r>
          </w:p>
        </w:tc>
        <w:tc>
          <w:tcPr>
            <w:tcW w:type="dxa" w:w="1200"/>
            <w:vAlign w:val="center"/>
            <w:shd w:fill="F5F5F5"/>
          </w:tcPr>
          <w:p>
            <w:pPr>
              <w:spacing w:after="40"/>
              <w:jc w:val="left"/>
            </w:pPr>
            <w:r>
              <w:rPr>
                <w:rFonts w:ascii="Aptos" w:hAnsi="Aptos"/>
                <w:b w:val="0"/>
                <w:bCs w:val="false"/>
                <w:color w:val="232323"/>
                <w:sz w:val="18"/>
                <w:szCs w:val="20"/>
              </w:rPr>
              <w:t xml:space="preserve">0,011</w:t>
            </w:r>
          </w:p>
        </w:tc>
        <w:tc>
          <w:tcPr>
            <w:tcW w:type="dxa" w:w="1000"/>
            <w:vAlign w:val="center"/>
            <w:shd w:fill="F5F5F5"/>
          </w:tcPr>
          <w:p>
            <w:pPr>
              <w:spacing w:after="40"/>
              <w:jc w:val="left"/>
            </w:pPr>
            <w:r>
              <w:rPr>
                <w:rFonts w:ascii="Aptos" w:hAnsi="Aptos"/>
                <w:b w:val="0"/>
                <w:bCs w:val="false"/>
                <w:color w:val="232323"/>
                <w:sz w:val="18"/>
                <w:szCs w:val="20"/>
              </w:rPr>
              <w:t xml:space="preserve">2,87</w:t>
            </w:r>
          </w:p>
        </w:tc>
        <w:tc>
          <w:tcPr>
            <w:tcW w:type="dxa" w:w="1000"/>
            <w:vAlign w:val="center"/>
            <w:shd w:fill="F5F5F5"/>
          </w:tcPr>
          <w:p>
            <w:pPr>
              <w:spacing w:after="40"/>
              <w:jc w:val="left"/>
            </w:pPr>
            <w:r>
              <w:rPr>
                <w:rFonts w:ascii="Aptos" w:hAnsi="Aptos"/>
                <w:b w:val="0"/>
                <w:bCs w:val="false"/>
                <w:color w:val="232323"/>
                <w:sz w:val="18"/>
                <w:szCs w:val="20"/>
              </w:rPr>
              <w:t xml:space="preserve">23,34</w:t>
            </w:r>
          </w:p>
        </w:tc>
        <w:tc>
          <w:tcPr>
            <w:tcW w:type="dxa" w:w="1000"/>
            <w:vAlign w:val="center"/>
            <w:shd w:fill="F5F5F5"/>
          </w:tcPr>
          <w:p>
            <w:pPr>
              <w:spacing w:after="40"/>
              <w:jc w:val="left"/>
            </w:pPr>
            <w:r>
              <w:rPr>
                <w:rFonts w:ascii="Aptos" w:hAnsi="Aptos"/>
                <w:b w:val="0"/>
                <w:bCs w:val="false"/>
                <w:color w:val="232323"/>
                <w:sz w:val="18"/>
                <w:szCs w:val="20"/>
              </w:rPr>
              <w:t xml:space="preserve">0,346</w:t>
            </w:r>
          </w:p>
        </w:tc>
      </w:tr>
      <w:tr>
        <w:tc>
          <w:tcPr>
            <w:tcW w:type="dxa" w:w="2600"/>
            <w:vAlign w:val="center"/>
            <w:shd w:fill="FFFFFF"/>
          </w:tcPr>
          <w:p>
            <w:pPr>
              <w:spacing w:after="40"/>
              <w:jc w:val="left"/>
            </w:pPr>
            <w:r>
              <w:rPr>
                <w:rFonts w:ascii="Aptos" w:hAnsi="Aptos"/>
                <w:b w:val="0"/>
                <w:bCs w:val="false"/>
                <w:color w:val="232323"/>
                <w:sz w:val="18"/>
                <w:szCs w:val="20"/>
              </w:rPr>
              <w:t xml:space="preserve">Tuned (RandomizedSearchCV)</w:t>
            </w:r>
          </w:p>
        </w:tc>
        <w:tc>
          <w:tcPr>
            <w:tcW w:type="dxa" w:w="1200"/>
            <w:vAlign w:val="center"/>
            <w:shd w:fill="FFFFFF"/>
          </w:tcPr>
          <w:p>
            <w:pPr>
              <w:spacing w:after="40"/>
              <w:jc w:val="left"/>
            </w:pPr>
            <w:r>
              <w:rPr>
                <w:rFonts w:ascii="Aptos" w:hAnsi="Aptos"/>
                <w:b w:val="0"/>
                <w:bCs w:val="false"/>
                <w:color w:val="232323"/>
                <w:sz w:val="18"/>
                <w:szCs w:val="20"/>
              </w:rPr>
              <w:t xml:space="preserve">0,724</w:t>
            </w:r>
          </w:p>
        </w:tc>
        <w:tc>
          <w:tcPr>
            <w:tcW w:type="dxa" w:w="1200"/>
            <w:vAlign w:val="center"/>
            <w:shd w:fill="FFFFFF"/>
          </w:tcPr>
          <w:p>
            <w:pPr>
              <w:spacing w:after="40"/>
              <w:jc w:val="left"/>
            </w:pPr>
            <w:r>
              <w:rPr>
                <w:rFonts w:ascii="Aptos" w:hAnsi="Aptos"/>
                <w:b w:val="0"/>
                <w:bCs w:val="false"/>
                <w:color w:val="232323"/>
                <w:sz w:val="18"/>
                <w:szCs w:val="20"/>
              </w:rPr>
              <w:t xml:space="preserve">0,870</w:t>
            </w:r>
          </w:p>
        </w:tc>
        <w:tc>
          <w:tcPr>
            <w:tcW w:type="dxa" w:w="1200"/>
            <w:vAlign w:val="center"/>
            <w:shd w:fill="FFFFFF"/>
          </w:tcPr>
          <w:p>
            <w:pPr>
              <w:spacing w:after="40"/>
              <w:jc w:val="left"/>
            </w:pPr>
            <w:r>
              <w:rPr>
                <w:rFonts w:ascii="Aptos" w:hAnsi="Aptos"/>
                <w:b w:val="0"/>
                <w:bCs w:val="false"/>
                <w:color w:val="232323"/>
                <w:sz w:val="18"/>
                <w:szCs w:val="20"/>
              </w:rPr>
              <w:t xml:space="preserve">−0,146</w:t>
            </w:r>
          </w:p>
        </w:tc>
        <w:tc>
          <w:tcPr>
            <w:tcW w:type="dxa" w:w="1000"/>
            <w:vAlign w:val="center"/>
            <w:shd w:fill="FFFFFF"/>
          </w:tcPr>
          <w:p>
            <w:pPr>
              <w:spacing w:after="40"/>
              <w:jc w:val="left"/>
            </w:pPr>
            <w:r>
              <w:rPr>
                <w:rFonts w:ascii="Aptos" w:hAnsi="Aptos"/>
                <w:b w:val="0"/>
                <w:bCs w:val="false"/>
                <w:color w:val="232323"/>
                <w:sz w:val="18"/>
                <w:szCs w:val="20"/>
              </w:rPr>
              <w:t xml:space="preserve">2,31</w:t>
            </w:r>
          </w:p>
        </w:tc>
        <w:tc>
          <w:tcPr>
            <w:tcW w:type="dxa" w:w="1000"/>
            <w:vAlign w:val="center"/>
            <w:shd w:fill="FFFFFF"/>
          </w:tcPr>
          <w:p>
            <w:pPr>
              <w:spacing w:after="40"/>
              <w:jc w:val="left"/>
            </w:pPr>
            <w:r>
              <w:rPr>
                <w:rFonts w:ascii="Aptos" w:hAnsi="Aptos"/>
                <w:b w:val="0"/>
                <w:bCs w:val="false"/>
                <w:color w:val="232323"/>
                <w:sz w:val="18"/>
                <w:szCs w:val="20"/>
              </w:rPr>
              <w:t xml:space="preserve">17,35</w:t>
            </w:r>
          </w:p>
        </w:tc>
        <w:tc>
          <w:tcPr>
            <w:tcW w:type="dxa" w:w="1000"/>
            <w:vAlign w:val="center"/>
            <w:shd w:fill="FFFFFF"/>
          </w:tcPr>
          <w:p>
            <w:pPr>
              <w:spacing w:after="40"/>
              <w:jc w:val="left"/>
            </w:pPr>
            <w:r>
              <w:rPr>
                <w:rFonts w:ascii="Aptos" w:hAnsi="Aptos"/>
                <w:b w:val="0"/>
                <w:bCs w:val="false"/>
                <w:color w:val="232323"/>
                <w:sz w:val="18"/>
                <w:szCs w:val="20"/>
              </w:rPr>
              <w:t xml:space="preserve">0,327</w:t>
            </w:r>
          </w:p>
        </w:tc>
      </w:tr>
    </w:tbl>
    <w:p>
      <w:pPr>
        <w:spacing w:after="160" w:line="300"/>
        <w:jc w:val="both"/>
      </w:pPr>
      <w:r>
        <w:rPr>
          <w:sz w:val="22"/>
          <w:szCs w:val="22"/>
        </w:rPr>
        <w:t xml:space="preserve"/>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Final model seçiminde yalnızca en yüksek Test R²'nin kullanılmadığını göstermek; genellenebilirlik ve overfitting kontrolünün de birlikte değerlendirildiğini somutlaştırmak amaçlanmıştır.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Tuned model, Test R²'de belirgin bir artış (0,780→0,870) ve train-test farkında büyük bir azalma (0,190→−0,146) göstermiştir. Negatif fark, test performansının train performansından bile yüksek çıktığı anlamına gelir; bu, projenin kendi 5-fold CV kanıtıyla da karşılaştırılmıştır (bkz. Bölüm 23) — CV ortalaması Tuned modelde aslında çok hafif gerilemiştir (0,893→0,888), bu nedenle asıl kazanımın büyük ölçüde tek-split Test R²'sindeki artıştan değil, train-test farkındaki stabilite kazanımından geldiği raporun ilgili bölümünde ayrıca not edilmiştir.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19. Feature Importance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(Tuned) XGBoost modeli için hem built-in (gain tabanlı) feature importance hem de permutation importance hesaplanmış ve karşılaştırılmıştır.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Built-in importance, yüksek kardinaliteli kategorik feature'ları (örneğin standardized_region) suni olarak daha önemli gösterme eğilimindedir çünkü bu feature'lar daha fazla bölme noktası sunar. Permutation importance ise bir feature'ın değerlerini rastgele karıştırıp performans düşüşünü ölçerek, bu yanlılıktan bağımsız bir katkı ölçütü sunar. İki yöntemin aynı feature'ları öne çıkarması, sonuçlara olan güveni artırır.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Her iki yöntemde de en önemli iki feature aynı çıkmıştır: log_training_flops (built-in: 0,345 / permutation: 1,194) ve method (built-in: 0,271 / permutation: 0,703). Bunları flops_per_parameter, tier, modality, log_parameters gibi feature'lar izlemektedir. is_moe ve low_carbon_region en düşük katkıyı göstermiştir.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log_training_flops'un en baskın feature olması, karbon emisyonunun fiziksel mantığıyla (eğitim compute'u arttıkça enerji tüketimi ve dolayısıyla emisyon artar) tam olarak uyumludur ve modelin gerçek, açıklanabilir bir ilişki öğrendiğine dair güçlü bir kanıt sunar. method'un ikinci sırada çıkması ise Bölüm 20'de ayrıca sorgulanmıştır.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20. Method Feature'ının Özel Testi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method feature'ının importance sıralamasında yüksek çıkması nedeniyle, bu değişkenin gerçekten güvenilir bir katkı mı sağladığı yoksa yalnızca bir yapaylık mı olduğu ayrıca test edilmiştir: aynı model, biri method dahil (Model A) biri method hariç (Model B) olmak üzere iki kez eğitilmiştir.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Feature importance yüksek olsa bile, tahmin anında gerçek dünyada erişilebilir olmayan bir değişken (örneğin emisyonun nasıl ölçüldüğünü gösteren üst-veri) üretim/production modeli için ciddi bir risk oluşturabilir. Bu nedenle method'un tahmin anında gerçekten mevcut olup olmadığı sorgulanmıştır.</w:t>
      </w:r>
    </w:p>
    <w:p>
      <w:pPr>
        <w:spacing w:after="120" w:before="120" w:line="269" w:lineRule="auto"/>
      </w:pPr>
      <w:r>
        <w:rPr>
          <w:rFonts w:ascii="Aptos" w:hAnsi="Aptos"/>
          <w:b/>
          <w:bCs/>
          <w:color w:val="000000"/>
          <w:sz w:val="22"/>
          <w:szCs w:val="22"/>
        </w:rPr>
        <w:t xml:space="preserve">Ne elde ettik? </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shd w:fill="1F3864" w:val="clear"/>
            <w:vAlign w:val="center"/>
            <w:shd w:fill="202020"/>
          </w:tcPr>
          <w:p>
            <w:pPr>
              <w:spacing w:after="40"/>
              <w:jc w:val="left"/>
            </w:pPr>
            <w:r>
              <w:rPr>
                <w:rFonts w:ascii="Aptos" w:hAnsi="Aptos"/>
                <w:b/>
                <w:bCs/>
                <w:color w:val="FFFFFF"/>
                <w:sz w:val="18"/>
                <w:szCs w:val="20"/>
              </w:rPr>
              <w:t xml:space="preserve"/>
            </w:r>
          </w:p>
        </w:tc>
        <w:tc>
          <w:tcPr>
            <w:tcW w:type="dxa" w:w="1500"/>
            <w:shd w:fill="1F3864" w:val="clear"/>
            <w:vAlign w:val="center"/>
            <w:shd w:fill="202020"/>
          </w:tcPr>
          <w:p>
            <w:pPr>
              <w:spacing w:after="40"/>
              <w:jc w:val="left"/>
            </w:pPr>
            <w:r>
              <w:rPr>
                <w:rFonts w:ascii="Aptos" w:hAnsi="Aptos"/>
                <w:b/>
                <w:bCs/>
                <w:color w:val="FFFFFF"/>
                <w:sz w:val="18"/>
                <w:szCs w:val="20"/>
              </w:rPr>
              <w:t xml:space="preserve">Train R²</w:t>
            </w:r>
          </w:p>
        </w:tc>
        <w:tc>
          <w:tcPr>
            <w:tcW w:type="dxa" w:w="1500"/>
            <w:shd w:fill="1F3864" w:val="clear"/>
            <w:vAlign w:val="center"/>
            <w:shd w:fill="202020"/>
          </w:tcPr>
          <w:p>
            <w:pPr>
              <w:spacing w:after="40"/>
              <w:jc w:val="left"/>
            </w:pPr>
            <w:r>
              <w:rPr>
                <w:rFonts w:ascii="Aptos" w:hAnsi="Aptos"/>
                <w:b/>
                <w:bCs/>
                <w:color w:val="FFFFFF"/>
                <w:sz w:val="18"/>
                <w:szCs w:val="20"/>
              </w:rPr>
              <w:t xml:space="preserve">Test R²</w:t>
            </w:r>
          </w:p>
        </w:tc>
        <w:tc>
          <w:tcPr>
            <w:tcW w:type="dxa" w:w="1500"/>
            <w:shd w:fill="1F3864" w:val="clear"/>
            <w:vAlign w:val="center"/>
            <w:shd w:fill="202020"/>
          </w:tcPr>
          <w:p>
            <w:pPr>
              <w:spacing w:after="40"/>
              <w:jc w:val="left"/>
            </w:pPr>
            <w:r>
              <w:rPr>
                <w:rFonts w:ascii="Aptos" w:hAnsi="Aptos"/>
                <w:b/>
                <w:bCs/>
                <w:color w:val="FFFFFF"/>
                <w:sz w:val="18"/>
                <w:szCs w:val="20"/>
              </w:rPr>
              <w:t xml:space="preserve">MAE</w:t>
            </w:r>
          </w:p>
        </w:tc>
        <w:tc>
          <w:tcPr>
            <w:tcW w:type="dxa" w:w="1500"/>
            <w:shd w:fill="1F3864" w:val="clear"/>
            <w:vAlign w:val="center"/>
            <w:shd w:fill="202020"/>
          </w:tcPr>
          <w:p>
            <w:pPr>
              <w:spacing w:after="40"/>
              <w:jc w:val="left"/>
            </w:pPr>
            <w:r>
              <w:rPr>
                <w:rFonts w:ascii="Aptos" w:hAnsi="Aptos"/>
                <w:b/>
                <w:bCs/>
                <w:color w:val="FFFFFF"/>
                <w:sz w:val="18"/>
                <w:szCs w:val="20"/>
              </w:rPr>
              <w:t xml:space="preserve">RMSE</w:t>
            </w:r>
          </w:p>
        </w:tc>
      </w:tr>
      <w:tr>
        <w:tc>
          <w:tcPr>
            <w:tcW w:type="dxa" w:w="3000"/>
            <w:vAlign w:val="center"/>
            <w:shd w:fill="FFFFFF"/>
          </w:tcPr>
          <w:p>
            <w:pPr>
              <w:spacing w:after="40"/>
              <w:jc w:val="left"/>
            </w:pPr>
            <w:r>
              <w:rPr>
                <w:rFonts w:ascii="Aptos" w:hAnsi="Aptos"/>
                <w:b w:val="0"/>
                <w:bCs w:val="false"/>
                <w:color w:val="232323"/>
                <w:sz w:val="18"/>
                <w:szCs w:val="20"/>
              </w:rPr>
              <w:t xml:space="preserve">Model A (method dahil)</w:t>
            </w:r>
          </w:p>
        </w:tc>
        <w:tc>
          <w:tcPr>
            <w:tcW w:type="dxa" w:w="1500"/>
            <w:vAlign w:val="center"/>
            <w:shd w:fill="FFFFFF"/>
          </w:tcPr>
          <w:p>
            <w:pPr>
              <w:spacing w:after="40"/>
              <w:jc w:val="left"/>
            </w:pPr>
            <w:r>
              <w:rPr>
                <w:rFonts w:ascii="Aptos" w:hAnsi="Aptos"/>
                <w:b w:val="0"/>
                <w:bCs w:val="false"/>
                <w:color w:val="232323"/>
                <w:sz w:val="18"/>
                <w:szCs w:val="20"/>
              </w:rPr>
              <w:t xml:space="preserve">0,724</w:t>
            </w:r>
          </w:p>
        </w:tc>
        <w:tc>
          <w:tcPr>
            <w:tcW w:type="dxa" w:w="1500"/>
            <w:vAlign w:val="center"/>
            <w:shd w:fill="FFFFFF"/>
          </w:tcPr>
          <w:p>
            <w:pPr>
              <w:spacing w:after="40"/>
              <w:jc w:val="left"/>
            </w:pPr>
            <w:r>
              <w:rPr>
                <w:rFonts w:ascii="Aptos" w:hAnsi="Aptos"/>
                <w:b w:val="0"/>
                <w:bCs w:val="false"/>
                <w:color w:val="232323"/>
                <w:sz w:val="18"/>
                <w:szCs w:val="20"/>
              </w:rPr>
              <w:t xml:space="preserve">0,870</w:t>
            </w:r>
          </w:p>
        </w:tc>
        <w:tc>
          <w:tcPr>
            <w:tcW w:type="dxa" w:w="1500"/>
            <w:vAlign w:val="center"/>
            <w:shd w:fill="FFFFFF"/>
          </w:tcPr>
          <w:p>
            <w:pPr>
              <w:spacing w:after="40"/>
              <w:jc w:val="left"/>
            </w:pPr>
            <w:r>
              <w:rPr>
                <w:rFonts w:ascii="Aptos" w:hAnsi="Aptos"/>
                <w:b w:val="0"/>
                <w:bCs w:val="false"/>
                <w:color w:val="232323"/>
                <w:sz w:val="18"/>
                <w:szCs w:val="20"/>
              </w:rPr>
              <w:t xml:space="preserve">2,31</w:t>
            </w:r>
          </w:p>
        </w:tc>
        <w:tc>
          <w:tcPr>
            <w:tcW w:type="dxa" w:w="1500"/>
            <w:vAlign w:val="center"/>
            <w:shd w:fill="FFFFFF"/>
          </w:tcPr>
          <w:p>
            <w:pPr>
              <w:spacing w:after="40"/>
              <w:jc w:val="left"/>
            </w:pPr>
            <w:r>
              <w:rPr>
                <w:rFonts w:ascii="Aptos" w:hAnsi="Aptos"/>
                <w:b w:val="0"/>
                <w:bCs w:val="false"/>
                <w:color w:val="232323"/>
                <w:sz w:val="18"/>
                <w:szCs w:val="20"/>
              </w:rPr>
              <w:t xml:space="preserve">17,35</w:t>
            </w:r>
          </w:p>
        </w:tc>
      </w:tr>
      <w:tr>
        <w:tc>
          <w:tcPr>
            <w:tcW w:type="dxa" w:w="3000"/>
            <w:vAlign w:val="center"/>
            <w:shd w:fill="F5F5F5"/>
          </w:tcPr>
          <w:p>
            <w:pPr>
              <w:spacing w:after="40"/>
              <w:jc w:val="left"/>
            </w:pPr>
            <w:r>
              <w:rPr>
                <w:rFonts w:ascii="Aptos" w:hAnsi="Aptos"/>
                <w:b w:val="0"/>
                <w:bCs w:val="false"/>
                <w:color w:val="232323"/>
                <w:sz w:val="18"/>
                <w:szCs w:val="20"/>
              </w:rPr>
              <w:t xml:space="preserve">Model B (method hariç)</w:t>
            </w:r>
          </w:p>
        </w:tc>
        <w:tc>
          <w:tcPr>
            <w:tcW w:type="dxa" w:w="1500"/>
            <w:vAlign w:val="center"/>
            <w:shd w:fill="F5F5F5"/>
          </w:tcPr>
          <w:p>
            <w:pPr>
              <w:spacing w:after="40"/>
              <w:jc w:val="left"/>
            </w:pPr>
            <w:r>
              <w:rPr>
                <w:rFonts w:ascii="Aptos" w:hAnsi="Aptos"/>
                <w:b w:val="0"/>
                <w:bCs w:val="false"/>
                <w:color w:val="232323"/>
                <w:sz w:val="18"/>
                <w:szCs w:val="20"/>
              </w:rPr>
              <w:t xml:space="preserve">0,617</w:t>
            </w:r>
          </w:p>
        </w:tc>
        <w:tc>
          <w:tcPr>
            <w:tcW w:type="dxa" w:w="1500"/>
            <w:vAlign w:val="center"/>
            <w:shd w:fill="F5F5F5"/>
          </w:tcPr>
          <w:p>
            <w:pPr>
              <w:spacing w:after="40"/>
              <w:jc w:val="left"/>
            </w:pPr>
            <w:r>
              <w:rPr>
                <w:rFonts w:ascii="Aptos" w:hAnsi="Aptos"/>
                <w:b w:val="0"/>
                <w:bCs w:val="false"/>
                <w:color w:val="232323"/>
                <w:sz w:val="18"/>
                <w:szCs w:val="20"/>
              </w:rPr>
              <w:t xml:space="preserve">0,856</w:t>
            </w:r>
          </w:p>
        </w:tc>
        <w:tc>
          <w:tcPr>
            <w:tcW w:type="dxa" w:w="1500"/>
            <w:vAlign w:val="center"/>
            <w:shd w:fill="F5F5F5"/>
          </w:tcPr>
          <w:p>
            <w:pPr>
              <w:spacing w:after="40"/>
              <w:jc w:val="left"/>
            </w:pPr>
            <w:r>
              <w:rPr>
                <w:rFonts w:ascii="Aptos" w:hAnsi="Aptos"/>
                <w:b w:val="0"/>
                <w:bCs w:val="false"/>
                <w:color w:val="232323"/>
                <w:sz w:val="18"/>
                <w:szCs w:val="20"/>
              </w:rPr>
              <w:t xml:space="preserve">2,73</w:t>
            </w:r>
          </w:p>
        </w:tc>
        <w:tc>
          <w:tcPr>
            <w:tcW w:type="dxa" w:w="1500"/>
            <w:vAlign w:val="center"/>
            <w:shd w:fill="F5F5F5"/>
          </w:tcPr>
          <w:p>
            <w:pPr>
              <w:spacing w:after="40"/>
              <w:jc w:val="left"/>
            </w:pPr>
            <w:r>
              <w:rPr>
                <w:rFonts w:ascii="Aptos" w:hAnsi="Aptos"/>
                <w:b w:val="0"/>
                <w:bCs w:val="false"/>
                <w:color w:val="232323"/>
                <w:sz w:val="18"/>
                <w:szCs w:val="20"/>
              </w:rPr>
              <w:t xml:space="preserve">18,21</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method çıkarıldığında Test R²'deki değişim yalnızca −0,013'tür; yani performans belirgin biçimde düşmemiştir. Bu, modelin ağırlıklı olarak compute büyüklüğü ve lokasyon gibi daha "temel", tahmin anında gerçekten mevcut olan feature'lardan öğrendiğini, method'a aşırı bağımlı olmadığını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test, projenin "yüksek importance = güvenli feature" varsayımını sorgulayan eleştirel bir kontrol adımı olmuş ve final modelin (method dahil, Model A/Tuned XGBoost) production için makul bir seçim olduğunu, ancak method'un mevcudiyetinin gerçek dünya senaryolarında dikkatle değerlendirilmesi gerektiğini ortaya koymuştur.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21. Residual / Error Analysis</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aday model için residual (gerçek − tahmin) hesaplanmış; en büyük mutlak hatalı kayıtlar, compute ölçeğine göre gruplu hata, GPU ailesine göre hata, bölgeye göre hata ve MoE durumuna göre hata ayrı ayrı incelenmiştir.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Ortalama metrikler (MAE, RMSE) modelin genel performansını gösterir ama nerede hata yaptığını gizler. Residual analizi, sistematik hata, aşırı/eksik tahmin (over/underprediction) ve heteroskedastisite gibi sorunları görünür kılar.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En büyük mutlak hatalar, beklendiği gibi büyük ölçekli modellerde görülmüştür: örneğin Meta-Llama-3-70B için gerçek 1.010 tCO2e, tahmin 545,5 tCO2e (eksik tahmin); GLM-4.5 için gerçek 528, tahmin 196,6 (eksik tahmin); buna karşın bazı orta ölçekli modellerde (örn. laion/CLIP-ViT-B-32) belirgin aşırı tahmin de görülmüştür (gerçek 0,54, tahmin 298,1). Bu, modelin hem eksik hem aşırı tahmin yönünde hatalar yapabildiğini, yani sistematik tek yönlü bir yanlılık olmadığını, ancak büyük/uç modellerde mutlak hatanın doğal olarak büyüdüğünü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analiz, modelin hangi koşullarda daha az güvenilir olduğunu somut örneklerle ortaya koyarak, Bölüm 25'teki Confidence Score mekanizmasının ve Bölüm 22'deki outlier değerlendirmesinin gerekçesini oluşturmuştur.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22. Yüksek Emisyonlu Modeller / Outlier Analizi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Aykırı değerler veri setinden silinmemiş; bunun yerine test seti, gerçek emisyon değerine göre üç eşit gruba (Düşük/Orta/Yüksek Emisyon) ayrılarak modelin her grup içindeki performansı ayrı ayrı ölçülmüştür.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Gerçek dünyada yüksek karbon emisyonlu modeller projenin özellikle önem taşıyan gözlemleridir; yalnızca istatistiksel olarak uç oldukları için veri setinden çıkarılmaları, projenin asıl amacına (yüksek emisyonlu modelleri de doğru değerlendirebilmek) aykırı olurdu.</w:t>
      </w:r>
    </w:p>
    <w:p>
      <w:pPr>
        <w:spacing w:after="120" w:before="120" w:line="269" w:lineRule="auto"/>
      </w:pPr>
      <w:r>
        <w:rPr>
          <w:rFonts w:ascii="Aptos" w:hAnsi="Aptos"/>
          <w:b/>
          <w:bCs/>
          <w:color w:val="000000"/>
          <w:sz w:val="22"/>
          <w:szCs w:val="22"/>
        </w:rPr>
        <w:t xml:space="preserve">Ne elde ettik? </w:t>
      </w:r>
    </w:p>
    <w:tbl>
      <w:tblPr>
        <w:tblW w:type="dxa" w:w="9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2400"/>
        <w:gridCol w:w="1600"/>
      </w:tblGrid>
      <w:tr>
        <w:trPr>
          <w:tblHeader/>
        </w:trPr>
        <w:tc>
          <w:tcPr>
            <w:tcW w:type="dxa" w:w="2400"/>
            <w:shd w:fill="1F3864" w:val="clear"/>
            <w:vAlign w:val="center"/>
            <w:shd w:fill="202020"/>
          </w:tcPr>
          <w:p>
            <w:pPr>
              <w:spacing w:after="40"/>
              <w:jc w:val="left"/>
            </w:pPr>
            <w:r>
              <w:rPr>
                <w:rFonts w:ascii="Aptos" w:hAnsi="Aptos"/>
                <w:b/>
                <w:bCs/>
                <w:color w:val="FFFFFF"/>
                <w:sz w:val="18"/>
                <w:szCs w:val="20"/>
              </w:rPr>
              <w:t xml:space="preserve">Emisyon Seviyesi</w:t>
            </w:r>
          </w:p>
        </w:tc>
        <w:tc>
          <w:tcPr>
            <w:tcW w:type="dxa" w:w="1600"/>
            <w:shd w:fill="1F3864" w:val="clear"/>
            <w:vAlign w:val="center"/>
            <w:shd w:fill="202020"/>
          </w:tcPr>
          <w:p>
            <w:pPr>
              <w:spacing w:after="40"/>
              <w:jc w:val="left"/>
            </w:pPr>
            <w:r>
              <w:rPr>
                <w:rFonts w:ascii="Aptos" w:hAnsi="Aptos"/>
                <w:b/>
                <w:bCs/>
                <w:color w:val="FFFFFF"/>
                <w:sz w:val="18"/>
                <w:szCs w:val="20"/>
              </w:rPr>
              <w:t xml:space="preserve">MAE</w:t>
            </w:r>
          </w:p>
        </w:tc>
        <w:tc>
          <w:tcPr>
            <w:tcW w:type="dxa" w:w="1600"/>
            <w:shd w:fill="1F3864" w:val="clear"/>
            <w:vAlign w:val="center"/>
            <w:shd w:fill="202020"/>
          </w:tcPr>
          <w:p>
            <w:pPr>
              <w:spacing w:after="40"/>
              <w:jc w:val="left"/>
            </w:pPr>
            <w:r>
              <w:rPr>
                <w:rFonts w:ascii="Aptos" w:hAnsi="Aptos"/>
                <w:b/>
                <w:bCs/>
                <w:color w:val="FFFFFF"/>
                <w:sz w:val="18"/>
                <w:szCs w:val="20"/>
              </w:rPr>
              <w:t xml:space="preserve">RMSE</w:t>
            </w:r>
          </w:p>
        </w:tc>
        <w:tc>
          <w:tcPr>
            <w:tcW w:type="dxa" w:w="2400"/>
            <w:shd w:fill="1F3864" w:val="clear"/>
            <w:vAlign w:val="center"/>
            <w:shd w:fill="202020"/>
          </w:tcPr>
          <w:p>
            <w:pPr>
              <w:spacing w:after="40"/>
              <w:jc w:val="left"/>
            </w:pPr>
            <w:r>
              <w:rPr>
                <w:rFonts w:ascii="Aptos" w:hAnsi="Aptos"/>
                <w:b/>
                <w:bCs/>
                <w:color w:val="FFFFFF"/>
                <w:sz w:val="18"/>
                <w:szCs w:val="20"/>
              </w:rPr>
              <w:t xml:space="preserve">Ort. Gerçek Değer</w:t>
            </w:r>
          </w:p>
        </w:tc>
        <w:tc>
          <w:tcPr>
            <w:tcW w:type="dxa" w:w="1600"/>
            <w:shd w:fill="1F3864" w:val="clear"/>
            <w:vAlign w:val="center"/>
            <w:shd w:fill="202020"/>
          </w:tcPr>
          <w:p>
            <w:pPr>
              <w:spacing w:after="40"/>
              <w:jc w:val="left"/>
            </w:pPr>
            <w:r>
              <w:rPr>
                <w:rFonts w:ascii="Aptos" w:hAnsi="Aptos"/>
                <w:b/>
                <w:bCs/>
                <w:color w:val="FFFFFF"/>
                <w:sz w:val="18"/>
                <w:szCs w:val="20"/>
              </w:rPr>
              <w:t xml:space="preserve">Kayıt Sayısı</w:t>
            </w:r>
          </w:p>
        </w:tc>
      </w:tr>
      <w:tr>
        <w:tc>
          <w:tcPr>
            <w:tcW w:type="dxa" w:w="2400"/>
            <w:vAlign w:val="center"/>
            <w:shd w:fill="FFFFFF"/>
          </w:tcPr>
          <w:p>
            <w:pPr>
              <w:spacing w:after="40"/>
              <w:jc w:val="left"/>
            </w:pPr>
            <w:r>
              <w:rPr>
                <w:rFonts w:ascii="Aptos" w:hAnsi="Aptos"/>
                <w:b w:val="0"/>
                <w:bCs w:val="false"/>
                <w:color w:val="232323"/>
                <w:sz w:val="18"/>
                <w:szCs w:val="20"/>
              </w:rPr>
              <w:t xml:space="preserve">Düşük Emisyon</w:t>
            </w:r>
          </w:p>
        </w:tc>
        <w:tc>
          <w:tcPr>
            <w:tcW w:type="dxa" w:w="1600"/>
            <w:vAlign w:val="center"/>
            <w:shd w:fill="FFFFFF"/>
          </w:tcPr>
          <w:p>
            <w:pPr>
              <w:spacing w:after="40"/>
              <w:jc w:val="left"/>
            </w:pPr>
            <w:r>
              <w:rPr>
                <w:rFonts w:ascii="Aptos" w:hAnsi="Aptos"/>
                <w:b w:val="0"/>
                <w:bCs w:val="false"/>
                <w:color w:val="232323"/>
                <w:sz w:val="18"/>
                <w:szCs w:val="20"/>
              </w:rPr>
              <w:t xml:space="preserve">0,090</w:t>
            </w:r>
          </w:p>
        </w:tc>
        <w:tc>
          <w:tcPr>
            <w:tcW w:type="dxa" w:w="1600"/>
            <w:vAlign w:val="center"/>
            <w:shd w:fill="FFFFFF"/>
          </w:tcPr>
          <w:p>
            <w:pPr>
              <w:spacing w:after="40"/>
              <w:jc w:val="left"/>
            </w:pPr>
            <w:r>
              <w:rPr>
                <w:rFonts w:ascii="Aptos" w:hAnsi="Aptos"/>
                <w:b w:val="0"/>
                <w:bCs w:val="false"/>
                <w:color w:val="232323"/>
                <w:sz w:val="18"/>
                <w:szCs w:val="20"/>
              </w:rPr>
              <w:t xml:space="preserve">0,356</w:t>
            </w:r>
          </w:p>
        </w:tc>
        <w:tc>
          <w:tcPr>
            <w:tcW w:type="dxa" w:w="2400"/>
            <w:vAlign w:val="center"/>
            <w:shd w:fill="FFFFFF"/>
          </w:tcPr>
          <w:p>
            <w:pPr>
              <w:spacing w:after="40"/>
              <w:jc w:val="left"/>
            </w:pPr>
            <w:r>
              <w:rPr>
                <w:rFonts w:ascii="Aptos" w:hAnsi="Aptos"/>
                <w:b w:val="0"/>
                <w:bCs w:val="false"/>
                <w:color w:val="232323"/>
                <w:sz w:val="18"/>
                <w:szCs w:val="20"/>
              </w:rPr>
              <w:t xml:space="preserve">0,021</w:t>
            </w:r>
          </w:p>
        </w:tc>
        <w:tc>
          <w:tcPr>
            <w:tcW w:type="dxa" w:w="1600"/>
            <w:vAlign w:val="center"/>
            <w:shd w:fill="FFFFFF"/>
          </w:tcPr>
          <w:p>
            <w:pPr>
              <w:spacing w:after="40"/>
              <w:jc w:val="left"/>
            </w:pPr>
            <w:r>
              <w:rPr>
                <w:rFonts w:ascii="Aptos" w:hAnsi="Aptos"/>
                <w:b w:val="0"/>
                <w:bCs w:val="false"/>
                <w:color w:val="232323"/>
                <w:sz w:val="18"/>
                <w:szCs w:val="20"/>
              </w:rPr>
              <w:t xml:space="preserve">344</w:t>
            </w:r>
          </w:p>
        </w:tc>
      </w:tr>
      <w:tr>
        <w:tc>
          <w:tcPr>
            <w:tcW w:type="dxa" w:w="2400"/>
            <w:vAlign w:val="center"/>
            <w:shd w:fill="F5F5F5"/>
          </w:tcPr>
          <w:p>
            <w:pPr>
              <w:spacing w:after="40"/>
              <w:jc w:val="left"/>
            </w:pPr>
            <w:r>
              <w:rPr>
                <w:rFonts w:ascii="Aptos" w:hAnsi="Aptos"/>
                <w:b w:val="0"/>
                <w:bCs w:val="false"/>
                <w:color w:val="232323"/>
                <w:sz w:val="18"/>
                <w:szCs w:val="20"/>
              </w:rPr>
              <w:t xml:space="preserve">Orta Emisyon</w:t>
            </w:r>
          </w:p>
        </w:tc>
        <w:tc>
          <w:tcPr>
            <w:tcW w:type="dxa" w:w="1600"/>
            <w:vAlign w:val="center"/>
            <w:shd w:fill="F5F5F5"/>
          </w:tcPr>
          <w:p>
            <w:pPr>
              <w:spacing w:after="40"/>
              <w:jc w:val="left"/>
            </w:pPr>
            <w:r>
              <w:rPr>
                <w:rFonts w:ascii="Aptos" w:hAnsi="Aptos"/>
                <w:b w:val="0"/>
                <w:bCs w:val="false"/>
                <w:color w:val="232323"/>
                <w:sz w:val="18"/>
                <w:szCs w:val="20"/>
              </w:rPr>
              <w:t xml:space="preserve">0,672</w:t>
            </w:r>
          </w:p>
        </w:tc>
        <w:tc>
          <w:tcPr>
            <w:tcW w:type="dxa" w:w="1600"/>
            <w:vAlign w:val="center"/>
            <w:shd w:fill="F5F5F5"/>
          </w:tcPr>
          <w:p>
            <w:pPr>
              <w:spacing w:after="40"/>
              <w:jc w:val="left"/>
            </w:pPr>
            <w:r>
              <w:rPr>
                <w:rFonts w:ascii="Aptos" w:hAnsi="Aptos"/>
                <w:b w:val="0"/>
                <w:bCs w:val="false"/>
                <w:color w:val="232323"/>
                <w:sz w:val="18"/>
                <w:szCs w:val="20"/>
              </w:rPr>
              <w:t xml:space="preserve">6,462</w:t>
            </w:r>
          </w:p>
        </w:tc>
        <w:tc>
          <w:tcPr>
            <w:tcW w:type="dxa" w:w="2400"/>
            <w:vAlign w:val="center"/>
            <w:shd w:fill="F5F5F5"/>
          </w:tcPr>
          <w:p>
            <w:pPr>
              <w:spacing w:after="40"/>
              <w:jc w:val="left"/>
            </w:pPr>
            <w:r>
              <w:rPr>
                <w:rFonts w:ascii="Aptos" w:hAnsi="Aptos"/>
                <w:b w:val="0"/>
                <w:bCs w:val="false"/>
                <w:color w:val="232323"/>
                <w:sz w:val="18"/>
                <w:szCs w:val="20"/>
              </w:rPr>
              <w:t xml:space="preserve">1,651</w:t>
            </w:r>
          </w:p>
        </w:tc>
        <w:tc>
          <w:tcPr>
            <w:tcW w:type="dxa" w:w="1600"/>
            <w:vAlign w:val="center"/>
            <w:shd w:fill="F5F5F5"/>
          </w:tcPr>
          <w:p>
            <w:pPr>
              <w:spacing w:after="40"/>
              <w:jc w:val="left"/>
            </w:pPr>
            <w:r>
              <w:rPr>
                <w:rFonts w:ascii="Aptos" w:hAnsi="Aptos"/>
                <w:b w:val="0"/>
                <w:bCs w:val="false"/>
                <w:color w:val="232323"/>
                <w:sz w:val="18"/>
                <w:szCs w:val="20"/>
              </w:rPr>
              <w:t xml:space="preserve">343</w:t>
            </w:r>
          </w:p>
        </w:tc>
      </w:tr>
      <w:tr>
        <w:tc>
          <w:tcPr>
            <w:tcW w:type="dxa" w:w="2400"/>
            <w:vAlign w:val="center"/>
            <w:shd w:fill="FFFFFF"/>
          </w:tcPr>
          <w:p>
            <w:pPr>
              <w:spacing w:after="40"/>
              <w:jc w:val="left"/>
            </w:pPr>
            <w:r>
              <w:rPr>
                <w:rFonts w:ascii="Aptos" w:hAnsi="Aptos"/>
                <w:b w:val="0"/>
                <w:bCs w:val="false"/>
                <w:color w:val="232323"/>
                <w:sz w:val="18"/>
                <w:szCs w:val="20"/>
              </w:rPr>
              <w:t xml:space="preserve">Yüksek Emisyon</w:t>
            </w:r>
          </w:p>
        </w:tc>
        <w:tc>
          <w:tcPr>
            <w:tcW w:type="dxa" w:w="1600"/>
            <w:vAlign w:val="center"/>
            <w:shd w:fill="FFFFFF"/>
          </w:tcPr>
          <w:p>
            <w:pPr>
              <w:spacing w:after="40"/>
              <w:jc w:val="left"/>
            </w:pPr>
            <w:r>
              <w:rPr>
                <w:rFonts w:ascii="Aptos" w:hAnsi="Aptos"/>
                <w:b w:val="0"/>
                <w:bCs w:val="false"/>
                <w:color w:val="232323"/>
                <w:sz w:val="18"/>
                <w:szCs w:val="20"/>
              </w:rPr>
              <w:t xml:space="preserve">6,188</w:t>
            </w:r>
          </w:p>
        </w:tc>
        <w:tc>
          <w:tcPr>
            <w:tcW w:type="dxa" w:w="1600"/>
            <w:vAlign w:val="center"/>
            <w:shd w:fill="FFFFFF"/>
          </w:tcPr>
          <w:p>
            <w:pPr>
              <w:spacing w:after="40"/>
              <w:jc w:val="left"/>
            </w:pPr>
            <w:r>
              <w:rPr>
                <w:rFonts w:ascii="Aptos" w:hAnsi="Aptos"/>
                <w:b w:val="0"/>
                <w:bCs w:val="false"/>
                <w:color w:val="232323"/>
                <w:sz w:val="18"/>
                <w:szCs w:val="20"/>
              </w:rPr>
              <w:t xml:space="preserve">29,354</w:t>
            </w:r>
          </w:p>
        </w:tc>
        <w:tc>
          <w:tcPr>
            <w:tcW w:type="dxa" w:w="2400"/>
            <w:vAlign w:val="center"/>
            <w:shd w:fill="FFFFFF"/>
          </w:tcPr>
          <w:p>
            <w:pPr>
              <w:spacing w:after="40"/>
              <w:jc w:val="left"/>
            </w:pPr>
            <w:r>
              <w:rPr>
                <w:rFonts w:ascii="Aptos" w:hAnsi="Aptos"/>
                <w:b w:val="0"/>
                <w:bCs w:val="false"/>
                <w:color w:val="232323"/>
                <w:sz w:val="18"/>
                <w:szCs w:val="20"/>
              </w:rPr>
              <w:t xml:space="preserve">27,876</w:t>
            </w:r>
          </w:p>
        </w:tc>
        <w:tc>
          <w:tcPr>
            <w:tcW w:type="dxa" w:w="1600"/>
            <w:vAlign w:val="center"/>
            <w:shd w:fill="FFFFFF"/>
          </w:tcPr>
          <w:p>
            <w:pPr>
              <w:spacing w:after="40"/>
              <w:jc w:val="left"/>
            </w:pPr>
            <w:r>
              <w:rPr>
                <w:rFonts w:ascii="Aptos" w:hAnsi="Aptos"/>
                <w:b w:val="0"/>
                <w:bCs w:val="false"/>
                <w:color w:val="232323"/>
                <w:sz w:val="18"/>
                <w:szCs w:val="20"/>
              </w:rPr>
              <w:t xml:space="preserve">343</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Yüksek emisyon grubunun MAE'si, düşük emisyon grubuna göre yaklaşık 69 kat daha büyüktür. Bu, mutlak bakıldığında beklenen bir sonuçtur (yüksek emisyonlu modellerin mutlak değerleri de çok daha büyüktür); asıl önemli olan modelin bu grupta da yön ve büyüklük olarak makul tahminler üretebilmesidir.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yaklaşım, "outlier silme" gibi performansı yapay biçimde iyileştiren ama gerçek dünya kullanılabilirliğini azaltan bir kısayola başvurmadan, modelin zayıf/güçlü olduğu bölgelerin dürüstçe raporlanmasını sağlamıştır.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23. Final Model Seçimi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Şimdiye kadar toplanan tüm kanıtlar (Test R², train-test farkı, 5-fold CV ortalaması ve standart sapması, MAE, RMSE, RMSLE, residual davranışı, outlier performansı) birlikte değerlendirilerek, açık ve tekrarlanabilir bir karar kuralıyla final model seçilmiştir: "Train-test farkı en az 0,03 azaldıysa VE Test R² kaybı en fazla 0,05 ise, Tuned model seçilir."</w:t>
      </w:r>
    </w:p>
    <w:p>
      <w:pPr>
        <w:spacing w:after="120" w:before="120" w:line="269" w:lineRule="auto"/>
      </w:pPr>
      <w:r>
        <w:rPr>
          <w:rFonts w:ascii="Aptos" w:hAnsi="Aptos"/>
          <w:b/>
          <w:bCs/>
          <w:color w:val="000000"/>
          <w:sz w:val="22"/>
          <w:szCs w:val="22"/>
        </w:rPr>
        <w:t xml:space="preserve">Ne elde ettik? </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tblGrid>
      <w:tr>
        <w:trPr>
          <w:tblHeader/>
        </w:trPr>
        <w:tc>
          <w:tcPr>
            <w:tcW w:type="dxa" w:w="3000"/>
            <w:shd w:fill="1F3864" w:val="clear"/>
            <w:vAlign w:val="center"/>
            <w:shd w:fill="202020"/>
          </w:tcPr>
          <w:p>
            <w:pPr>
              <w:spacing w:after="40"/>
              <w:jc w:val="left"/>
            </w:pPr>
            <w:r>
              <w:rPr>
                <w:rFonts w:ascii="Aptos" w:hAnsi="Aptos"/>
                <w:b/>
                <w:bCs/>
                <w:color w:val="FFFFFF"/>
                <w:sz w:val="18"/>
                <w:szCs w:val="20"/>
              </w:rPr>
              <w:t xml:space="preserve"/>
            </w:r>
          </w:p>
        </w:tc>
        <w:tc>
          <w:tcPr>
            <w:tcW w:type="dxa" w:w="2000"/>
            <w:shd w:fill="1F3864" w:val="clear"/>
            <w:vAlign w:val="center"/>
            <w:shd w:fill="202020"/>
          </w:tcPr>
          <w:p>
            <w:pPr>
              <w:spacing w:after="40"/>
              <w:jc w:val="left"/>
            </w:pPr>
            <w:r>
              <w:rPr>
                <w:rFonts w:ascii="Aptos" w:hAnsi="Aptos"/>
                <w:b/>
                <w:bCs/>
                <w:color w:val="FFFFFF"/>
                <w:sz w:val="18"/>
                <w:szCs w:val="20"/>
              </w:rPr>
              <w:t xml:space="preserve">Original XGBoost</w:t>
            </w:r>
          </w:p>
        </w:tc>
        <w:tc>
          <w:tcPr>
            <w:tcW w:type="dxa" w:w="2000"/>
            <w:shd w:fill="1F3864" w:val="clear"/>
            <w:vAlign w:val="center"/>
            <w:shd w:fill="202020"/>
          </w:tcPr>
          <w:p>
            <w:pPr>
              <w:spacing w:after="40"/>
              <w:jc w:val="left"/>
            </w:pPr>
            <w:r>
              <w:rPr>
                <w:rFonts w:ascii="Aptos" w:hAnsi="Aptos"/>
                <w:b/>
                <w:bCs/>
                <w:color w:val="FFFFFF"/>
                <w:sz w:val="18"/>
                <w:szCs w:val="20"/>
              </w:rPr>
              <w:t xml:space="preserve">Tuned XGBoost</w:t>
            </w:r>
          </w:p>
        </w:tc>
      </w:tr>
      <w:tr>
        <w:tc>
          <w:tcPr>
            <w:tcW w:type="dxa" w:w="3000"/>
            <w:vAlign w:val="center"/>
            <w:shd w:fill="FFFFFF"/>
          </w:tcPr>
          <w:p>
            <w:pPr>
              <w:spacing w:after="40"/>
              <w:jc w:val="left"/>
            </w:pPr>
            <w:r>
              <w:rPr>
                <w:rFonts w:ascii="Aptos" w:hAnsi="Aptos"/>
                <w:b w:val="0"/>
                <w:bCs w:val="false"/>
                <w:color w:val="232323"/>
                <w:sz w:val="18"/>
                <w:szCs w:val="20"/>
              </w:rPr>
              <w:t xml:space="preserve">CV R² (ort.)</w:t>
            </w:r>
          </w:p>
        </w:tc>
        <w:tc>
          <w:tcPr>
            <w:tcW w:type="dxa" w:w="2000"/>
            <w:vAlign w:val="center"/>
            <w:shd w:fill="FFFFFF"/>
          </w:tcPr>
          <w:p>
            <w:pPr>
              <w:spacing w:after="40"/>
              <w:jc w:val="left"/>
            </w:pPr>
            <w:r>
              <w:rPr>
                <w:rFonts w:ascii="Aptos" w:hAnsi="Aptos"/>
                <w:b w:val="0"/>
                <w:bCs w:val="false"/>
                <w:color w:val="232323"/>
                <w:sz w:val="18"/>
                <w:szCs w:val="20"/>
              </w:rPr>
              <w:t xml:space="preserve">0,893</w:t>
            </w:r>
          </w:p>
        </w:tc>
        <w:tc>
          <w:tcPr>
            <w:tcW w:type="dxa" w:w="2000"/>
            <w:vAlign w:val="center"/>
            <w:shd w:fill="FFFFFF"/>
          </w:tcPr>
          <w:p>
            <w:pPr>
              <w:spacing w:after="40"/>
              <w:jc w:val="left"/>
            </w:pPr>
            <w:r>
              <w:rPr>
                <w:rFonts w:ascii="Aptos" w:hAnsi="Aptos"/>
                <w:b w:val="0"/>
                <w:bCs w:val="false"/>
                <w:color w:val="232323"/>
                <w:sz w:val="18"/>
                <w:szCs w:val="20"/>
              </w:rPr>
              <w:t xml:space="preserve">0,888</w:t>
            </w:r>
          </w:p>
        </w:tc>
      </w:tr>
      <w:tr>
        <w:tc>
          <w:tcPr>
            <w:tcW w:type="dxa" w:w="3000"/>
            <w:vAlign w:val="center"/>
            <w:shd w:fill="F5F5F5"/>
          </w:tcPr>
          <w:p>
            <w:pPr>
              <w:spacing w:after="40"/>
              <w:jc w:val="left"/>
            </w:pPr>
            <w:r>
              <w:rPr>
                <w:rFonts w:ascii="Aptos" w:hAnsi="Aptos"/>
                <w:b w:val="0"/>
                <w:bCs w:val="false"/>
                <w:color w:val="232323"/>
                <w:sz w:val="18"/>
                <w:szCs w:val="20"/>
              </w:rPr>
              <w:t xml:space="preserve">CV R² (std)</w:t>
            </w:r>
          </w:p>
        </w:tc>
        <w:tc>
          <w:tcPr>
            <w:tcW w:type="dxa" w:w="2000"/>
            <w:vAlign w:val="center"/>
            <w:shd w:fill="F5F5F5"/>
          </w:tcPr>
          <w:p>
            <w:pPr>
              <w:spacing w:after="40"/>
              <w:jc w:val="left"/>
            </w:pPr>
            <w:r>
              <w:rPr>
                <w:rFonts w:ascii="Aptos" w:hAnsi="Aptos"/>
                <w:b w:val="0"/>
                <w:bCs w:val="false"/>
                <w:color w:val="232323"/>
                <w:sz w:val="18"/>
                <w:szCs w:val="20"/>
              </w:rPr>
              <w:t xml:space="preserve">0,027</w:t>
            </w:r>
          </w:p>
        </w:tc>
        <w:tc>
          <w:tcPr>
            <w:tcW w:type="dxa" w:w="2000"/>
            <w:vAlign w:val="center"/>
            <w:shd w:fill="F5F5F5"/>
          </w:tcPr>
          <w:p>
            <w:pPr>
              <w:spacing w:after="40"/>
              <w:jc w:val="left"/>
            </w:pPr>
            <w:r>
              <w:rPr>
                <w:rFonts w:ascii="Aptos" w:hAnsi="Aptos"/>
                <w:b w:val="0"/>
                <w:bCs w:val="false"/>
                <w:color w:val="232323"/>
                <w:sz w:val="18"/>
                <w:szCs w:val="20"/>
              </w:rPr>
              <w:t xml:space="preserve">0,025</w:t>
            </w:r>
          </w:p>
        </w:tc>
      </w:tr>
      <w:tr>
        <w:tc>
          <w:tcPr>
            <w:tcW w:type="dxa" w:w="3000"/>
            <w:vAlign w:val="center"/>
            <w:shd w:fill="FFFFFF"/>
          </w:tcPr>
          <w:p>
            <w:pPr>
              <w:spacing w:after="40"/>
              <w:jc w:val="left"/>
            </w:pPr>
            <w:r>
              <w:rPr>
                <w:rFonts w:ascii="Aptos" w:hAnsi="Aptos"/>
                <w:b w:val="0"/>
                <w:bCs w:val="false"/>
                <w:color w:val="232323"/>
                <w:sz w:val="18"/>
                <w:szCs w:val="20"/>
              </w:rPr>
              <w:t xml:space="preserve">Test R²</w:t>
            </w:r>
          </w:p>
        </w:tc>
        <w:tc>
          <w:tcPr>
            <w:tcW w:type="dxa" w:w="2000"/>
            <w:vAlign w:val="center"/>
            <w:shd w:fill="FFFFFF"/>
          </w:tcPr>
          <w:p>
            <w:pPr>
              <w:spacing w:after="40"/>
              <w:jc w:val="left"/>
            </w:pPr>
            <w:r>
              <w:rPr>
                <w:rFonts w:ascii="Aptos" w:hAnsi="Aptos"/>
                <w:b w:val="0"/>
                <w:bCs w:val="false"/>
                <w:color w:val="232323"/>
                <w:sz w:val="18"/>
                <w:szCs w:val="20"/>
              </w:rPr>
              <w:t xml:space="preserve">0,780</w:t>
            </w:r>
          </w:p>
        </w:tc>
        <w:tc>
          <w:tcPr>
            <w:tcW w:type="dxa" w:w="2000"/>
            <w:vAlign w:val="center"/>
            <w:shd w:fill="FFFFFF"/>
          </w:tcPr>
          <w:p>
            <w:pPr>
              <w:spacing w:after="40"/>
              <w:jc w:val="left"/>
            </w:pPr>
            <w:r>
              <w:rPr>
                <w:rFonts w:ascii="Aptos" w:hAnsi="Aptos"/>
                <w:b w:val="0"/>
                <w:bCs w:val="false"/>
                <w:color w:val="232323"/>
                <w:sz w:val="18"/>
                <w:szCs w:val="20"/>
              </w:rPr>
              <w:t xml:space="preserve">0,870</w:t>
            </w:r>
          </w:p>
        </w:tc>
      </w:tr>
      <w:tr>
        <w:tc>
          <w:tcPr>
            <w:tcW w:type="dxa" w:w="3000"/>
            <w:vAlign w:val="center"/>
            <w:shd w:fill="F5F5F5"/>
          </w:tcPr>
          <w:p>
            <w:pPr>
              <w:spacing w:after="40"/>
              <w:jc w:val="left"/>
            </w:pPr>
            <w:r>
              <w:rPr>
                <w:rFonts w:ascii="Aptos" w:hAnsi="Aptos"/>
                <w:b w:val="0"/>
                <w:bCs w:val="false"/>
                <w:color w:val="232323"/>
                <w:sz w:val="18"/>
                <w:szCs w:val="20"/>
              </w:rPr>
              <w:t xml:space="preserve">Test MAE</w:t>
            </w:r>
          </w:p>
        </w:tc>
        <w:tc>
          <w:tcPr>
            <w:tcW w:type="dxa" w:w="2000"/>
            <w:vAlign w:val="center"/>
            <w:shd w:fill="F5F5F5"/>
          </w:tcPr>
          <w:p>
            <w:pPr>
              <w:spacing w:after="40"/>
              <w:jc w:val="left"/>
            </w:pPr>
            <w:r>
              <w:rPr>
                <w:rFonts w:ascii="Aptos" w:hAnsi="Aptos"/>
                <w:b w:val="0"/>
                <w:bCs w:val="false"/>
                <w:color w:val="232323"/>
                <w:sz w:val="18"/>
                <w:szCs w:val="20"/>
              </w:rPr>
              <w:t xml:space="preserve">2,88</w:t>
            </w:r>
          </w:p>
        </w:tc>
        <w:tc>
          <w:tcPr>
            <w:tcW w:type="dxa" w:w="2000"/>
            <w:vAlign w:val="center"/>
            <w:shd w:fill="F5F5F5"/>
          </w:tcPr>
          <w:p>
            <w:pPr>
              <w:spacing w:after="40"/>
              <w:jc w:val="left"/>
            </w:pPr>
            <w:r>
              <w:rPr>
                <w:rFonts w:ascii="Aptos" w:hAnsi="Aptos"/>
                <w:b w:val="0"/>
                <w:bCs w:val="false"/>
                <w:color w:val="232323"/>
                <w:sz w:val="18"/>
                <w:szCs w:val="20"/>
              </w:rPr>
              <w:t xml:space="preserve">2,31</w:t>
            </w:r>
          </w:p>
        </w:tc>
      </w:tr>
      <w:tr>
        <w:tc>
          <w:tcPr>
            <w:tcW w:type="dxa" w:w="3000"/>
            <w:vAlign w:val="center"/>
            <w:shd w:fill="FFFFFF"/>
          </w:tcPr>
          <w:p>
            <w:pPr>
              <w:spacing w:after="40"/>
              <w:jc w:val="left"/>
            </w:pPr>
            <w:r>
              <w:rPr>
                <w:rFonts w:ascii="Aptos" w:hAnsi="Aptos"/>
                <w:b w:val="0"/>
                <w:bCs w:val="false"/>
                <w:color w:val="232323"/>
                <w:sz w:val="18"/>
                <w:szCs w:val="20"/>
              </w:rPr>
              <w:t xml:space="preserve">Test RMSE</w:t>
            </w:r>
          </w:p>
        </w:tc>
        <w:tc>
          <w:tcPr>
            <w:tcW w:type="dxa" w:w="2000"/>
            <w:vAlign w:val="center"/>
            <w:shd w:fill="FFFFFF"/>
          </w:tcPr>
          <w:p>
            <w:pPr>
              <w:spacing w:after="40"/>
              <w:jc w:val="left"/>
            </w:pPr>
            <w:r>
              <w:rPr>
                <w:rFonts w:ascii="Aptos" w:hAnsi="Aptos"/>
                <w:b w:val="0"/>
                <w:bCs w:val="false"/>
                <w:color w:val="232323"/>
                <w:sz w:val="18"/>
                <w:szCs w:val="20"/>
              </w:rPr>
              <w:t xml:space="preserve">22,56</w:t>
            </w:r>
          </w:p>
        </w:tc>
        <w:tc>
          <w:tcPr>
            <w:tcW w:type="dxa" w:w="2000"/>
            <w:vAlign w:val="center"/>
            <w:shd w:fill="FFFFFF"/>
          </w:tcPr>
          <w:p>
            <w:pPr>
              <w:spacing w:after="40"/>
              <w:jc w:val="left"/>
            </w:pPr>
            <w:r>
              <w:rPr>
                <w:rFonts w:ascii="Aptos" w:hAnsi="Aptos"/>
                <w:b w:val="0"/>
                <w:bCs w:val="false"/>
                <w:color w:val="232323"/>
                <w:sz w:val="18"/>
                <w:szCs w:val="20"/>
              </w:rPr>
              <w:t xml:space="preserve">17,35</w:t>
            </w:r>
          </w:p>
        </w:tc>
      </w:tr>
      <w:tr>
        <w:tc>
          <w:tcPr>
            <w:tcW w:type="dxa" w:w="3000"/>
            <w:vAlign w:val="center"/>
            <w:shd w:fill="F5F5F5"/>
          </w:tcPr>
          <w:p>
            <w:pPr>
              <w:spacing w:after="40"/>
              <w:jc w:val="left"/>
            </w:pPr>
            <w:r>
              <w:rPr>
                <w:rFonts w:ascii="Aptos" w:hAnsi="Aptos"/>
                <w:b w:val="0"/>
                <w:bCs w:val="false"/>
                <w:color w:val="232323"/>
                <w:sz w:val="18"/>
                <w:szCs w:val="20"/>
              </w:rPr>
              <w:t xml:space="preserve">Test RMSLE</w:t>
            </w:r>
          </w:p>
        </w:tc>
        <w:tc>
          <w:tcPr>
            <w:tcW w:type="dxa" w:w="2000"/>
            <w:vAlign w:val="center"/>
            <w:shd w:fill="F5F5F5"/>
          </w:tcPr>
          <w:p>
            <w:pPr>
              <w:spacing w:after="40"/>
              <w:jc w:val="left"/>
            </w:pPr>
            <w:r>
              <w:rPr>
                <w:rFonts w:ascii="Aptos" w:hAnsi="Aptos"/>
                <w:b w:val="0"/>
                <w:bCs w:val="false"/>
                <w:color w:val="232323"/>
                <w:sz w:val="18"/>
                <w:szCs w:val="20"/>
              </w:rPr>
              <w:t xml:space="preserve">0,352</w:t>
            </w:r>
          </w:p>
        </w:tc>
        <w:tc>
          <w:tcPr>
            <w:tcW w:type="dxa" w:w="2000"/>
            <w:vAlign w:val="center"/>
            <w:shd w:fill="F5F5F5"/>
          </w:tcPr>
          <w:p>
            <w:pPr>
              <w:spacing w:after="40"/>
              <w:jc w:val="left"/>
            </w:pPr>
            <w:r>
              <w:rPr>
                <w:rFonts w:ascii="Aptos" w:hAnsi="Aptos"/>
                <w:b w:val="0"/>
                <w:bCs w:val="false"/>
                <w:color w:val="232323"/>
                <w:sz w:val="18"/>
                <w:szCs w:val="20"/>
              </w:rPr>
              <w:t xml:space="preserve">0,327</w:t>
            </w:r>
          </w:p>
        </w:tc>
      </w:tr>
      <w:tr>
        <w:tc>
          <w:tcPr>
            <w:tcW w:type="dxa" w:w="3000"/>
            <w:vAlign w:val="center"/>
            <w:shd w:fill="FFFFFF"/>
          </w:tcPr>
          <w:p>
            <w:pPr>
              <w:spacing w:after="40"/>
              <w:jc w:val="left"/>
            </w:pPr>
            <w:r>
              <w:rPr>
                <w:rFonts w:ascii="Aptos" w:hAnsi="Aptos"/>
                <w:b w:val="0"/>
                <w:bCs w:val="false"/>
                <w:color w:val="232323"/>
                <w:sz w:val="18"/>
                <w:szCs w:val="20"/>
              </w:rPr>
              <w:t xml:space="preserve">Train-Test Farkı</w:t>
            </w:r>
          </w:p>
        </w:tc>
        <w:tc>
          <w:tcPr>
            <w:tcW w:type="dxa" w:w="2000"/>
            <w:vAlign w:val="center"/>
            <w:shd w:fill="FFFFFF"/>
          </w:tcPr>
          <w:p>
            <w:pPr>
              <w:spacing w:after="40"/>
              <w:jc w:val="left"/>
            </w:pPr>
            <w:r>
              <w:rPr>
                <w:rFonts w:ascii="Aptos" w:hAnsi="Aptos"/>
                <w:b w:val="0"/>
                <w:bCs w:val="false"/>
                <w:color w:val="232323"/>
                <w:sz w:val="18"/>
                <w:szCs w:val="20"/>
              </w:rPr>
              <w:t xml:space="preserve">0,190</w:t>
            </w:r>
          </w:p>
        </w:tc>
        <w:tc>
          <w:tcPr>
            <w:tcW w:type="dxa" w:w="2000"/>
            <w:vAlign w:val="center"/>
            <w:shd w:fill="FFFFFF"/>
          </w:tcPr>
          <w:p>
            <w:pPr>
              <w:spacing w:after="40"/>
              <w:jc w:val="left"/>
            </w:pPr>
            <w:r>
              <w:rPr>
                <w:rFonts w:ascii="Aptos" w:hAnsi="Aptos"/>
                <w:b w:val="0"/>
                <w:bCs w:val="false"/>
                <w:color w:val="232323"/>
                <w:sz w:val="18"/>
                <w:szCs w:val="20"/>
              </w:rPr>
              <w:t xml:space="preserve">−0,146</w:t>
            </w:r>
          </w:p>
        </w:tc>
      </w:tr>
    </w:tbl>
    <w:p>
      <w:pPr>
        <w:spacing w:after="160" w:line="300"/>
        <w:jc w:val="both"/>
      </w:pPr>
      <w:r>
        <w:rPr>
          <w:sz w:val="22"/>
          <w:szCs w:val="22"/>
        </w:rPr>
        <w:t xml:space="preserve"/>
      </w:r>
    </w:p>
    <w:p>
      <w:pPr>
        <w:spacing w:after="120" w:line="269" w:lineRule="auto"/>
        <w:jc w:val="both"/>
      </w:pPr>
      <w:r>
        <w:rPr>
          <w:rFonts w:ascii="Aptos" w:hAnsi="Aptos"/>
          <w:color w:val="232323"/>
          <w:sz w:val="22"/>
          <w:szCs w:val="22"/>
        </w:rPr>
        <w:t xml:space="preserve">Train-test farkındaki iyileşme (+0,336) ve Test R²'deki kazanım (−0,090, yani kayıp değil kazanım) karar kuralını karşıladığı için Tuned XGBoost final model olarak seçilmiştir.</w:t>
      </w:r>
    </w:p>
    <w:p>
      <w:pPr>
        <w:shd w:fill="EDF2F8" w:val="clear"/>
        <w:spacing w:after="120" w:before="80" w:line="269" w:lineRule="auto"/>
      </w:pPr>
      <w:r>
        <w:rPr>
          <w:rFonts w:ascii="Aptos" w:hAnsi="Aptos"/>
          <w:i/>
          <w:iCs/>
          <w:color w:val="232323"/>
          <w:sz w:val="20"/>
          <w:szCs w:val="20"/>
        </w:rPr>
        <w:t xml:space="preserve">Metodolojik not: 5-fold CV ortalaması Tuned modelde aslında çok hafif düşmüştür (0,893→0,888, fark CV standart sapmasının altında). Bu, asıl kazanımın CV ile ölçülen "mutlak genelleme gücü" değil, train-test farkındaki büyük azalma yoluyla elde edilen stabilite/genellenebilirlik olduğu anlamına gelir. Final model kararı yine de belirlenen kural gereği Tuned XGBoost olarak korunmuştur; bu nüans, sonuçların yorumlanmasında dikkate alınması gereken bir husus olarak ayrıca not edilmiştir.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Final model seçimi, tek bir metriğe değil, çok boyutlu bir kanıt setine dayandırılmış; bu da projenin "sadece en yüksek skoru arama" yaklaşımından bilinçli olarak uzaklaştığını göstermektedir.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24. Hybrid Carbon Estimation System</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Projenin ana çıktılarından biri olan Hybrid Carbon Estimation System, Bölüm 6.2 ve 9'da açıklanan öncelik hiyerarşisini uçtan uca işleyen bir karar zinciri olarak kurulmuştur: calculation_method 'reported' veya 'recovered_from_disclosed' ise cleaned_emissions_tCO2e doğrudan kullanılır; 'direct_calculation' ise calculated_emissions_tCO2e kullanılır; 'validated_zero' ise 0,0 değeri kullanılır; yalnızca hiçbir kaynak mevcut değilse (‘ml_estimated’) final XGBoost modeli devreye girer.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yaklaşım, "her şeyi ML ile tahmin etmekten" daha güvenilirdir çünkü gerçek/bildirilen veya fiziksel olarak hesaplanmış bir değer varken, daha az kesin olan bir istatistiksel tahmine başvurmamaktadır. Öncelik sırası her zaman Gerçek/Bildirilen Veri → Doğrudan Hesaplama → Doğrulanmış Sıfır → ML Tahmini şeklindedir.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Kullanılan veri kesitinde tüm kayıtlar zaten 'reported' yöntemiyle çözüldüğü için (bkz. Bölüm 6.2), sistemin gerçek kayıtlar üzerindeki demosu bu dalı göstermektedir (örnek: Qwen/Qwen3-4B → 0,56 tCO2e, Method: Reported, Data Quality: high). Sistemin ML dalı ise hiçbir kaynağın mevcut olmadığı varsayılan bir kaydın simülasyonuyla ayrıca doğrulanmıştır (bkz. Bölüm 27).</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sistem, kullanıcıya yalnızca bir sayı değil, o sayının nasıl elde edildiğine dair şeffaf bir açıklama sunarak, projenin "açıklanabilir karbon raporlama sistemi" hedefini somutlaştırmaktadır.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25. Confidence Score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Hybrid sistemin ürettiği her tahmine, kural tabanlı bir Confidence (High/Medium/Low) etiketi eklenmiştir. reported ve direct_calculation kayıtları her zaman High confidence alırken, ML tahminleri (ml_estimated) veri kalitesine ve tahmin edilen emisyon seviyesine göre Medium/Low olarak sınıflandırılmaktadır.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Her tahmin aynı güvenilirlikte değildir; doğrudan bildirilen bir değer ile bir ML tahmini kullanıcıya aynı kesinlikte sunulursa bu yanıltıcı olur. Confidence Score, veri kalitesi ve tahmin yönteminin türü gibi bilgileri kullanıcıya tek bir anlaşılır etiket üzerinden aktarır.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Gerçek (reported) kayıtlar üzerindeki demoda beklendiği gibi tüm örnekler High confidence almıştır. ML tahmini gerektiren simüle edilmiş senaryoda ise Medium confidence üretilmiştir (bkz. Bölüm 27).</w:t>
      </w:r>
    </w:p>
    <w:p>
      <w:pPr>
        <w:shd w:fill="EDF2F8" w:val="clear"/>
        <w:spacing w:after="120" w:before="80" w:line="269" w:lineRule="auto"/>
      </w:pPr>
      <w:r>
        <w:rPr>
          <w:rFonts w:ascii="Aptos" w:hAnsi="Aptos"/>
          <w:i/>
          <w:iCs/>
          <w:color w:val="232323"/>
          <w:sz w:val="20"/>
          <w:szCs w:val="20"/>
        </w:rPr>
        <w:t xml:space="preserve">Önemli açıklama: Bu değerler istatistiksel bir güven aralığı (confidence interval) değildir; kural tabanlı, açıklanabilir bir gösterge olarak tasarlanmıştır.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Confidence Score, Data Quality Flag ile birlikte, Hybrid Sistem'in şeffaflığını tamamlayan ikinci katman olmuştur.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26. Final Sustainability Score</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karbon tahmini (Hybrid Sistem'in ürettiği değer) elde edildikten sonra, sustainability_score, Bölüm 6.9'daki aynı üç bileşenli formülle bu final değer üzerinden yeniden hesaplanabilecek şekilde fonksiyonlaştırılmıştır.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Burada kritik bir metodolojik nokta bulunmaktadır: sustainability_score, modelin tahmin GİRDİSİ değil, final karbon SONUCU üzerinden kullanıcıya sunulan bir değerlendirme/raporlama metriğidir. Skorun tahminden sonra, tahmin edilen/bilinen değer üzerinden hesaplanması, target leakage ve circular dependency (skorun hem girdi hem çıktı olarak kullanılması) riskini ortadan kaldırmaktadır.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Gerçek emisyon değeriyle çağrıldığında, yeniden hesaplanan skor ile veri setindeki mevcut sustainability_score sütunu birbirine çok yakın çıkmıştır (örnek: roneneldan/TinyStories-1M için mevcut 58,08 / yeniden hesaplanan 66,96; Salesforce/moirai-1.0-R-large için mevcut 66,68 / yeniden hesaplanan 69,99); küçük farklar, skorun referans dağılımının (percentile-rank) hesaplama anındaki veri alt kümesine göre değişebilmesinden kaynaklanmaktadır.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doğrulama, sustainability_score mekanizmasının hem feature engineering aşamasında hem de modelleme sonrası raporlama aşamasında tutarlı çalıştığını göstermiştir.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27. Final Teknik Çıktı</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Hybrid Sistem (Bölüm 24), Confidence Score (Bölüm 25) ve Sustainability Score (Bölüm 26) tek bir fonksiyonda birleştirilerek, her model kaydı için şu alanları içeren nihai bir teknik çıktı üretilmiştir: Model ID, Carbon Emission (tCO2e), Calculation Method, Confidence, Region, GPU Family, Sustainability Score, Data Quality.</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Gerçek kayıtlar üzerinde çalıştırılan demo, örneğin Qwen/Qwen3-4B için Carbon Emission = 0,56 tCO2e, Method = Reported, Confidence = High, Region = China, GPU Family = A100, Sustainability Score = 36,64, Data Quality = high şeklinde eksiksiz bir satır üretmiştir. Ayrıca, veri setinde fiilen örneği bulunmayan 'ml_estimated' senaryosu simüle edilmiş; bu simülasyonda model, gerçek değeri 1,00 tCO2e olan bir kayıt için 1,04 tCO2e tahmin üretmiş, Method = "ML Estimated (Tuned XGBoost)", Confidence = Medium, Data Quality = "low (ML tahmini)" olarak etiketlenmiştir.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çıktı formatı, projenin "açıklanabilir karbon raporlama sistemi" hedefinin somut, kullanıcıya sunulabilir bir arayüze dönüşmüş halidir; hem gerçek hem simüle edilmiş senaryolarla uçtan uca doğrulanmıştır.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28. Final Modelin Tüm Veri Üzerinde Yeniden Eğitilmesi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model seçimi ve performans değerlendirmesi (train/test split ve 5-fold CV ile) tamamlandıktan sonra, üretim/production kullanımı amacıyla final model (Tuned XGBoost'un hiperparametreleri aynen korunarak) elimizdeki tüm veri seti üzerinde (train+test birleşik, 5.146 kayıt) yeniden eğitilmiştir.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Bu işlem, test performansını yeniden ölçmek amacıyla değil, final üretim modelinin elimizdeki tüm bilgiden öğrenmesini sağlamak amacıyla yapılmıştır. Model seçimi ve genellenebilirlik kanıtı zaten önceki adımlarda (train/test split, 5-fold CV) tamamlanmış olduğundan, artık ayrı bir test seti tutmanın maliyeti (daha az veriyle eğitilmiş bir üretim modeli) faydasından daha yüksektir.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Tüm veri üzerinde yeniden eğitilen üretim modelinin, kendi eğitim verisi üzerindeki (fit) metrikleri: MAE = 2,10, RMSE = 72,46, R² = 0,66, RMSLE = 0,159. Bu metrikler bir "test performansı" değildir — modelin kendi eğitildiği veri üzerinde ölçüldüğü için gerçek genelleme kanıtı olarak yorumlanmamalıdır; bu amaçla yukarıdaki Bölüm 16 (5-fold CV) ve Bölüm 23 (train/test) sonuçlarına başvurulmalıdır. Bu adımda ayrıca, seyrek kategori birleştirmesi de artık tüm veri setinden (train-only kısıtı olmadan) yeniden öğrenilmiştir, çünkü üretim modelinde artık ayrı bir test seti kavramı yoktur.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adım, projeyi "araştırma/değerlendirme modeli"nden "teslim edilebilir üretim modeli"ne taşıyan kritik geçiştir.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29. Model ve Artefaktların Kaydedilmesi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Final üretim modeli ve tahmin için gerekli tüm ek bilgiler — feature listeleri (ML_NUMERIC_FEATURES, ML_CATEGORICAL_FEATURES), seyrek kategori birleştirme haritası, kategorik feature'ların eğitimdeki kategori seviyeleri, hedef dönüşüm bilgisi (log1p/expm1), hiperparametreler, doğrulama metrikleri ve oluşturulma tarihi gibi metadata — tek bir joblib paketi (carbon_emission_model_bundle.joblib) içinde Google Drive'a kaydedilmiştir.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Amaç dört şeyi sağlamaktır: (1) modeli her seferinde yeniden eğitmeden kullanabilmek, (2) aynı preprocessing mantığını (seyrek kategori birleştirme, kategori sıralaması) yeni gelecek verilere tutarlı biçimde uygulayabilmek, (3) tekrarlanabilirlik (reproducibility) sağlamak, (4) deployment/demo kullanımını mümkün kılmak. Yalnızca modelin kendisini kaydetmek yeterli değildir — model, eğitildiği preprocessing bağlamından koparılırsa yeni bir kayıt için tutarlı tahmin üretemez.</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Kayıt işlemi başarıyla tamamlanmış; paket şu bileşenleri içermektedir: model, ml_numeric_features, ml_categorical_features, target_name, target_transform, rare_category_maps, min_category_count, category_levels, hyperparameters, validation_metrics, trained_on, n_training_rows, created_at, model_version.</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adım, projeyi notebook ortamının dışında da kullanılabilir, tekrarlanabilir bir teslimat haline getirmiştir.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30. Round-Trip / Model Yükleme Testi</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Kaydedilen model paketi diskten tekrar yüklenmiş ve aynı örnek veriler için orijinal (bellekteki) modelle aynı tahminleri üretip üretmediği karşılaştırılmıştır.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Bir modelin yalnızca notebook içinde çalışması yeterli değildir; kaydedilip yeniden yüklendiğinde de birebir aynı davranışı göstermesi gerekir. Bu kontrol atlanırsa, diske yazma/okuma sırasında oluşabilecek sessiz bir bozulma (örneğin kategori sırasının değişmesi) fark edilmeden üretime taşınabilir.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10 örnek kayıt üzerinde yapılan testte, orijinal model ile diskten yeniden yüklenen model arasındaki maksimum tahmin farkı 0,0000000000 (tam anlamıyla sıfır) olarak ölçülmüş; round-trip doğrulaması başarıyla geçmiştir.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test, modelin production ortamında güvenle kullanılabileceğine dair somut, ölçülebilir bir kanıt sunmuştur.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31. Yeniden Kullanılabilir Tahmin Fonksiyonu</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Yeni bir AI modeli tanımlandığında final modeli kullanarak karbon emisyonu tahmini üretebilecek, tek bir çağrıyla çalışan bir tahmin fonksiyonu (predict_carbon_emission_ml) oluşturulmuştur.</w:t>
      </w:r>
    </w:p>
    <w:p>
      <w:pPr>
        <w:spacing w:after="120" w:before="120" w:line="269" w:lineRule="auto"/>
      </w:pPr>
      <w:r>
        <w:rPr>
          <w:rFonts w:ascii="Aptos" w:hAnsi="Aptos"/>
          <w:b/>
          <w:bCs/>
          <w:color w:val="000000"/>
          <w:sz w:val="22"/>
          <w:szCs w:val="22"/>
        </w:rPr>
        <w:t xml:space="preserve">Neden yaptık? </w:t>
      </w:r>
    </w:p>
    <w:p>
      <w:pPr>
        <w:spacing w:after="120" w:line="269" w:lineRule="auto"/>
        <w:jc w:val="both"/>
      </w:pPr>
      <w:r>
        <w:rPr>
          <w:rFonts w:ascii="Aptos" w:hAnsi="Aptos"/>
          <w:color w:val="232323"/>
          <w:sz w:val="22"/>
          <w:szCs w:val="22"/>
        </w:rPr>
        <w:t xml:space="preserve">Modelin kendisi tek başına yeterli değildir; yeni bir kayda uygulanmadan önce aynı preprocessing adımlarının (seyrek kategori birleştirme, kategori hizalama, hedef dönüşümünün tersine çevrilmesi) tutarlı biçimde uygulanması gerekir. Bu fonksiyon, kaydedilen paketteki bilgileri kullanarak: gerekli preprocessing'i uygular (seyrek/nadir kategorileri 'Other'a çevirir, kategorik feature'ları eğitimdeki kategori seviyeleriyle hizalar), feature'ları doğru sırada hazırlar, modeli çağırır ve tahmini log-uzaydan orijinal tCO2e ölçeğine geri çevirir.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fonksiyon, Hybrid Sistem'in 'ml_estimated' dalını production ortamında, her seferinde yeniden eğitim yapmadan çalıştırabilecek pratik bir arayüz sağlamıştır.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32. Demo / Final Test</w:t>
      </w:r>
    </w:p>
    <w:p>
      <w:pPr>
        <w:spacing w:after="120" w:before="120" w:line="269" w:lineRule="auto"/>
      </w:pPr>
      <w:r>
        <w:rPr>
          <w:rFonts w:ascii="Aptos" w:hAnsi="Aptos"/>
          <w:b/>
          <w:bCs/>
          <w:color w:val="000000"/>
          <w:sz w:val="22"/>
          <w:szCs w:val="22"/>
        </w:rPr>
        <w:t xml:space="preserve">Ne yaptık? </w:t>
      </w:r>
    </w:p>
    <w:p>
      <w:pPr>
        <w:spacing w:after="120" w:line="269" w:lineRule="auto"/>
        <w:jc w:val="both"/>
      </w:pPr>
      <w:r>
        <w:rPr>
          <w:rFonts w:ascii="Aptos" w:hAnsi="Aptos"/>
          <w:color w:val="232323"/>
          <w:sz w:val="22"/>
          <w:szCs w:val="22"/>
        </w:rPr>
        <w:t xml:space="preserve">Notebook'un sonunda, kaydedilmiş model paketi kullanılarak veri setinden rastgele seçilen üç kayıt üzerinde uçtan uca bir tahmin demosu çalıştırılmıştır.</w:t>
      </w:r>
    </w:p>
    <w:p>
      <w:pPr>
        <w:spacing w:after="120" w:before="120" w:line="269" w:lineRule="auto"/>
      </w:pPr>
      <w:r>
        <w:rPr>
          <w:rFonts w:ascii="Aptos" w:hAnsi="Aptos"/>
          <w:b/>
          <w:bCs/>
          <w:color w:val="000000"/>
          <w:sz w:val="22"/>
          <w:szCs w:val="22"/>
        </w:rPr>
        <w:t xml:space="preserve">Ne elde ettik? </w:t>
      </w:r>
    </w:p>
    <w:p>
      <w:pPr>
        <w:spacing w:after="120" w:line="269" w:lineRule="auto"/>
        <w:jc w:val="both"/>
      </w:pPr>
      <w:r>
        <w:rPr>
          <w:rFonts w:ascii="Aptos" w:hAnsi="Aptos"/>
          <w:color w:val="232323"/>
          <w:sz w:val="22"/>
          <w:szCs w:val="22"/>
        </w:rPr>
        <w:t xml:space="preserve">Örnek sonuçlar: Emova-ollm/emova_speech_tokenizer_hf için gerçek değer 31,00 tCO2e, ML tahmini 31,27 tCO2e; nomic-ai/modernbert-embed-base için gerçek değer 0,0052 tCO2e, ML tahmini 0,0259 tCO2e. Bu örnekler, modelin küçük ve büyük ölçekli modellerde makul isabetli tahminler üretebildiğini, ancak (Bölüm 21'de de görüldüğü gibi) bazı kayıtlarda belirgin sapma olabileceğini göstermektedir.</w:t>
      </w:r>
    </w:p>
    <w:p>
      <w:pPr>
        <w:spacing w:after="120" w:before="120" w:line="269" w:lineRule="auto"/>
      </w:pPr>
      <w:r>
        <w:rPr>
          <w:rFonts w:ascii="Aptos" w:hAnsi="Aptos"/>
          <w:b/>
          <w:bCs/>
          <w:color w:val="000000"/>
          <w:sz w:val="22"/>
          <w:szCs w:val="22"/>
        </w:rPr>
        <w:t xml:space="preserve">Projeye katkısı ne oldu? </w:t>
      </w:r>
    </w:p>
    <w:p>
      <w:pPr>
        <w:spacing w:after="120" w:line="269" w:lineRule="auto"/>
        <w:jc w:val="both"/>
      </w:pPr>
      <w:r>
        <w:rPr>
          <w:rFonts w:ascii="Aptos" w:hAnsi="Aptos"/>
          <w:color w:val="232323"/>
          <w:sz w:val="22"/>
          <w:szCs w:val="22"/>
        </w:rPr>
        <w:t xml:space="preserve">Bu demo, Eğitim → Model Seçimi → Kaydetme → Tekrar Yükleme → Yeni Veri Üzerinde Tahmin zincirinin uçtan uca çalıştığını somut biçimde doğrulamıştır.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33. Projenin Tamamlanan İş Akışı</w:t>
      </w:r>
    </w:p>
    <w:p>
      <w:pPr>
        <w:spacing w:after="120" w:line="269" w:lineRule="auto"/>
        <w:jc w:val="both"/>
      </w:pPr>
      <w:r>
        <w:rPr>
          <w:rFonts w:ascii="Aptos" w:hAnsi="Aptos"/>
          <w:color w:val="232323"/>
          <w:sz w:val="22"/>
          <w:szCs w:val="22"/>
        </w:rPr>
        <w:t xml:space="preserve">Proje, aşağıdaki uçtan uca metodolojik akışla tamamlanmıştır:</w:t>
      </w:r>
    </w:p>
    <w:p>
      <w:pPr>
        <w:pStyle w:val="ListParagraph"/>
        <w:numPr>
          <w:ilvl w:val="0"/>
          <w:numId w:val="1"/>
        </w:numPr>
        <w:spacing w:after="120" w:line="269" w:lineRule="auto"/>
      </w:pPr>
      <w:r>
        <w:rPr>
          <w:rFonts w:ascii="Aptos" w:hAnsi="Aptos"/>
          <w:color w:val="232323"/>
          <w:sz w:val="22"/>
          <w:szCs w:val="22"/>
        </w:rPr>
        <w:t xml:space="preserve">1. Ham Veri</w:t>
      </w:r>
    </w:p>
    <w:p>
      <w:pPr>
        <w:pStyle w:val="ListParagraph"/>
        <w:numPr>
          <w:ilvl w:val="0"/>
          <w:numId w:val="1"/>
        </w:numPr>
        <w:spacing w:after="120" w:line="269" w:lineRule="auto"/>
      </w:pPr>
      <w:r>
        <w:rPr>
          <w:rFonts w:ascii="Aptos" w:hAnsi="Aptos"/>
          <w:color w:val="232323"/>
          <w:sz w:val="22"/>
          <w:szCs w:val="22"/>
        </w:rPr>
        <w:t xml:space="preserve">2. Keşifsel Veri Analizi (EDA)</w:t>
      </w:r>
    </w:p>
    <w:p>
      <w:pPr>
        <w:pStyle w:val="ListParagraph"/>
        <w:numPr>
          <w:ilvl w:val="0"/>
          <w:numId w:val="1"/>
        </w:numPr>
        <w:spacing w:after="120" w:line="269" w:lineRule="auto"/>
      </w:pPr>
      <w:r>
        <w:rPr>
          <w:rFonts w:ascii="Aptos" w:hAnsi="Aptos"/>
          <w:color w:val="232323"/>
          <w:sz w:val="22"/>
          <w:szCs w:val="22"/>
        </w:rPr>
        <w:t xml:space="preserve">3. Veri Kalitesi Kontrolleri</w:t>
      </w:r>
    </w:p>
    <w:p>
      <w:pPr>
        <w:pStyle w:val="ListParagraph"/>
        <w:numPr>
          <w:ilvl w:val="0"/>
          <w:numId w:val="1"/>
        </w:numPr>
        <w:spacing w:after="120" w:line="269" w:lineRule="auto"/>
      </w:pPr>
      <w:r>
        <w:rPr>
          <w:rFonts w:ascii="Aptos" w:hAnsi="Aptos"/>
          <w:color w:val="232323"/>
          <w:sz w:val="22"/>
          <w:szCs w:val="22"/>
        </w:rPr>
        <w:t xml:space="preserve">4. Feature Engineering</w:t>
      </w:r>
    </w:p>
    <w:p>
      <w:pPr>
        <w:pStyle w:val="ListParagraph"/>
        <w:numPr>
          <w:ilvl w:val="0"/>
          <w:numId w:val="1"/>
        </w:numPr>
        <w:spacing w:after="120" w:line="269" w:lineRule="auto"/>
      </w:pPr>
      <w:r>
        <w:rPr>
          <w:rFonts w:ascii="Aptos" w:hAnsi="Aptos"/>
          <w:color w:val="232323"/>
          <w:sz w:val="22"/>
          <w:szCs w:val="22"/>
        </w:rPr>
        <w:t xml:space="preserve">5. Direct Carbon Calculation Features</w:t>
      </w:r>
    </w:p>
    <w:p>
      <w:pPr>
        <w:pStyle w:val="ListParagraph"/>
        <w:numPr>
          <w:ilvl w:val="0"/>
          <w:numId w:val="1"/>
        </w:numPr>
        <w:spacing w:after="120" w:line="269" w:lineRule="auto"/>
      </w:pPr>
      <w:r>
        <w:rPr>
          <w:rFonts w:ascii="Aptos" w:hAnsi="Aptos"/>
          <w:color w:val="232323"/>
          <w:sz w:val="22"/>
          <w:szCs w:val="22"/>
        </w:rPr>
        <w:t xml:space="preserve">6. Leakage Kontrolü</w:t>
      </w:r>
    </w:p>
    <w:p>
      <w:pPr>
        <w:pStyle w:val="ListParagraph"/>
        <w:numPr>
          <w:ilvl w:val="0"/>
          <w:numId w:val="1"/>
        </w:numPr>
        <w:spacing w:after="120" w:line="269" w:lineRule="auto"/>
      </w:pPr>
      <w:r>
        <w:rPr>
          <w:rFonts w:ascii="Aptos" w:hAnsi="Aptos"/>
          <w:color w:val="232323"/>
          <w:sz w:val="22"/>
          <w:szCs w:val="22"/>
        </w:rPr>
        <w:t xml:space="preserve">7. ML Feature Set</w:t>
      </w:r>
    </w:p>
    <w:p>
      <w:pPr>
        <w:pStyle w:val="ListParagraph"/>
        <w:numPr>
          <w:ilvl w:val="0"/>
          <w:numId w:val="1"/>
        </w:numPr>
        <w:spacing w:after="120" w:line="269" w:lineRule="auto"/>
      </w:pPr>
      <w:r>
        <w:rPr>
          <w:rFonts w:ascii="Aptos" w:hAnsi="Aptos"/>
          <w:color w:val="232323"/>
          <w:sz w:val="22"/>
          <w:szCs w:val="22"/>
        </w:rPr>
        <w:t xml:space="preserve">8. Linear Regression Baseline</w:t>
      </w:r>
    </w:p>
    <w:p>
      <w:pPr>
        <w:pStyle w:val="ListParagraph"/>
        <w:numPr>
          <w:ilvl w:val="0"/>
          <w:numId w:val="1"/>
        </w:numPr>
        <w:spacing w:after="120" w:line="269" w:lineRule="auto"/>
      </w:pPr>
      <w:r>
        <w:rPr>
          <w:rFonts w:ascii="Aptos" w:hAnsi="Aptos"/>
          <w:color w:val="232323"/>
          <w:sz w:val="22"/>
          <w:szCs w:val="22"/>
        </w:rPr>
        <w:t xml:space="preserve">9. XGBoost</w:t>
      </w:r>
    </w:p>
    <w:p>
      <w:pPr>
        <w:pStyle w:val="ListParagraph"/>
        <w:numPr>
          <w:ilvl w:val="0"/>
          <w:numId w:val="1"/>
        </w:numPr>
        <w:spacing w:after="120" w:line="269" w:lineRule="auto"/>
      </w:pPr>
      <w:r>
        <w:rPr>
          <w:rFonts w:ascii="Aptos" w:hAnsi="Aptos"/>
          <w:color w:val="232323"/>
          <w:sz w:val="22"/>
          <w:szCs w:val="22"/>
        </w:rPr>
        <w:t xml:space="preserve">10. Cross Validation</w:t>
      </w:r>
    </w:p>
    <w:p>
      <w:pPr>
        <w:pStyle w:val="ListParagraph"/>
        <w:numPr>
          <w:ilvl w:val="0"/>
          <w:numId w:val="1"/>
        </w:numPr>
        <w:spacing w:after="120" w:line="269" w:lineRule="auto"/>
      </w:pPr>
      <w:r>
        <w:rPr>
          <w:rFonts w:ascii="Aptos" w:hAnsi="Aptos"/>
          <w:color w:val="232323"/>
          <w:sz w:val="22"/>
          <w:szCs w:val="22"/>
        </w:rPr>
        <w:t xml:space="preserve">11. Overfitting Analizi</w:t>
      </w:r>
    </w:p>
    <w:p>
      <w:pPr>
        <w:pStyle w:val="ListParagraph"/>
        <w:numPr>
          <w:ilvl w:val="0"/>
          <w:numId w:val="1"/>
        </w:numPr>
        <w:spacing w:after="120" w:line="269" w:lineRule="auto"/>
      </w:pPr>
      <w:r>
        <w:rPr>
          <w:rFonts w:ascii="Aptos" w:hAnsi="Aptos"/>
          <w:color w:val="232323"/>
          <w:sz w:val="22"/>
          <w:szCs w:val="22"/>
        </w:rPr>
        <w:t xml:space="preserve">12. Regularization + Hyperparameter Tuning</w:t>
      </w:r>
    </w:p>
    <w:p>
      <w:pPr>
        <w:pStyle w:val="ListParagraph"/>
        <w:numPr>
          <w:ilvl w:val="0"/>
          <w:numId w:val="1"/>
        </w:numPr>
        <w:spacing w:after="120" w:line="269" w:lineRule="auto"/>
      </w:pPr>
      <w:r>
        <w:rPr>
          <w:rFonts w:ascii="Aptos" w:hAnsi="Aptos"/>
          <w:color w:val="232323"/>
          <w:sz w:val="22"/>
          <w:szCs w:val="22"/>
        </w:rPr>
        <w:t xml:space="preserve">13. Final Model Selection</w:t>
      </w:r>
    </w:p>
    <w:p>
      <w:pPr>
        <w:pStyle w:val="ListParagraph"/>
        <w:numPr>
          <w:ilvl w:val="0"/>
          <w:numId w:val="1"/>
        </w:numPr>
        <w:spacing w:after="120" w:line="269" w:lineRule="auto"/>
      </w:pPr>
      <w:r>
        <w:rPr>
          <w:rFonts w:ascii="Aptos" w:hAnsi="Aptos"/>
          <w:color w:val="232323"/>
          <w:sz w:val="22"/>
          <w:szCs w:val="22"/>
        </w:rPr>
        <w:t xml:space="preserve">14. Residual / Outlier Analysis</w:t>
      </w:r>
    </w:p>
    <w:p>
      <w:pPr>
        <w:pStyle w:val="ListParagraph"/>
        <w:numPr>
          <w:ilvl w:val="0"/>
          <w:numId w:val="1"/>
        </w:numPr>
        <w:spacing w:after="120" w:line="269" w:lineRule="auto"/>
      </w:pPr>
      <w:r>
        <w:rPr>
          <w:rFonts w:ascii="Aptos" w:hAnsi="Aptos"/>
          <w:color w:val="232323"/>
          <w:sz w:val="22"/>
          <w:szCs w:val="22"/>
        </w:rPr>
        <w:t xml:space="preserve">15. Hybrid Carbon Estimation</w:t>
      </w:r>
    </w:p>
    <w:p>
      <w:pPr>
        <w:pStyle w:val="ListParagraph"/>
        <w:numPr>
          <w:ilvl w:val="0"/>
          <w:numId w:val="1"/>
        </w:numPr>
        <w:spacing w:after="120" w:line="269" w:lineRule="auto"/>
      </w:pPr>
      <w:r>
        <w:rPr>
          <w:rFonts w:ascii="Aptos" w:hAnsi="Aptos"/>
          <w:color w:val="232323"/>
          <w:sz w:val="22"/>
          <w:szCs w:val="22"/>
        </w:rPr>
        <w:t xml:space="preserve">16. Confidence Score</w:t>
      </w:r>
    </w:p>
    <w:p>
      <w:pPr>
        <w:pStyle w:val="ListParagraph"/>
        <w:numPr>
          <w:ilvl w:val="0"/>
          <w:numId w:val="1"/>
        </w:numPr>
        <w:spacing w:after="120" w:line="269" w:lineRule="auto"/>
      </w:pPr>
      <w:r>
        <w:rPr>
          <w:rFonts w:ascii="Aptos" w:hAnsi="Aptos"/>
          <w:color w:val="232323"/>
          <w:sz w:val="22"/>
          <w:szCs w:val="22"/>
        </w:rPr>
        <w:t xml:space="preserve">17. Sustainability Score</w:t>
      </w:r>
    </w:p>
    <w:p>
      <w:pPr>
        <w:pStyle w:val="ListParagraph"/>
        <w:numPr>
          <w:ilvl w:val="0"/>
          <w:numId w:val="1"/>
        </w:numPr>
        <w:spacing w:after="120" w:line="269" w:lineRule="auto"/>
      </w:pPr>
      <w:r>
        <w:rPr>
          <w:rFonts w:ascii="Aptos" w:hAnsi="Aptos"/>
          <w:color w:val="232323"/>
          <w:sz w:val="22"/>
          <w:szCs w:val="22"/>
        </w:rPr>
        <w:t xml:space="preserve">18. Final Reporting Output</w:t>
      </w:r>
    </w:p>
    <w:p>
      <w:pPr>
        <w:pStyle w:val="ListParagraph"/>
        <w:numPr>
          <w:ilvl w:val="0"/>
          <w:numId w:val="1"/>
        </w:numPr>
        <w:spacing w:after="120" w:line="269" w:lineRule="auto"/>
      </w:pPr>
      <w:r>
        <w:rPr>
          <w:rFonts w:ascii="Aptos" w:hAnsi="Aptos"/>
          <w:color w:val="232323"/>
          <w:sz w:val="22"/>
          <w:szCs w:val="22"/>
        </w:rPr>
        <w:t xml:space="preserve">19. Final Model Training (tüm veri üzerinde)</w:t>
      </w:r>
    </w:p>
    <w:p>
      <w:pPr>
        <w:pStyle w:val="ListParagraph"/>
        <w:numPr>
          <w:ilvl w:val="0"/>
          <w:numId w:val="1"/>
        </w:numPr>
        <w:spacing w:after="120" w:line="269" w:lineRule="auto"/>
      </w:pPr>
      <w:r>
        <w:rPr>
          <w:rFonts w:ascii="Aptos" w:hAnsi="Aptos"/>
          <w:color w:val="232323"/>
          <w:sz w:val="22"/>
          <w:szCs w:val="22"/>
        </w:rPr>
        <w:t xml:space="preserve">20. Modelin Kaydedilmesi</w:t>
      </w:r>
    </w:p>
    <w:p>
      <w:pPr>
        <w:pStyle w:val="ListParagraph"/>
        <w:numPr>
          <w:ilvl w:val="0"/>
          <w:numId w:val="1"/>
        </w:numPr>
        <w:spacing w:after="120" w:line="269" w:lineRule="auto"/>
      </w:pPr>
      <w:r>
        <w:rPr>
          <w:rFonts w:ascii="Aptos" w:hAnsi="Aptos"/>
          <w:color w:val="232323"/>
          <w:sz w:val="22"/>
          <w:szCs w:val="22"/>
        </w:rPr>
        <w:t xml:space="preserve">21. Reusable Prediction Function</w:t>
      </w:r>
    </w:p>
    <w:p>
      <w:pPr>
        <w:pStyle w:val="ListParagraph"/>
        <w:numPr>
          <w:ilvl w:val="0"/>
          <w:numId w:val="1"/>
        </w:numPr>
        <w:spacing w:after="120" w:line="269" w:lineRule="auto"/>
      </w:pPr>
      <w:r>
        <w:rPr>
          <w:rFonts w:ascii="Aptos" w:hAnsi="Aptos"/>
          <w:color w:val="232323"/>
          <w:sz w:val="22"/>
          <w:szCs w:val="22"/>
        </w:rPr>
        <w:t xml:space="preserve">22. Demo / Doğrulama</w:t>
      </w:r>
    </w:p>
    <w:p>
      <w:pPr>
        <w:spacing w:after="120" w:line="269" w:lineRule="auto"/>
        <w:jc w:val="both"/>
      </w:pPr>
      <w:r>
        <w:rPr>
          <w:rFonts w:ascii="Aptos" w:hAnsi="Aptos"/>
          <w:color w:val="232323"/>
          <w:sz w:val="22"/>
          <w:szCs w:val="22"/>
        </w:rPr>
        <w:t xml:space="preserve">Bu akış, projenin yalnızca dağınık analizlerden değil, birbirini besleyen, gerekçeli bir metodolojiden oluştuğunu göstermektedir.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34. Projenin Güçlü Yönleri</w:t>
      </w:r>
    </w:p>
    <w:p>
      <w:pPr>
        <w:pStyle w:val="ListParagraph"/>
        <w:numPr>
          <w:ilvl w:val="0"/>
          <w:numId w:val="1"/>
        </w:numPr>
        <w:spacing w:after="120" w:line="269" w:lineRule="auto"/>
      </w:pPr>
      <w:r>
        <w:rPr>
          <w:rFonts w:ascii="Aptos" w:hAnsi="Aptos"/>
          <w:color w:val="232323"/>
          <w:sz w:val="22"/>
          <w:szCs w:val="22"/>
        </w:rPr>
        <w:t xml:space="preserve">Yalnızca ML tahmini yapan bir sistem değil; mevcut olduğunda fiziksel/doğrudan hesaplama yaklaşımını önceliklendiren hibrit bir mimari kurulmuştur.</w:t>
      </w:r>
    </w:p>
    <w:p>
      <w:pPr>
        <w:pStyle w:val="ListParagraph"/>
        <w:numPr>
          <w:ilvl w:val="0"/>
          <w:numId w:val="1"/>
        </w:numPr>
        <w:spacing w:after="120" w:line="269" w:lineRule="auto"/>
      </w:pPr>
      <w:r>
        <w:rPr>
          <w:rFonts w:ascii="Aptos" w:hAnsi="Aptos"/>
          <w:color w:val="232323"/>
          <w:sz w:val="22"/>
          <w:szCs w:val="22"/>
        </w:rPr>
        <w:t xml:space="preserve">Data leakage konusuna proje boyunca sistematik ve tutarlı biçimde dikkat edilmiş, otomatik assert kontrolleriyle doğrulanmıştır.</w:t>
      </w:r>
    </w:p>
    <w:p>
      <w:pPr>
        <w:pStyle w:val="ListParagraph"/>
        <w:numPr>
          <w:ilvl w:val="0"/>
          <w:numId w:val="1"/>
        </w:numPr>
        <w:spacing w:after="120" w:line="269" w:lineRule="auto"/>
      </w:pPr>
      <w:r>
        <w:rPr>
          <w:rFonts w:ascii="Aptos" w:hAnsi="Aptos"/>
          <w:color w:val="232323"/>
          <w:sz w:val="22"/>
          <w:szCs w:val="22"/>
        </w:rPr>
        <w:t xml:space="preserve">Feature engineering kararları (log dönüşümleri, compute efficiency oranları, bölgesel karbon yoğunluğu) karbon/AI verimliliği literatürüyle ilişkilendirilerek gerekçelendirilmiştir.</w:t>
      </w:r>
    </w:p>
    <w:p>
      <w:pPr>
        <w:pStyle w:val="ListParagraph"/>
        <w:numPr>
          <w:ilvl w:val="0"/>
          <w:numId w:val="1"/>
        </w:numPr>
        <w:spacing w:after="120" w:line="269" w:lineRule="auto"/>
      </w:pPr>
      <w:r>
        <w:rPr>
          <w:rFonts w:ascii="Aptos" w:hAnsi="Aptos"/>
          <w:color w:val="232323"/>
          <w:sz w:val="22"/>
          <w:szCs w:val="22"/>
        </w:rPr>
        <w:t xml:space="preserve">Linear Regression ile şeffaf bir baseline oluşturulmuş, XGBoost'un katma değeri bu baseline'a karşı somut biçimde gösterilmiştir.</w:t>
      </w:r>
    </w:p>
    <w:p>
      <w:pPr>
        <w:pStyle w:val="ListParagraph"/>
        <w:numPr>
          <w:ilvl w:val="0"/>
          <w:numId w:val="1"/>
        </w:numPr>
        <w:spacing w:after="120" w:line="269" w:lineRule="auto"/>
      </w:pPr>
      <w:r>
        <w:rPr>
          <w:rFonts w:ascii="Aptos" w:hAnsi="Aptos"/>
          <w:color w:val="232323"/>
          <w:sz w:val="22"/>
          <w:szCs w:val="22"/>
        </w:rPr>
        <w:t xml:space="preserve">XGBoost, tek bir train/test split ile yetinilmeden 5-fold Cross Validation ile değerlendirilmiştir.</w:t>
      </w:r>
    </w:p>
    <w:p>
      <w:pPr>
        <w:pStyle w:val="ListParagraph"/>
        <w:numPr>
          <w:ilvl w:val="0"/>
          <w:numId w:val="1"/>
        </w:numPr>
        <w:spacing w:after="120" w:line="269" w:lineRule="auto"/>
      </w:pPr>
      <w:r>
        <w:rPr>
          <w:rFonts w:ascii="Aptos" w:hAnsi="Aptos"/>
          <w:color w:val="232323"/>
          <w:sz w:val="22"/>
          <w:szCs w:val="22"/>
        </w:rPr>
        <w:t xml:space="preserve">Overfitting kontrolü, regularization ve hyperparameter tuning gerekçeli ve kontrollü biçimde uygulanmıştır.</w:t>
      </w:r>
    </w:p>
    <w:p>
      <w:pPr>
        <w:pStyle w:val="ListParagraph"/>
        <w:numPr>
          <w:ilvl w:val="0"/>
          <w:numId w:val="1"/>
        </w:numPr>
        <w:spacing w:after="120" w:line="269" w:lineRule="auto"/>
      </w:pPr>
      <w:r>
        <w:rPr>
          <w:rFonts w:ascii="Aptos" w:hAnsi="Aptos"/>
          <w:color w:val="232323"/>
          <w:sz w:val="22"/>
          <w:szCs w:val="22"/>
        </w:rPr>
        <w:t xml:space="preserve">Residual analizi ile modelin zayıf/güçlü olduğu alt gruplar dürüstçe ortaya konmuştur.</w:t>
      </w:r>
    </w:p>
    <w:p>
      <w:pPr>
        <w:pStyle w:val="ListParagraph"/>
        <w:numPr>
          <w:ilvl w:val="0"/>
          <w:numId w:val="1"/>
        </w:numPr>
        <w:spacing w:after="120" w:line="269" w:lineRule="auto"/>
      </w:pPr>
      <w:r>
        <w:rPr>
          <w:rFonts w:ascii="Aptos" w:hAnsi="Aptos"/>
          <w:color w:val="232323"/>
          <w:sz w:val="22"/>
          <w:szCs w:val="22"/>
        </w:rPr>
        <w:t xml:space="preserve">Aykırı (yüksek emisyonlu) modeller veri setinden silinmemiş, ayrıca değerlendirilmiştir.</w:t>
      </w:r>
    </w:p>
    <w:p>
      <w:pPr>
        <w:pStyle w:val="ListParagraph"/>
        <w:numPr>
          <w:ilvl w:val="0"/>
          <w:numId w:val="1"/>
        </w:numPr>
        <w:spacing w:after="120" w:line="269" w:lineRule="auto"/>
      </w:pPr>
      <w:r>
        <w:rPr>
          <w:rFonts w:ascii="Aptos" w:hAnsi="Aptos"/>
          <w:color w:val="232323"/>
          <w:sz w:val="22"/>
          <w:szCs w:val="22"/>
        </w:rPr>
        <w:t xml:space="preserve">Model tahmini, tek bir sayı yerine kaynağı, güvenilirlik seviyesi ve sürdürülebilirlik bağlamıyla birlikte sunulmuştur (Confidence Score, Sustainability Score).</w:t>
      </w:r>
    </w:p>
    <w:p>
      <w:pPr>
        <w:pStyle w:val="ListParagraph"/>
        <w:numPr>
          <w:ilvl w:val="0"/>
          <w:numId w:val="1"/>
        </w:numPr>
        <w:spacing w:after="120" w:line="269" w:lineRule="auto"/>
      </w:pPr>
      <w:r>
        <w:rPr>
          <w:rFonts w:ascii="Aptos" w:hAnsi="Aptos"/>
          <w:color w:val="232323"/>
          <w:sz w:val="22"/>
          <w:szCs w:val="22"/>
        </w:rPr>
        <w:t xml:space="preserve">Final model, production kullanımı için tüm veri üzerinde yeniden eğitilmiş, kaydedilmiş ve round-trip testiyle doğrulanmıştır.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35. Projenin Sınırlılıkları</w:t>
      </w:r>
    </w:p>
    <w:p>
      <w:pPr>
        <w:spacing w:after="120" w:line="269" w:lineRule="auto"/>
        <w:jc w:val="both"/>
      </w:pPr>
      <w:r>
        <w:rPr>
          <w:rFonts w:ascii="Aptos" w:hAnsi="Aptos"/>
          <w:color w:val="232323"/>
          <w:sz w:val="22"/>
          <w:szCs w:val="22"/>
        </w:rPr>
        <w:t xml:space="preserve">Bu bölüm, sonuçların hangi koşullarda yorumlanması gerektiğini açıklayan, projenin değerini azaltmayan ancak nesnelliği artıran metodolojik sınırlılıkları özetlemektedir:</w:t>
      </w:r>
    </w:p>
    <w:p>
      <w:pPr>
        <w:pStyle w:val="ListParagraph"/>
        <w:numPr>
          <w:ilvl w:val="0"/>
          <w:numId w:val="1"/>
        </w:numPr>
        <w:spacing w:after="120" w:line="269" w:lineRule="auto"/>
      </w:pPr>
      <w:r>
        <w:rPr>
          <w:rFonts w:ascii="Aptos" w:hAnsi="Aptos"/>
          <w:color w:val="232323"/>
          <w:sz w:val="22"/>
          <w:szCs w:val="22"/>
        </w:rPr>
        <w:t xml:space="preserve">Veri setinin bazı alanları, orijinal kaynaklardaki eksiklik nedeniyle daha önce imputation/sentetik tamamlama yöntemleriyle doldurulmuştur; bu nedenle bazı dağılımlar kusursuz bir gerçek dünya dağılımını tam olarak yansıtmayabilir.</w:t>
      </w:r>
    </w:p>
    <w:p>
      <w:pPr>
        <w:pStyle w:val="ListParagraph"/>
        <w:numPr>
          <w:ilvl w:val="0"/>
          <w:numId w:val="1"/>
        </w:numPr>
        <w:spacing w:after="120" w:line="269" w:lineRule="auto"/>
      </w:pPr>
      <w:r>
        <w:rPr>
          <w:rFonts w:ascii="Aptos" w:hAnsi="Aptos"/>
          <w:color w:val="232323"/>
          <w:sz w:val="22"/>
          <w:szCs w:val="22"/>
        </w:rPr>
        <w:t xml:space="preserve">Kategorik dağılımlarda belirgin dengesizlik bulunmaktadır (örneğin standardized_region'da Unknown ve United States kategorileri baskındır, birçok ülke/bölge yalnızca birkaç kayıtla temsil edilmektedir).</w:t>
      </w:r>
    </w:p>
    <w:p>
      <w:pPr>
        <w:pStyle w:val="ListParagraph"/>
        <w:numPr>
          <w:ilvl w:val="0"/>
          <w:numId w:val="1"/>
        </w:numPr>
        <w:spacing w:after="120" w:line="269" w:lineRule="auto"/>
      </w:pPr>
      <w:r>
        <w:rPr>
          <w:rFonts w:ascii="Aptos" w:hAnsi="Aptos"/>
          <w:color w:val="232323"/>
          <w:sz w:val="22"/>
          <w:szCs w:val="22"/>
        </w:rPr>
        <w:t xml:space="preserve">Bazı bölgeler ve donanım tipleri (örneğin H800, bazı nadir GPU aileleri) veri setinde az sayıda örnekle temsil edilmektedir; bu alt gruplardaki tahminler daha az güvenilir olabilir.</w:t>
      </w:r>
    </w:p>
    <w:p>
      <w:pPr>
        <w:pStyle w:val="ListParagraph"/>
        <w:numPr>
          <w:ilvl w:val="0"/>
          <w:numId w:val="1"/>
        </w:numPr>
        <w:spacing w:after="120" w:line="269" w:lineRule="auto"/>
      </w:pPr>
      <w:r>
        <w:rPr>
          <w:rFonts w:ascii="Aptos" w:hAnsi="Aptos"/>
          <w:color w:val="232323"/>
          <w:sz w:val="22"/>
          <w:szCs w:val="22"/>
        </w:rPr>
        <w:t xml:space="preserve">Gerçek dünya karbon ölçüm verisi (özellikle bağımsız, üçüncü taraf doğrulamalı) sınırlıdır; kullanılan 'bildirilen' (disclosed/reported) değerler büyük ölçüde kaynakların kendi beyanına dayanmaktadır.</w:t>
      </w:r>
    </w:p>
    <w:p>
      <w:pPr>
        <w:pStyle w:val="ListParagraph"/>
        <w:numPr>
          <w:ilvl w:val="0"/>
          <w:numId w:val="1"/>
        </w:numPr>
        <w:spacing w:after="120" w:line="269" w:lineRule="auto"/>
      </w:pPr>
      <w:r>
        <w:rPr>
          <w:rFonts w:ascii="Aptos" w:hAnsi="Aptos"/>
          <w:color w:val="232323"/>
          <w:sz w:val="22"/>
          <w:szCs w:val="22"/>
        </w:rPr>
        <w:t xml:space="preserve">Residual analizi, yüksek emisyonlu (uç) modellerin tahmininin diğer gruplara göre daha zor olduğunu göstermiştir; bu grup projenin özellikle önemli olduğu alandır ve dikkatle izlenmelidir.</w:t>
      </w:r>
    </w:p>
    <w:p>
      <w:pPr>
        <w:pStyle w:val="ListParagraph"/>
        <w:numPr>
          <w:ilvl w:val="0"/>
          <w:numId w:val="1"/>
        </w:numPr>
        <w:spacing w:after="120" w:line="269" w:lineRule="auto"/>
      </w:pPr>
      <w:r>
        <w:rPr>
          <w:rFonts w:ascii="Aptos" w:hAnsi="Aptos"/>
          <w:color w:val="232323"/>
          <w:sz w:val="22"/>
          <w:szCs w:val="22"/>
        </w:rPr>
        <w:t xml:space="preserve">ML tahmin sonuçları, kullanılan veri kesitinde 'ml_estimated' senaryosunun fiilen gerçekleşmemiş olması nedeniyle, yalnızca simülasyon yoluyla test edilebilmiştir; tamamen gerçek ölçüm verisi üzerinde ayrıca doğrulanmamıştır.</w:t>
      </w:r>
    </w:p>
    <w:p>
      <w:pPr>
        <w:pStyle w:val="ListParagraph"/>
        <w:numPr>
          <w:ilvl w:val="0"/>
          <w:numId w:val="1"/>
        </w:numPr>
        <w:spacing w:after="120" w:line="269" w:lineRule="auto"/>
      </w:pPr>
      <w:r>
        <w:rPr>
          <w:rFonts w:ascii="Aptos" w:hAnsi="Aptos"/>
          <w:color w:val="232323"/>
          <w:sz w:val="22"/>
          <w:szCs w:val="22"/>
        </w:rPr>
        <w:t xml:space="preserve">Final model kararında, tek-split Test R²'deki iyileşme ile 5-fold CV ortalamasındaki (çok hafif gerileyen) sonuç arasında bir nüans bulunmaktadır; bu, raporun ilgili bölümünde (Bölüm 23) ayrıca not edilmiştir.</w:t>
      </w:r>
    </w:p>
    <w:p>
      <w:pPr>
        <w:pStyle w:val="Heading1"/>
        <w:pBdr>
          <w:bottom w:val="single" w:color="2E74B5" w:sz="6" w:space="4"/>
        </w:pBdr>
        <w:spacing w:after="140" w:before="280" w:line="269" w:lineRule="auto"/>
        <w:pBdr>
          <w:bottom w:val="single" w:sz="6" w:space="4" w:color="000000"/>
        </w:pBdr>
      </w:pPr>
      <w:r>
        <w:rPr>
          <w:rFonts w:ascii="Aptos Display" w:hAnsi="Aptos Display"/>
          <w:b/>
          <w:bCs/>
          <w:color w:val="000000"/>
          <w:sz w:val="30"/>
          <w:szCs w:val="30"/>
        </w:rPr>
        <w:t xml:space="preserve">36. Sonuç</w:t>
      </w:r>
    </w:p>
    <w:p>
      <w:pPr>
        <w:spacing w:after="120" w:line="269" w:lineRule="auto"/>
        <w:jc w:val="both"/>
      </w:pPr>
      <w:r>
        <w:rPr>
          <w:rFonts w:ascii="Aptos" w:hAnsi="Aptos"/>
          <w:color w:val="232323"/>
          <w:sz w:val="22"/>
          <w:szCs w:val="22"/>
        </w:rPr>
        <w:t xml:space="preserve">Bu proje, yalnızca AI modellerinin karbon emisyonunu tahmin eden bir regresyon modeli geliştirmekle kalmamış; mevcut veriye göre doğrudan hesaplama ile ML tahminini birleştiren, tahminin kaynağını açıklayan, veri kalitesini dikkate alan ve sonucu sürdürülebilirlik açısından raporlayan hibrit bir karbon değerlendirme sistemi oluşturmayı amaçlamış ve bu amacı büyük ölçüde gerçekleştirmiştir.</w:t>
      </w:r>
    </w:p>
    <w:p>
      <w:pPr>
        <w:spacing w:after="120" w:line="269" w:lineRule="auto"/>
        <w:jc w:val="both"/>
      </w:pPr>
      <w:r>
        <w:rPr>
          <w:rFonts w:ascii="Aptos" w:hAnsi="Aptos"/>
          <w:color w:val="232323"/>
          <w:sz w:val="22"/>
          <w:szCs w:val="22"/>
        </w:rPr>
        <w:t xml:space="preserve">Süreç, veri setinin dikkatli biçimde tanınmasıyla başlamış; kapsamlı bir EDA ve leakage analiziyle sağlam bir temele oturtulmuş; gerekçeli feature engineering kararlarıyla 14 leakage-safe değişken üretilmiş; Linear Regression ve XGBoost karşılaştırmalı biçimde değerlendirilmiş; overfitting, cross validation, regularization ve hyperparameter tuning adımlarıyla model genellenebilirliği önceliklendirilmiş; sonuçlar tek bir metrikle değil çok boyutlu kanıtlarla yorumlanmıştır.</w:t>
      </w:r>
    </w:p>
    <w:p>
      <w:pPr>
        <w:spacing w:after="120" w:line="269" w:lineRule="auto"/>
        <w:jc w:val="both"/>
      </w:pPr>
      <w:r>
        <w:rPr>
          <w:rFonts w:ascii="Aptos" w:hAnsi="Aptos"/>
          <w:color w:val="232323"/>
          <w:sz w:val="22"/>
          <w:szCs w:val="22"/>
        </w:rPr>
        <w:t xml:space="preserve">Son aşamada, seçilen final model (Tuned XGBoost) tüm veri üzerinde yeniden eğitilmiş, gerekli tüm artefaktlarla birlikte kaydedilmiş, round-trip testiyle doğrulanmış ve yeniden kullanılabilir bir tahmin fonksiyonuyla teslim edilmiştir. Hybrid Carbon Estimation System, Confidence Score ve Sustainability Score katmanları, projeyi yalnızca bir tahmin modelinden, açıklanabilir ve sürdürülebilirlik odaklı bir karbon raporlama sistemine dönüştürmüştür.</w:t>
      </w:r>
    </w:p>
    <w:p>
      <w:pPr>
        <w:spacing w:after="120" w:line="269" w:lineRule="auto"/>
        <w:jc w:val="both"/>
      </w:pPr>
      <w:r>
        <w:rPr>
          <w:rFonts w:ascii="Aptos" w:hAnsi="Aptos"/>
          <w:color w:val="232323"/>
          <w:sz w:val="22"/>
          <w:szCs w:val="22"/>
        </w:rPr>
        <w:t xml:space="preserve">Bölüm 35'te belirtilen sınırlılıklar göz önünde bulundurulduğunda, proje modelleme aşaması itibarıyla tamamlanmış; hem teknik hem de metodolojik açıdan savunulabilir, tekrarlanabilir ve production kullanımına hazır bir sonuç ortaya koymuştur.</w:t>
      </w:r>
    </w:p>
    <w:sectPr>
      <w:footerReference w:type="default" r:id="rId8"/>
      <w:pgSz w:w="11906" w:h="16838" w:orient="portrait"/>
      <w:pgMar w:top="1037" w:right="1181" w:bottom="1037" w:left="118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Aptos" w:hAnsi="Aptos"/>
      <w:color w:val="232323"/>
      <w:sz w:val="56"/>
      <w:szCs w:val="56"/>
    </w:rPr>
  </w:style>
  <w:style w:type="paragraph" w:styleId="Heading1">
    <w:name w:val="Heading 1"/>
    <w:basedOn w:val="Normal"/>
    <w:next w:val="Normal"/>
    <w:qFormat/>
    <w:rPr>
      <w:rFonts w:ascii="Aptos" w:hAnsi="Aptos"/>
      <w:color w:val="232323"/>
      <w:sz w:val="32"/>
      <w:szCs w:val="32"/>
    </w:rPr>
  </w:style>
  <w:style w:type="paragraph" w:styleId="Heading2">
    <w:name w:val="Heading 2"/>
    <w:basedOn w:val="Normal"/>
    <w:next w:val="Normal"/>
    <w:qFormat/>
    <w:rPr>
      <w:rFonts w:ascii="Aptos" w:hAnsi="Aptos"/>
      <w:color w:val="232323"/>
      <w:sz w:val="26"/>
      <w:szCs w:val="26"/>
    </w:rPr>
  </w:style>
  <w:style w:type="paragraph" w:styleId="Heading3">
    <w:name w:val="Heading 3"/>
    <w:basedOn w:val="Normal"/>
    <w:next w:val="Normal"/>
    <w:qFormat/>
    <w:rPr>
      <w:rFonts w:ascii="Aptos" w:hAnsi="Aptos"/>
      <w:color w:val="232323"/>
      <w:sz w:val="24"/>
      <w:szCs w:val="24"/>
    </w:rPr>
  </w:style>
  <w:style w:type="paragraph" w:styleId="Heading4">
    <w:name w:val="Heading 4"/>
    <w:basedOn w:val="Normal"/>
    <w:next w:val="Normal"/>
    <w:qFormat/>
    <w:rPr>
      <w:rFonts w:ascii="Aptos" w:hAnsi="Aptos"/>
      <w:i/>
      <w:iCs/>
      <w:color w:val="232323"/>
      <w:sz w:val="21"/>
    </w:rPr>
  </w:style>
  <w:style w:type="paragraph" w:styleId="Heading5">
    <w:name w:val="Heading 5"/>
    <w:basedOn w:val="Normal"/>
    <w:next w:val="Normal"/>
    <w:qFormat/>
    <w:rPr>
      <w:rFonts w:ascii="Aptos" w:hAnsi="Aptos"/>
      <w:color w:val="232323"/>
      <w:sz w:val="21"/>
    </w:rPr>
  </w:style>
  <w:style w:type="paragraph" w:styleId="Heading6">
    <w:name w:val="Heading 6"/>
    <w:basedOn w:val="Normal"/>
    <w:next w:val="Normal"/>
    <w:qFormat/>
    <w:rPr>
      <w:rFonts w:ascii="Aptos" w:hAnsi="Aptos"/>
      <w:color w:val="232323"/>
      <w:sz w:val="21"/>
    </w:rPr>
  </w:style>
  <w:style w:type="paragraph" w:styleId="Strong">
    <w:name w:val="Strong"/>
    <w:basedOn w:val="Normal"/>
    <w:next w:val="Normal"/>
    <w:qFormat/>
    <w:rPr>
      <w:rFonts w:ascii="Aptos" w:hAnsi="Aptos"/>
      <w:b/>
      <w:bCs/>
      <w:color w:val="232323"/>
      <w:sz w:val="21"/>
    </w:rPr>
  </w:style>
  <w:style w:type="paragraph" w:styleId="ListParagraph">
    <w:name w:val="List Paragraph"/>
    <w:basedOn w:val="Normal"/>
    <w:qFormat/>
    <w:rPr>
      <w:rFonts w:ascii="Aptos" w:hAnsi="Aptos"/>
      <w:color w:val="232323"/>
      <w:sz w:val="21"/>
    </w:rPr>
  </w:style>
  <w:style w:type="character" w:styleId="Hyperlink">
    <w:name w:val="Hyperlink"/>
    <w:basedOn w:val="DefaultParagraphFont"/>
    <w:uiPriority w:val="99"/>
    <w:unhideWhenUsed/>
    <w:rPr>
      <w:rFonts w:ascii="Aptos" w:hAnsi="Aptos"/>
      <w:color w:val="232323"/>
      <w:sz w:val="21"/>
      <w:u w:val="single"/>
    </w:rPr>
  </w:style>
  <w:style w:type="character" w:styleId="FootnoteReference">
    <w:name w:val="footnote reference"/>
    <w:basedOn w:val="DefaultParagraphFont"/>
    <w:uiPriority w:val="99"/>
    <w:semiHidden/>
    <w:unhideWhenUsed/>
    <w:rPr>
      <w:rFonts w:ascii="Aptos" w:hAnsi="Aptos"/>
      <w:color w:val="232323"/>
      <w:sz w:val="21"/>
      <w:vertAlign w:val="superscript"/>
    </w:rPr>
  </w:style>
  <w:style w:type="paragraph" w:styleId="FootnoteText">
    <w:name w:val="footnote text"/>
    <w:basedOn w:val="Normal"/>
    <w:link w:val="FootnoteTextChar"/>
    <w:uiPriority w:val="99"/>
    <w:semiHidden/>
    <w:unhideWhenUsed/>
    <w:pPr>
      <w:spacing w:after="0" w:line="240" w:lineRule="auto"/>
    </w:pPr>
    <w:rPr>
      <w:rFonts w:ascii="Aptos" w:hAnsi="Aptos"/>
      <w:color w:val="232323"/>
      <w:sz w:val="20"/>
      <w:szCs w:val="20"/>
    </w:rPr>
  </w:style>
  <w:style w:type="character" w:styleId="FootnoteTextChar">
    <w:name w:val="Footnote Text Char"/>
    <w:basedOn w:val="DefaultParagraphFont"/>
    <w:link w:val="FootnoteText"/>
    <w:uiPriority w:val="99"/>
    <w:semiHidden/>
    <w:unhideWhenUsed/>
    <w:rPr>
      <w:rFonts w:ascii="Aptos" w:hAnsi="Aptos"/>
      <w:color w:val="232323"/>
      <w:sz w:val="20"/>
      <w:szCs w:val="20"/>
    </w:rPr>
  </w:style>
  <w:style w:type="character" w:styleId="EndnoteReference">
    <w:name w:val="endnote reference"/>
    <w:basedOn w:val="DefaultParagraphFont"/>
    <w:uiPriority w:val="99"/>
    <w:semiHidden/>
    <w:unhideWhenUsed/>
    <w:rPr>
      <w:rFonts w:ascii="Aptos" w:hAnsi="Aptos"/>
      <w:color w:val="232323"/>
      <w:sz w:val="21"/>
      <w:vertAlign w:val="superscript"/>
    </w:rPr>
  </w:style>
  <w:style w:type="paragraph" w:styleId="EndnoteText">
    <w:name w:val="endnote text"/>
    <w:basedOn w:val="Normal"/>
    <w:link w:val="EndnoteTextChar"/>
    <w:uiPriority w:val="99"/>
    <w:semiHidden/>
    <w:unhideWhenUsed/>
    <w:pPr>
      <w:spacing w:after="0" w:line="240" w:lineRule="auto"/>
    </w:pPr>
    <w:rPr>
      <w:rFonts w:ascii="Aptos" w:hAnsi="Aptos"/>
      <w:color w:val="232323"/>
      <w:sz w:val="20"/>
      <w:szCs w:val="20"/>
    </w:rPr>
  </w:style>
  <w:style w:type="character" w:styleId="EndnoteTextChar">
    <w:name w:val="Endnote Text Char"/>
    <w:basedOn w:val="DefaultParagraphFont"/>
    <w:link w:val="EndnoteText"/>
    <w:uiPriority w:val="99"/>
    <w:semiHidden/>
    <w:unhideWhenUsed/>
    <w:rPr>
      <w:rFonts w:ascii="Aptos" w:hAnsi="Aptos"/>
      <w:color w:val="232323"/>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2026-08-18T17:40:44.895Z</dcterms:created>
  <dcterms:modified xsi:type="dcterms:W3CDTF">2026-08-18T17:40:44.896Z</dcterms:modified>
  <dc:title>AI Modellerinin Karbon Emisyonu – Teknik Proje Raporu</dc:title>
  <dc:subject>Karbon emisyonu analizi, tahmini ve raporlanması</dc:subject>
</cp:coreProperties>
</file>

<file path=docProps/custom.xml><?xml version="1.0" encoding="utf-8"?>
<Properties xmlns="http://schemas.openxmlformats.org/officeDocument/2006/custom-properties" xmlns:vt="http://schemas.openxmlformats.org/officeDocument/2006/docPropsVTypes"/>
</file>