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color w:val="1F4E79"/>
          <w:sz w:val="40"/>
          <w:szCs w:val="40"/>
        </w:rPr>
        <w:t xml:space="preserve">Neural Network Autoencoder for Equipment Health Monitoring</w:t>
      </w:r>
    </w:p>
    <w:p>
      <w:pPr>
        <w:spacing w:before="0" w:after="80"/>
        <w:jc w:val="center"/>
      </w:pPr>
      <w:r>
        <w:rPr>
          <w:rFonts w:ascii="Arial" w:cs="Arial" w:eastAsia="Arial" w:hAnsi="Arial"/>
          <w:i/>
          <w:iCs/>
          <w:color w:val="2E75B6"/>
          <w:sz w:val="24"/>
          <w:szCs w:val="24"/>
        </w:rPr>
        <w:t xml:space="preserve">Industrial Equipment Anomaly Detection — Technical Strategy Document</w:t>
      </w:r>
    </w:p>
    <w:p>
      <w:pPr>
        <w:spacing w:before="0" w:after="400"/>
        <w:jc w:val="center"/>
      </w:pPr>
      <w:r>
        <w:rPr>
          <w:rFonts w:ascii="Arial" w:cs="Arial" w:eastAsia="Arial" w:hAnsi="Arial"/>
          <w:color w:val="888888"/>
          <w:sz w:val="20"/>
          <w:szCs w:val="20"/>
        </w:rPr>
        <w:t xml:space="preserve">March 2026  |  Data Science Team</w:t>
      </w:r>
    </w:p>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1. Executive Summary</w:t>
      </w:r>
    </w:p>
    <w:p>
      <w:pPr>
        <w:spacing w:before="80" w:after="80"/>
      </w:pPr>
      <w:r>
        <w:rPr>
          <w:rFonts w:ascii="Arial" w:cs="Arial" w:eastAsia="Arial" w:hAnsi="Arial"/>
          <w:sz w:val="22"/>
          <w:szCs w:val="22"/>
        </w:rPr>
        <w:t xml:space="preserve">This document proposes the development of a PyTorch-based feedforward Autoencoder model to provide holistic, equipment-level anomaly detection for industrial equipment. Unlike existing models that monitor individual sensors or small sensor groups, this model ingests all N IoT sensors simultaneously to detect subtle, coordinated deviations that indicate early equipment degradation. The model complements our existing physics pipeline and XGBoost models, adding a critical third layer of intelligence to our monitoring stack.</w:t>
      </w:r>
    </w:p>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2. Problem Statement</w:t>
      </w:r>
    </w:p>
    <w:p>
      <w:pPr>
        <w:spacing w:before="80" w:after="80"/>
      </w:pPr>
      <w:r>
        <w:rPr>
          <w:rFonts w:ascii="Arial" w:cs="Arial" w:eastAsia="Arial" w:hAnsi="Arial"/>
          <w:sz w:val="22"/>
          <w:szCs w:val="22"/>
        </w:rPr>
        <w:t xml:space="preserve">Our current monitoring stack has a fundamental gap:</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 per sensor per 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cross-sensor intelligence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XGBoost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 vibration &amp; winding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Covers only a few key tags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Autoencoder (Proposed)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Holistic view of all N sensors together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what we are building</w:t>
            </w:r>
          </w:p>
        </w:tc>
      </w:tr>
    </w:tbl>
    <w:p>
      <w:pPr>
        <w:spacing w:before="160" w:after="80"/>
      </w:pPr>
    </w:p>
    <w:p>
      <w:pPr>
        <w:spacing w:before="80" w:after="80"/>
      </w:pPr>
      <w:r>
        <w:rPr>
          <w:rFonts w:ascii="Arial" w:cs="Arial" w:eastAsia="Arial" w:hAnsi="Arial"/>
          <w:sz w:val="22"/>
          <w:szCs w:val="22"/>
        </w:rPr>
        <w:t xml:space="preserve">No existing model looks at the equipment as a whole. Faults often manifest as subtle coordinated shifts across many sensors simultaneously — patterns that single-sensor models miss entirely.</w:t>
      </w:r>
    </w:p>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3. Proposed Solution — Feedforward Autoencoder</w:t>
      </w:r>
    </w:p>
    <w:p>
      <w:pPr>
        <w:pStyle w:val="Heading2"/>
        <w:spacing w:before="240" w:after="120"/>
      </w:pPr>
      <w:r>
        <w:rPr>
          <w:rFonts w:ascii="Arial" w:cs="Arial" w:eastAsia="Arial" w:hAnsi="Arial"/>
          <w:b/>
          <w:bCs/>
          <w:color w:val="2E75B6"/>
          <w:sz w:val="24"/>
          <w:szCs w:val="24"/>
        </w:rPr>
        <w:t xml:space="preserve">3.1 Core Concept</w:t>
      </w:r>
    </w:p>
    <w:p>
      <w:pPr>
        <w:spacing w:before="80" w:after="80"/>
      </w:pPr>
      <w:r>
        <w:rPr>
          <w:rFonts w:ascii="Arial" w:cs="Arial" w:eastAsia="Arial" w:hAnsi="Arial"/>
          <w:sz w:val="22"/>
          <w:szCs w:val="22"/>
        </w:rPr>
        <w:t xml:space="preserve">An Autoencoder is a neural network trained exclusively on healthy operating data. It learns to compress and reconstruct the normal multivariate sensor pattern of the equipment. When equipment behaviour deviates from this learned healthy baseline — even subtly — the reconstruction error rises, signalling an anomaly.</w:t>
      </w:r>
    </w:p>
    <w:p>
      <w:pPr>
        <w:spacing w:before="80" w:after="80"/>
      </w:pPr>
      <w:r>
        <w:rPr>
          <w:rFonts w:ascii="Arial" w:cs="Arial" w:eastAsia="Arial" w:hAnsi="Arial"/>
          <w:sz w:val="22"/>
          <w:szCs w:val="22"/>
        </w:rPr>
        <w:t xml:space="preserve">Critically, the model does not require labeled failure data to train. It learns what normal looks like and flags anything that does not fit.</w:t>
      </w:r>
    </w:p>
    <w:p>
      <w:pPr>
        <w:pStyle w:val="Heading2"/>
        <w:spacing w:before="240" w:after="120"/>
      </w:pPr>
      <w:r>
        <w:rPr>
          <w:rFonts w:ascii="Arial" w:cs="Arial" w:eastAsia="Arial" w:hAnsi="Arial"/>
          <w:b/>
          <w:bCs/>
          <w:color w:val="2E75B6"/>
          <w:sz w:val="24"/>
          <w:szCs w:val="24"/>
        </w:rPr>
        <w:t xml:space="preserve">3.2 Data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Input sensors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 IoT sensors per equipment unit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Data frequency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15-second intervals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Inference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minutes = 120 rows × N columns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Historical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year per unit (~600,000 rows)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Effective training samples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 windows after cleaning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Training batch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complete 30-min window (120 rows) per gradient update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Model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model trained per equipment unit</w:t>
            </w:r>
          </w:p>
        </w:tc>
      </w:tr>
    </w:tbl>
    <w:p>
      <w:pPr>
        <w:spacing w:before="160" w:after="80"/>
      </w:pPr>
    </w:p>
    <w:p>
      <w:pPr>
        <w:pStyle w:val="Heading2"/>
        <w:spacing w:before="240" w:after="120"/>
      </w:pPr>
      <w:r>
        <w:rPr>
          <w:rFonts w:ascii="Arial" w:cs="Arial" w:eastAsia="Arial" w:hAnsi="Arial"/>
          <w:b/>
          <w:bCs/>
          <w:color w:val="2E75B6"/>
          <w:sz w:val="24"/>
          <w:szCs w:val="24"/>
        </w:rPr>
        <w:t xml:space="preserve">3.3 Architecture</w:t>
      </w:r>
    </w:p>
    <w:p>
      <w:pPr>
        <w:spacing w:before="80" w:after="80"/>
      </w:pPr>
      <w:r>
        <w:rPr>
          <w:rFonts w:ascii="Arial" w:cs="Arial" w:eastAsia="Arial" w:hAnsi="Arial"/>
          <w:sz w:val="22"/>
          <w:szCs w:val="22"/>
        </w:rPr>
        <w:t xml:space="preserve">The model uses a symmetric encoder-decoder structure:</w:t>
      </w:r>
    </w:p>
    <w:p>
      <w:pPr>
        <w:pStyle w:val="ListParagraph"/>
        <w:numPr>
          <w:ilvl w:val="0"/>
          <w:numId w:val="2"/>
        </w:numPr>
        <w:spacing w:before="60" w:after="60"/>
      </w:pPr>
      <w:r>
        <w:rPr>
          <w:rFonts w:ascii="Arial" w:cs="Arial" w:eastAsia="Arial" w:hAnsi="Arial"/>
          <w:b w:val="false"/>
          <w:bCs w:val="false"/>
          <w:sz w:val="22"/>
          <w:szCs w:val="22"/>
        </w:rPr>
        <w:t xml:space="preserve">Input layer: N neurons (one per sensor, N total)</w:t>
      </w:r>
    </w:p>
    <w:p>
      <w:pPr>
        <w:pStyle w:val="ListParagraph"/>
        <w:numPr>
          <w:ilvl w:val="0"/>
          <w:numId w:val="2"/>
        </w:numPr>
        <w:spacing w:before="60" w:after="60"/>
      </w:pPr>
      <w:r>
        <w:rPr>
          <w:rFonts w:ascii="Arial" w:cs="Arial" w:eastAsia="Arial" w:hAnsi="Arial"/>
          <w:b w:val="false"/>
          <w:bCs w:val="false"/>
          <w:sz w:val="22"/>
          <w:szCs w:val="22"/>
        </w:rPr>
        <w:t xml:space="preserve">Encoder: N → 64 → 32 → 16 (latent representation)</w:t>
      </w:r>
    </w:p>
    <w:p>
      <w:pPr>
        <w:pStyle w:val="ListParagraph"/>
        <w:numPr>
          <w:ilvl w:val="0"/>
          <w:numId w:val="2"/>
        </w:numPr>
        <w:spacing w:before="60" w:after="60"/>
      </w:pPr>
      <w:r>
        <w:rPr>
          <w:rFonts w:ascii="Arial" w:cs="Arial" w:eastAsia="Arial" w:hAnsi="Arial"/>
          <w:b w:val="false"/>
          <w:bCs w:val="false"/>
          <w:sz w:val="22"/>
          <w:szCs w:val="22"/>
        </w:rPr>
        <w:t xml:space="preserve">Decoder: 16 → 32 → 64 → N (reconstruction)</w:t>
      </w:r>
    </w:p>
    <w:p>
      <w:pPr>
        <w:pStyle w:val="ListParagraph"/>
        <w:numPr>
          <w:ilvl w:val="0"/>
          <w:numId w:val="2"/>
        </w:numPr>
        <w:spacing w:before="60" w:after="60"/>
      </w:pPr>
      <w:r>
        <w:rPr>
          <w:rFonts w:ascii="Arial" w:cs="Arial" w:eastAsia="Arial" w:hAnsi="Arial"/>
          <w:b w:val="false"/>
          <w:bCs w:val="false"/>
          <w:sz w:val="22"/>
          <w:szCs w:val="22"/>
        </w:rPr>
        <w:t xml:space="preserve">Loss function: Mean Squared Error between input and reconstruction</w:t>
      </w:r>
    </w:p>
    <w:p>
      <w:pPr>
        <w:pStyle w:val="ListParagraph"/>
        <w:numPr>
          <w:ilvl w:val="0"/>
          <w:numId w:val="2"/>
        </w:numPr>
        <w:spacing w:before="60" w:after="60"/>
      </w:pPr>
      <w:r>
        <w:rPr>
          <w:rFonts w:ascii="Arial" w:cs="Arial" w:eastAsia="Arial" w:hAnsi="Arial"/>
          <w:b w:val="false"/>
          <w:bCs w:val="false"/>
          <w:sz w:val="22"/>
          <w:szCs w:val="22"/>
        </w:rPr>
        <w:t xml:space="preserve">Latent dimension of 16 chosen to reflect the true physical degrees of freedom of the monitored equipment</w:t>
      </w:r>
    </w:p>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4. Data Cleaning Strategy</w:t>
      </w:r>
    </w:p>
    <w:p>
      <w:pPr>
        <w:spacing w:before="80" w:after="80"/>
      </w:pPr>
      <w:r>
        <w:rPr>
          <w:rFonts w:ascii="Arial" w:cs="Arial" w:eastAsia="Arial" w:hAnsi="Arial"/>
          <w:sz w:val="22"/>
          <w:szCs w:val="22"/>
        </w:rPr>
        <w:t xml:space="preserve">The quality of the healthy training baseline is the single most important factor in model performance. Our cleaning pipeline runs in sequence:</w:t>
      </w:r>
    </w:p>
    <w:p>
      <w:pPr>
        <w:pStyle w:val="ListParagraph"/>
        <w:numPr>
          <w:ilvl w:val="0"/>
          <w:numId w:val="2"/>
        </w:numPr>
        <w:spacing w:before="60" w:after="60"/>
      </w:pPr>
      <w:r>
        <w:rPr>
          <w:rFonts w:ascii="Arial" w:cs="Arial" w:eastAsia="Arial" w:hAnsi="Arial"/>
          <w:b w:val="false"/>
          <w:bCs w:val="false"/>
          <w:sz w:val="22"/>
          <w:szCs w:val="22"/>
        </w:rPr>
        <w:t xml:space="preserve">Robust Scaling applied first to normalise across N sensors with different units and ranges</w:t>
      </w:r>
    </w:p>
    <w:p>
      <w:pPr>
        <w:pStyle w:val="ListParagraph"/>
        <w:numPr>
          <w:ilvl w:val="0"/>
          <w:numId w:val="2"/>
        </w:numPr>
        <w:spacing w:before="60" w:after="60"/>
      </w:pPr>
      <w:r>
        <w:rPr>
          <w:rFonts w:ascii="Arial" w:cs="Arial" w:eastAsia="Arial" w:hAnsi="Arial"/>
          <w:b w:val="false"/>
          <w:bCs w:val="false"/>
          <w:sz w:val="22"/>
          <w:szCs w:val="22"/>
        </w:rPr>
        <w:t xml:space="preserve">Isolation Forest to flag global multivariate outliers</w:t>
      </w:r>
    </w:p>
    <w:p>
      <w:pPr>
        <w:pStyle w:val="ListParagraph"/>
        <w:numPr>
          <w:ilvl w:val="0"/>
          <w:numId w:val="2"/>
        </w:numPr>
        <w:spacing w:before="60" w:after="60"/>
      </w:pPr>
      <w:r>
        <w:rPr>
          <w:rFonts w:ascii="Arial" w:cs="Arial" w:eastAsia="Arial" w:hAnsi="Arial"/>
          <w:b w:val="false"/>
          <w:bCs w:val="false"/>
          <w:sz w:val="22"/>
          <w:szCs w:val="22"/>
        </w:rPr>
        <w:t xml:space="preserve">PCA-based cleaning to remove points deviating from the principal sensor structure</w:t>
      </w:r>
    </w:p>
    <w:p>
      <w:pPr>
        <w:pStyle w:val="ListParagraph"/>
        <w:numPr>
          <w:ilvl w:val="0"/>
          <w:numId w:val="2"/>
        </w:numPr>
        <w:spacing w:before="60" w:after="60"/>
      </w:pPr>
      <w:r>
        <w:rPr>
          <w:rFonts w:ascii="Arial" w:cs="Arial" w:eastAsia="Arial" w:hAnsi="Arial"/>
          <w:b w:val="false"/>
          <w:bCs w:val="false"/>
          <w:sz w:val="22"/>
          <w:szCs w:val="22"/>
        </w:rPr>
        <w:t xml:space="preserve">Mahalanobis Distance to flag points far from the multivariate mean</w:t>
      </w:r>
    </w:p>
    <w:p>
      <w:pPr>
        <w:pStyle w:val="ListParagraph"/>
        <w:numPr>
          <w:ilvl w:val="0"/>
          <w:numId w:val="2"/>
        </w:numPr>
        <w:spacing w:before="60" w:after="60"/>
      </w:pPr>
      <w:r>
        <w:rPr>
          <w:rFonts w:ascii="Arial" w:cs="Arial" w:eastAsia="Arial" w:hAnsi="Arial"/>
          <w:b w:val="false"/>
          <w:bCs w:val="false"/>
          <w:sz w:val="22"/>
          <w:szCs w:val="22"/>
        </w:rPr>
        <w:t xml:space="preserve">All removals logged at each step for full auditability</w:t>
      </w:r>
    </w:p>
    <w:p>
      <w:pPr>
        <w:spacing w:before="120" w:after="80"/>
      </w:pPr>
    </w:p>
    <w:p>
      <w:pPr>
        <w:spacing w:before="80" w:after="80"/>
      </w:pPr>
      <w:r>
        <w:rPr>
          <w:rFonts w:ascii="Arial" w:cs="Arial" w:eastAsia="Arial" w:hAnsi="Arial"/>
          <w:sz w:val="22"/>
          <w:szCs w:val="22"/>
        </w:rPr>
        <w:t xml:space="preserve">Additionally, operating regime segmentation is performed using speed, power, and discharge pressure tags before cleaning, ensuring low-load healthy windows are not incorrectly flagged as anomalous compared to high-load windows.</w:t>
      </w:r>
    </w:p>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5. Anomaly Detection and Alerting</w:t>
      </w:r>
    </w:p>
    <w:p>
      <w:pPr>
        <w:pStyle w:val="Heading2"/>
        <w:spacing w:before="240" w:after="120"/>
      </w:pPr>
      <w:r>
        <w:rPr>
          <w:rFonts w:ascii="Arial" w:cs="Arial" w:eastAsia="Arial" w:hAnsi="Arial"/>
          <w:b/>
          <w:bCs/>
          <w:color w:val="2E75B6"/>
          <w:sz w:val="24"/>
          <w:szCs w:val="24"/>
        </w:rPr>
        <w:t xml:space="preserve">5.1 Equipment-Level Flagging</w:t>
      </w:r>
    </w:p>
    <w:p>
      <w:pPr>
        <w:spacing w:before="80" w:after="80"/>
      </w:pPr>
      <w:r>
        <w:rPr>
          <w:rFonts w:ascii="Arial" w:cs="Arial" w:eastAsia="Arial" w:hAnsi="Arial"/>
          <w:sz w:val="22"/>
          <w:szCs w:val="22"/>
        </w:rPr>
        <w:t xml:space="preserve">Every 30 minutes, the model processes the incoming 120 × 99 window and produces a reconstruction error per row. These are aggregated using the 95th percentile across the 120 rows to produce a single window anomaly score. This score is compared against unit-specific thresholds derived from the training data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Green — Normal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below P90 of training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action, internal log only</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Yellow — Watch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between P90 and P99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warning alert to client</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Red — Anomaly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above P99 of training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flag raised, sensor diagnosis triggered</w:t>
            </w:r>
          </w:p>
        </w:tc>
      </w:tr>
    </w:tbl>
    <w:p>
      <w:pPr>
        <w:spacing w:before="160" w:after="80"/>
      </w:pPr>
    </w:p>
    <w:p>
      <w:pPr>
        <w:pStyle w:val="Heading2"/>
        <w:spacing w:before="240" w:after="120"/>
      </w:pPr>
      <w:r>
        <w:rPr>
          <w:rFonts w:ascii="Arial" w:cs="Arial" w:eastAsia="Arial" w:hAnsi="Arial"/>
          <w:b/>
          <w:bCs/>
          <w:color w:val="2E75B6"/>
          <w:sz w:val="24"/>
          <w:szCs w:val="24"/>
        </w:rPr>
        <w:t xml:space="preserve">5.2 Persistence Rule — Reducing False Alarms</w:t>
      </w:r>
    </w:p>
    <w:p>
      <w:pPr>
        <w:spacing w:before="80" w:after="80"/>
      </w:pPr>
      <w:r>
        <w:rPr>
          <w:rFonts w:ascii="Arial" w:cs="Arial" w:eastAsia="Arial" w:hAnsi="Arial"/>
          <w:sz w:val="22"/>
          <w:szCs w:val="22"/>
        </w:rPr>
        <w:t xml:space="preserve">A single anomalous window does not trigger a client alert. The following persistence logic is applied:</w:t>
      </w:r>
    </w:p>
    <w:p>
      <w:pPr>
        <w:pStyle w:val="ListParagraph"/>
        <w:numPr>
          <w:ilvl w:val="0"/>
          <w:numId w:val="2"/>
        </w:numPr>
        <w:spacing w:before="60" w:after="60"/>
      </w:pPr>
      <w:r>
        <w:rPr>
          <w:rFonts w:ascii="Arial" w:cs="Arial" w:eastAsia="Arial" w:hAnsi="Arial"/>
          <w:b w:val="false"/>
          <w:bCs w:val="false"/>
          <w:sz w:val="22"/>
          <w:szCs w:val="22"/>
        </w:rPr>
        <w:t xml:space="preserve">1 Red window alone → internal log only, no alert sent</w:t>
      </w:r>
    </w:p>
    <w:p>
      <w:pPr>
        <w:pStyle w:val="ListParagraph"/>
        <w:numPr>
          <w:ilvl w:val="0"/>
          <w:numId w:val="2"/>
        </w:numPr>
        <w:spacing w:before="60" w:after="60"/>
      </w:pPr>
      <w:r>
        <w:rPr>
          <w:rFonts w:ascii="Arial" w:cs="Arial" w:eastAsia="Arial" w:hAnsi="Arial"/>
          <w:b w:val="false"/>
          <w:bCs w:val="false"/>
          <w:sz w:val="22"/>
          <w:szCs w:val="22"/>
        </w:rPr>
        <w:t xml:space="preserve">2 consecutive Red windows → Yellow alert raised to client</w:t>
      </w:r>
    </w:p>
    <w:p>
      <w:pPr>
        <w:pStyle w:val="ListParagraph"/>
        <w:numPr>
          <w:ilvl w:val="0"/>
          <w:numId w:val="2"/>
        </w:numPr>
        <w:spacing w:before="60" w:after="60"/>
      </w:pPr>
      <w:r>
        <w:rPr>
          <w:rFonts w:ascii="Arial" w:cs="Arial" w:eastAsia="Arial" w:hAnsi="Arial"/>
          <w:b w:val="false"/>
          <w:bCs w:val="false"/>
          <w:sz w:val="22"/>
          <w:szCs w:val="22"/>
        </w:rPr>
        <w:t xml:space="preserve">3+ consecutive Red windows → Red alert raised to client</w:t>
      </w:r>
    </w:p>
    <w:p>
      <w:pPr>
        <w:pStyle w:val="ListParagraph"/>
        <w:numPr>
          <w:ilvl w:val="0"/>
          <w:numId w:val="2"/>
        </w:numPr>
        <w:spacing w:before="60" w:after="60"/>
      </w:pPr>
      <w:r>
        <w:rPr>
          <w:rFonts w:ascii="Arial" w:cs="Arial" w:eastAsia="Arial" w:hAnsi="Arial"/>
          <w:b w:val="false"/>
          <w:bCs w:val="false"/>
          <w:sz w:val="22"/>
          <w:szCs w:val="22"/>
        </w:rPr>
        <w:t xml:space="preserve">Mixed Red and Yellow over 2 hours → Yellow alert raised</w:t>
      </w:r>
    </w:p>
    <w:p>
      <w:pPr>
        <w:spacing w:before="80" w:after="80"/>
      </w:pPr>
      <w:r>
        <w:rPr>
          <w:rFonts w:ascii="Arial" w:cs="Arial" w:eastAsia="Arial" w:hAnsi="Arial"/>
          <w:sz w:val="22"/>
          <w:szCs w:val="22"/>
        </w:rPr>
        <w:t xml:space="preserve">This single rule is expected to reduce false positive alerts by 60–70% in production.</w:t>
      </w:r>
    </w:p>
    <w:p>
      <w:pPr>
        <w:pStyle w:val="Heading2"/>
        <w:spacing w:before="240" w:after="120"/>
      </w:pPr>
      <w:r>
        <w:rPr>
          <w:rFonts w:ascii="Arial" w:cs="Arial" w:eastAsia="Arial" w:hAnsi="Arial"/>
          <w:b/>
          <w:bCs/>
          <w:color w:val="2E75B6"/>
          <w:sz w:val="24"/>
          <w:szCs w:val="24"/>
        </w:rPr>
        <w:t xml:space="preserve">5.3 Sensor-Level Diagnosis</w:t>
      </w:r>
    </w:p>
    <w:p>
      <w:pPr>
        <w:spacing w:before="80" w:after="80"/>
      </w:pPr>
      <w:r>
        <w:rPr>
          <w:rFonts w:ascii="Arial" w:cs="Arial" w:eastAsia="Arial" w:hAnsi="Arial"/>
          <w:sz w:val="22"/>
          <w:szCs w:val="22"/>
        </w:rPr>
        <w:t xml:space="preserve">When a window is flagged, sensor contribution is computed automatically from the per-sensor reconstruction error matrix (120 rows × N sensors). The mean error per sensor across the 120 rows is ranked and the top offending sensors are reported to the client with their percentage contribution to the total anomaly score. No additional model is required for this diagnosis layer.</w:t>
      </w:r>
    </w:p>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6. Model Retraining Strategy</w:t>
      </w:r>
    </w:p>
    <w:p>
      <w:pPr>
        <w:pStyle w:val="Heading2"/>
        <w:spacing w:before="240" w:after="120"/>
      </w:pPr>
      <w:r>
        <w:rPr>
          <w:rFonts w:ascii="Arial" w:cs="Arial" w:eastAsia="Arial" w:hAnsi="Arial"/>
          <w:b/>
          <w:bCs/>
          <w:color w:val="2E75B6"/>
          <w:sz w:val="24"/>
          <w:szCs w:val="24"/>
        </w:rPr>
        <w:t xml:space="preserve">6.1 Retraining Triggers</w:t>
      </w:r>
    </w:p>
    <w:p>
      <w:pPr>
        <w:spacing w:before="80" w:after="80"/>
      </w:pPr>
      <w:r>
        <w:rPr>
          <w:rFonts w:ascii="Arial" w:cs="Arial" w:eastAsia="Arial" w:hAnsi="Arial"/>
          <w:sz w:val="22"/>
          <w:szCs w:val="22"/>
        </w:rPr>
        <w:t xml:space="preserve">Retraining is triggered based on objective signals rather than a fixed calendar:</w:t>
      </w:r>
    </w:p>
    <w:p>
      <w:pPr>
        <w:pStyle w:val="ListParagraph"/>
        <w:numPr>
          <w:ilvl w:val="0"/>
          <w:numId w:val="2"/>
        </w:numPr>
        <w:spacing w:before="60" w:after="60"/>
      </w:pPr>
      <w:r>
        <w:rPr>
          <w:rFonts w:ascii="Arial" w:cs="Arial" w:eastAsia="Arial" w:hAnsi="Arial"/>
          <w:b w:val="false"/>
          <w:bCs w:val="false"/>
          <w:sz w:val="22"/>
          <w:szCs w:val="22"/>
        </w:rPr>
        <w:t xml:space="preserve">Signal 1 — Reconstruction Error Drift: Rolling mean error rises steadily over 6+ weeks during known healthy periods, indicating the model baseline has become stale</w:t>
      </w:r>
    </w:p>
    <w:p>
      <w:pPr>
        <w:pStyle w:val="ListParagraph"/>
        <w:numPr>
          <w:ilvl w:val="0"/>
          <w:numId w:val="2"/>
        </w:numPr>
        <w:spacing w:before="60" w:after="60"/>
      </w:pPr>
      <w:r>
        <w:rPr>
          <w:rFonts w:ascii="Arial" w:cs="Arial" w:eastAsia="Arial" w:hAnsi="Arial"/>
          <w:b w:val="false"/>
          <w:bCs w:val="false"/>
          <w:sz w:val="22"/>
          <w:szCs w:val="22"/>
        </w:rPr>
        <w:t xml:space="preserve">Signal 2 — False Alarm Rate Increase: Number of Yellow and Red flags per week doubles compared to the first-month baseline</w:t>
      </w:r>
    </w:p>
    <w:p>
      <w:pPr>
        <w:pStyle w:val="ListParagraph"/>
        <w:numPr>
          <w:ilvl w:val="0"/>
          <w:numId w:val="2"/>
        </w:numPr>
        <w:spacing w:before="60" w:after="60"/>
      </w:pPr>
      <w:r>
        <w:rPr>
          <w:rFonts w:ascii="Arial" w:cs="Arial" w:eastAsia="Arial" w:hAnsi="Arial"/>
          <w:b w:val="false"/>
          <w:bCs w:val="false"/>
          <w:sz w:val="22"/>
          <w:szCs w:val="22"/>
        </w:rPr>
        <w:t xml:space="preserve">Signal 3 — Sensor Unavailability: Any sensor goes offline or stops transmitting data for an extended period, changing the input distribution</w:t>
      </w:r>
    </w:p>
    <w:p>
      <w:pPr>
        <w:pStyle w:val="ListParagraph"/>
        <w:numPr>
          <w:ilvl w:val="0"/>
          <w:numId w:val="2"/>
        </w:numPr>
        <w:spacing w:before="60" w:after="60"/>
      </w:pPr>
      <w:r>
        <w:rPr>
          <w:rFonts w:ascii="Arial" w:cs="Arial" w:eastAsia="Arial" w:hAnsi="Arial"/>
          <w:b w:val="false"/>
          <w:bCs w:val="false"/>
          <w:sz w:val="22"/>
          <w:szCs w:val="22"/>
        </w:rPr>
        <w:t xml:space="preserve">Signal 4 — Operating Condition Change: Client permanently changes equipment operating profile or operating regime</w:t>
      </w:r>
    </w:p>
    <w:p>
      <w:pPr>
        <w:pStyle w:val="Heading2"/>
        <w:spacing w:before="240" w:after="120"/>
      </w:pPr>
      <w:r>
        <w:rPr>
          <w:rFonts w:ascii="Arial" w:cs="Arial" w:eastAsia="Arial" w:hAnsi="Arial"/>
          <w:b/>
          <w:bCs/>
          <w:color w:val="2E75B6"/>
          <w:sz w:val="24"/>
          <w:szCs w:val="24"/>
        </w:rPr>
        <w:t xml:space="preserve">6.2 Retraining Data Strategy</w:t>
      </w:r>
    </w:p>
    <w:p>
      <w:pPr>
        <w:spacing w:before="80" w:after="80"/>
      </w:pPr>
      <w:r>
        <w:rPr>
          <w:rFonts w:ascii="Arial" w:cs="Arial" w:eastAsia="Arial" w:hAnsi="Arial"/>
          <w:sz w:val="22"/>
          <w:szCs w:val="22"/>
        </w:rPr>
        <w:t xml:space="preserve">Two options will be applied depending on retraining cycle:</w:t>
      </w:r>
    </w:p>
    <w:p>
      <w:pPr>
        <w:pStyle w:val="ListParagraph"/>
        <w:numPr>
          <w:ilvl w:val="0"/>
          <w:numId w:val="2"/>
        </w:numPr>
        <w:spacing w:before="60" w:after="60"/>
      </w:pPr>
      <w:r>
        <w:rPr>
          <w:rFonts w:ascii="Arial" w:cs="Arial" w:eastAsia="Arial" w:hAnsi="Arial"/>
          <w:b w:val="false"/>
          <w:bCs w:val="false"/>
          <w:sz w:val="22"/>
          <w:szCs w:val="22"/>
        </w:rPr>
        <w:t xml:space="preserve">Option B (First retrain): Original historical healthy data combined with new verified clean live data accumulated since deployment</w:t>
      </w:r>
    </w:p>
    <w:p>
      <w:pPr>
        <w:pStyle w:val="ListParagraph"/>
        <w:numPr>
          <w:ilvl w:val="0"/>
          <w:numId w:val="2"/>
        </w:numPr>
        <w:spacing w:before="60" w:after="60"/>
      </w:pPr>
      <w:r>
        <w:rPr>
          <w:rFonts w:ascii="Arial" w:cs="Arial" w:eastAsia="Arial" w:hAnsi="Arial"/>
          <w:b w:val="false"/>
          <w:bCs w:val="false"/>
          <w:sz w:val="22"/>
          <w:szCs w:val="22"/>
        </w:rPr>
        <w:t xml:space="preserve">Option C (Subsequent retrains): Rolling 12-month window of clean data, dropping data older than 12 months to naturally capture equipment aging</w:t>
      </w:r>
    </w:p>
    <w:p>
      <w:pPr>
        <w:spacing w:before="100" w:after="80"/>
      </w:pPr>
    </w:p>
    <w:p>
      <w:pPr>
        <w:spacing w:before="80" w:after="80"/>
      </w:pPr>
      <w:r>
        <w:rPr>
          <w:rFonts w:ascii="Arial" w:cs="Arial" w:eastAsia="Arial" w:hAnsi="Arial"/>
          <w:sz w:val="22"/>
          <w:szCs w:val="22"/>
        </w:rPr>
        <w:t xml:space="preserve">All live data used for retraining is filtered to exclude any windows previously flagged as Yellow or Red, ensuring fault periods do not contaminate the new healthy baseline. Thresholds are always recalculated after every retrain.</w:t>
      </w:r>
    </w:p>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7. Integration with Existing Stack</w:t>
      </w:r>
    </w:p>
    <w:p>
      <w:pPr>
        <w:spacing w:before="80" w:after="80"/>
      </w:pPr>
      <w:r>
        <w:rPr>
          <w:rFonts w:ascii="Arial" w:cs="Arial" w:eastAsia="Arial" w:hAnsi="Arial"/>
          <w:sz w:val="22"/>
          <w:szCs w:val="22"/>
        </w:rPr>
        <w:t xml:space="preserve">The Autoencoder operates as a third independent layer alongside existing systems: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Timestamp Level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Physics Thresholds (existing)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 sensor, per 15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Models (existing)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 key sensors, 30-minute windows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Equipment Level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Autoencoder NN (proposed)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N sensors, 30-minute windows</w:t>
            </w:r>
          </w:p>
        </w:tc>
      </w:tr>
    </w:tbl>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8. Expected Business Value</w:t>
      </w:r>
    </w:p>
    <w:p>
      <w:pPr>
        <w:pStyle w:val="ListParagraph"/>
        <w:numPr>
          <w:ilvl w:val="0"/>
          <w:numId w:val="2"/>
        </w:numPr>
        <w:spacing w:before="60" w:after="60"/>
      </w:pPr>
      <w:r>
        <w:rPr>
          <w:rFonts w:ascii="Arial" w:cs="Arial" w:eastAsia="Arial" w:hAnsi="Arial"/>
          <w:b w:val="false"/>
          <w:bCs w:val="false"/>
          <w:sz w:val="22"/>
          <w:szCs w:val="22"/>
        </w:rPr>
        <w:t xml:space="preserve">Early fault detection: Anomalies surfaced days to weeks before traditional threshold-based systems</w:t>
      </w:r>
    </w:p>
    <w:p>
      <w:pPr>
        <w:pStyle w:val="ListParagraph"/>
        <w:numPr>
          <w:ilvl w:val="0"/>
          <w:numId w:val="2"/>
        </w:numPr>
        <w:spacing w:before="60" w:after="60"/>
      </w:pPr>
      <w:r>
        <w:rPr>
          <w:rFonts w:ascii="Arial" w:cs="Arial" w:eastAsia="Arial" w:hAnsi="Arial"/>
          <w:b w:val="false"/>
          <w:bCs w:val="false"/>
          <w:sz w:val="22"/>
          <w:szCs w:val="22"/>
        </w:rPr>
        <w:t xml:space="preserve">Reduced false alarms: Persistence logic and regime-aware thresholds minimise noise to client</w:t>
      </w:r>
    </w:p>
    <w:p>
      <w:pPr>
        <w:pStyle w:val="ListParagraph"/>
        <w:numPr>
          <w:ilvl w:val="0"/>
          <w:numId w:val="2"/>
        </w:numPr>
        <w:spacing w:before="60" w:after="60"/>
      </w:pPr>
      <w:r>
        <w:rPr>
          <w:rFonts w:ascii="Arial" w:cs="Arial" w:eastAsia="Arial" w:hAnsi="Arial"/>
          <w:b w:val="false"/>
          <w:bCs w:val="false"/>
          <w:sz w:val="22"/>
          <w:szCs w:val="22"/>
        </w:rPr>
        <w:t xml:space="preserve">No labeled data required: Model trains purely on healthy data, overcoming the scarcity of historical fault events</w:t>
      </w:r>
    </w:p>
    <w:p>
      <w:pPr>
        <w:pStyle w:val="ListParagraph"/>
        <w:numPr>
          <w:ilvl w:val="0"/>
          <w:numId w:val="2"/>
        </w:numPr>
        <w:spacing w:before="60" w:after="60"/>
      </w:pPr>
      <w:r>
        <w:rPr>
          <w:rFonts w:ascii="Arial" w:cs="Arial" w:eastAsia="Arial" w:hAnsi="Arial"/>
          <w:b w:val="false"/>
          <w:bCs w:val="false"/>
          <w:sz w:val="22"/>
          <w:szCs w:val="22"/>
        </w:rPr>
        <w:t xml:space="preserve">Explainable alerts: Every flag accompanied by ranked sensor contribution — actionable for field engineers immediately</w:t>
      </w:r>
    </w:p>
    <w:p>
      <w:pPr>
        <w:pStyle w:val="ListParagraph"/>
        <w:numPr>
          <w:ilvl w:val="0"/>
          <w:numId w:val="2"/>
        </w:numPr>
        <w:spacing w:before="60" w:after="60"/>
      </w:pPr>
      <w:r>
        <w:rPr>
          <w:rFonts w:ascii="Arial" w:cs="Arial" w:eastAsia="Arial" w:hAnsi="Arial"/>
          <w:b w:val="false"/>
          <w:bCs w:val="false"/>
          <w:sz w:val="22"/>
          <w:szCs w:val="22"/>
        </w:rPr>
        <w:t xml:space="preserve">Scalable: Per-unit model architecture deploys consistently across all turbine types and clients</w:t>
      </w:r>
    </w:p>
    <w:p>
      <w:pPr>
        <w:pBdr>
          <w:bottom w:val="single" w:color="2E75B6" w:sz="6" w:space="1"/>
        </w:pBdr>
        <w:spacing w:before="120" w:after="120"/>
      </w:pPr>
    </w:p>
    <w:p>
      <w:pPr>
        <w:pStyle w:val="Heading1"/>
        <w:spacing w:before="320" w:after="160"/>
      </w:pPr>
      <w:r>
        <w:rPr>
          <w:rFonts w:ascii="Arial" w:cs="Arial" w:eastAsia="Arial" w:hAnsi="Arial"/>
          <w:b/>
          <w:bCs/>
          <w:color w:val="1F4E79"/>
          <w:sz w:val="28"/>
          <w:szCs w:val="28"/>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Training data contains hidden faults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audits its own training error distribution; elevated periods removed iteratively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Operating regime changes cause false alarms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Regime segmentation using speed, power, and discharge pressure before cleaning and threshold setting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Sensor dropout at inference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Missing sensor flagged as separate alert; model retrained excluding that sensor if outage is permanent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Model becomes stale over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Objective retraining triggers monitored continuously; retraining initiated on signal not schedule</w:t>
            </w:r>
          </w:p>
        </w:tc>
      </w:tr>
    </w:tbl>
    <w:p>
      <w:pPr>
        <w:spacing w:before="240" w:after="80"/>
      </w:pPr>
    </w:p>
    <w:p>
      <w:pPr>
        <w:pBdr>
          <w:bottom w:val="single" w:color="2E75B6" w:sz="6" w:space="1"/>
        </w:pBdr>
        <w:spacing w:before="120" w:after="120"/>
      </w:pPr>
    </w:p>
    <w:p>
      <w:pPr>
        <w:spacing w:before="200" w:after="0"/>
        <w:jc w:val="center"/>
      </w:pPr>
      <w:r>
        <w:rPr>
          <w:rFonts w:ascii="Arial" w:cs="Arial" w:eastAsia="Arial" w:hAnsi="Arial"/>
          <w:i/>
          <w:iCs/>
          <w:color w:val="AAAAAA"/>
          <w:sz w:val="18"/>
          <w:szCs w:val="18"/>
        </w:rPr>
        <w:t xml:space="preserve">Prepared by Data Science Team  |  For Internal Review Only</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i/>
        <w:iCs/>
        <w:color w:val="888888"/>
        <w:sz w:val="18"/>
        <w:szCs w:val="18"/>
      </w:rPr>
      <w:t xml:space="preserve">CONFIDENTIAL  |  Internal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2026-03-15T06:28:20.290Z</dcterms:created>
  <dcterms:modified xsi:type="dcterms:W3CDTF">2026-03-15T06:28:20.291Z</dcterms:modified>
</cp:coreProperties>
</file>

<file path=docProps/custom.xml><?xml version="1.0" encoding="utf-8"?>
<Properties xmlns="http://schemas.openxmlformats.org/officeDocument/2006/custom-properties" xmlns:vt="http://schemas.openxmlformats.org/officeDocument/2006/docPropsVTypes"/>
</file>