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2"/>
          <w:szCs w:val="32"/>
        </w:rPr>
        <w:t xml:space="preserve">Assignment 2 — Build Your Knowledge Base</w:t>
      </w:r>
    </w:p>
    <w:p>
      <w:pPr>
        <w:spacing w:after="100"/>
      </w:pPr>
      <w:r>
        <w:rPr>
          <w:i/>
          <w:iCs/>
          <w:color w:val="595959"/>
          <w:sz w:val="18"/>
          <w:szCs w:val="18"/>
        </w:rPr>
        <w:t xml:space="preserve">Team of 3 · Milestone 2 of 4 · Type your answers directly in the blank cells — they grow as you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1F2" w:val="clear"/>
          </w:tcPr>
          <w:p>
            <w:pPr>
              <w:spacing w:after="60"/>
            </w:pPr>
            <w:r>
              <w:rPr>
                <w:b/>
                <w:bCs/>
              </w:rPr>
              <w:t xml:space="preserve">Strict compliance: </w:t>
            </w:r>
            <w:r>
              <w:t xml:space="preserve">your submission ZIP must exactly match the folder/file structure on the Submission page. Automated grading rejects anything that doesn't — check before you submit.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Project name</w:t>
            </w:r>
          </w:p>
          <w:p>
            <w:pPr>
              <w:spacing w:after="80"/>
            </w:pPr>
            <w:r>
              <w:rPr>
                <w:i/>
                <w:iCs/>
                <w:color w:val="595959"/>
                <w:sz w:val="18"/>
                <w:szCs w:val="18"/>
              </w:rPr>
              <w:t xml:space="preserve">the same project name you used in Assignment 1</w:t>
            </w:r>
          </w:p>
        </w:tc>
        <w:tc>
          <w:tcPr>
            <w:tcW w:type="dxa" w:w="5860"/>
          </w:tcPr>
          <w:p>
            <w:pPr>
              <w:spacing w:after="80"/>
            </w:pPr>
            <w:r>
              <w:rPr>
                <w:i w:val="0"/>
              </w:rPr>
              <w:t>MathScholar</w:t>
            </w:r>
          </w:p>
        </w:tc>
      </w:tr>
    </w:tbl>
    <w:p>
      <w:pPr>
        <w:spacing w:after="60" w:before="120"/>
      </w:pPr>
      <w:r>
        <w:rPr>
          <w:b/>
          <w:bCs/>
          <w:sz w:val="22"/>
          <w:szCs w:val="22"/>
        </w:rPr>
        <w:t xml:space="preserve">Team members</w:t>
      </w:r>
    </w:p>
    <w:p>
      <w:pPr>
        <w:spacing w:after="100"/>
      </w:pPr>
      <w:r>
        <w:rPr>
          <w:i/>
          <w:iCs/>
          <w:color w:val="595959"/>
          <w:sz w:val="18"/>
          <w:szCs w:val="18"/>
        </w:rPr>
        <w:t xml:space="preserve">In 'Worked sections', list the sections each member led. Every section must be owned by someone; each member submits the AI-chat behind their own sections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360"/>
        <w:gridCol w:w="2300"/>
      </w:tblGrid>
      <w:tr>
        <w:trPr>
          <w:tblHeader/>
        </w:trPr>
        <w:tc>
          <w:tcPr>
            <w:tcW w:type="dxa" w:w="1700"/>
            <w:shd w:fill="1F3864" w:val="clear"/>
          </w:tcPr>
          <w:p>
            <w:pPr>
              <w:spacing w:after="80"/>
            </w:pPr>
            <w:r>
              <w:rPr>
                <w:b/>
                <w:bCs/>
                <w:color w:val="FFFFFF"/>
              </w:rPr>
              <w:t xml:space="preserve">Team member</w:t>
            </w:r>
          </w:p>
        </w:tc>
        <w:tc>
          <w:tcPr>
            <w:tcW w:type="dxa" w:w="3000"/>
            <w:shd w:fill="1F3864" w:val="clear"/>
          </w:tcPr>
          <w:p>
            <w:pPr>
              <w:spacing w:after="80"/>
            </w:pPr>
            <w:r>
              <w:rPr>
                <w:b/>
                <w:bCs/>
                <w:color w:val="FFFFFF"/>
              </w:rPr>
              <w:t xml:space="preserve">Full name</w:t>
            </w:r>
          </w:p>
        </w:tc>
        <w:tc>
          <w:tcPr>
            <w:tcW w:type="dxa" w:w="2360"/>
            <w:shd w:fill="1F3864" w:val="clear"/>
          </w:tcPr>
          <w:p>
            <w:pPr>
              <w:spacing w:after="80"/>
            </w:pPr>
            <w:r>
              <w:rPr>
                <w:b/>
                <w:bCs/>
                <w:color w:val="FFFFFF"/>
              </w:rPr>
              <w:t xml:space="preserve">Student number</w:t>
            </w:r>
          </w:p>
        </w:tc>
        <w:tc>
          <w:tcPr>
            <w:tcW w:type="dxa" w:w="2300"/>
            <w:shd w:fill="1F3864" w:val="clear"/>
          </w:tcPr>
          <w:p>
            <w:pPr>
              <w:spacing w:after="80"/>
            </w:pPr>
            <w:r>
              <w:rPr>
                <w:b/>
                <w:bCs/>
                <w:color w:val="FFFFFF"/>
              </w:rPr>
              <w:t xml:space="preserve">Worked sections</w:t>
            </w:r>
          </w:p>
        </w:tc>
      </w:tr>
      <w:tr>
        <w:tc>
          <w:tcPr>
            <w:tcW w:type="dxa" w:w="1700"/>
          </w:tcPr>
          <w:p>
            <w:pPr>
              <w:spacing w:after="80"/>
            </w:pPr>
            <w:r>
              <w:t xml:space="preserve">Student 1</w:t>
            </w:r>
          </w:p>
        </w:tc>
        <w:tc>
          <w:tcPr>
            <w:tcW w:type="dxa" w:w="3000"/>
          </w:tcPr>
          <w:p>
            <w:pPr>
              <w:spacing w:after="80"/>
            </w:pPr>
            <w:r>
              <w:rPr>
                <w:i w:val="0"/>
              </w:rPr>
              <w:t>Anuron Maitro</w:t>
            </w:r>
          </w:p>
        </w:tc>
        <w:tc>
          <w:tcPr>
            <w:tcW w:type="dxa" w:w="2360"/>
          </w:tcPr>
          <w:p>
            <w:pPr>
              <w:spacing w:after="80"/>
            </w:pPr>
            <w:r>
              <w:rPr>
                <w:i w:val="0"/>
              </w:rPr>
              <w:t>2105037</w:t>
            </w:r>
          </w:p>
        </w:tc>
        <w:tc>
          <w:tcPr>
            <w:tcW w:type="dxa" w:w="2300"/>
          </w:tcPr>
          <w:p>
            <w:pPr>
              <w:spacing w:after="80"/>
            </w:pPr>
            <w:r>
              <w:rPr>
                <w:i w:val="0"/>
              </w:rPr>
              <w:t>Section 4 (The Knowledge Base We Built), Section 5 (Evidence It Works)</w:t>
            </w:r>
          </w:p>
        </w:tc>
      </w:tr>
      <w:tr>
        <w:tc>
          <w:tcPr>
            <w:tcW w:type="dxa" w:w="1700"/>
          </w:tcPr>
          <w:p>
            <w:pPr>
              <w:spacing w:after="80"/>
            </w:pPr>
            <w:r>
              <w:t xml:space="preserve">Student 2</w:t>
            </w:r>
          </w:p>
        </w:tc>
        <w:tc>
          <w:tcPr>
            <w:tcW w:type="dxa" w:w="3000"/>
          </w:tcPr>
          <w:p>
            <w:pPr>
              <w:spacing w:after="80"/>
            </w:pPr>
            <w:r>
              <w:rPr>
                <w:i w:val="0"/>
              </w:rPr>
              <w:t>Himadri Gobinda Biswas</w:t>
            </w:r>
          </w:p>
        </w:tc>
        <w:tc>
          <w:tcPr>
            <w:tcW w:type="dxa" w:w="2360"/>
          </w:tcPr>
          <w:p>
            <w:pPr>
              <w:spacing w:after="80"/>
            </w:pPr>
            <w:r>
              <w:rPr>
                <w:i w:val="0"/>
              </w:rPr>
              <w:t>2105047</w:t>
            </w:r>
          </w:p>
        </w:tc>
        <w:tc>
          <w:tcPr>
            <w:tcW w:type="dxa" w:w="2300"/>
          </w:tcPr>
          <w:p>
            <w:pPr>
              <w:spacing w:after="80"/>
            </w:pPr>
            <w:r>
              <w:rPr>
                <w:i w:val="0"/>
              </w:rPr>
              <w:t>Section 2 (The Structure We Exploit), Section 3 (Components &amp; Options We Considered)</w:t>
            </w:r>
          </w:p>
        </w:tc>
      </w:tr>
      <w:tr>
        <w:tc>
          <w:tcPr>
            <w:tcW w:type="dxa" w:w="1700"/>
          </w:tcPr>
          <w:p>
            <w:pPr>
              <w:spacing w:after="80"/>
            </w:pPr>
            <w:r>
              <w:t xml:space="preserve">Student 3</w:t>
            </w:r>
          </w:p>
        </w:tc>
        <w:tc>
          <w:tcPr>
            <w:tcW w:type="dxa" w:w="3000"/>
          </w:tcPr>
          <w:p>
            <w:pPr>
              <w:spacing w:after="80"/>
            </w:pPr>
            <w:r>
              <w:rPr>
                <w:i w:val="0"/>
              </w:rPr>
              <w:t>Elias Mainur</w:t>
            </w:r>
          </w:p>
        </w:tc>
        <w:tc>
          <w:tcPr>
            <w:tcW w:type="dxa" w:w="2360"/>
          </w:tcPr>
          <w:p>
            <w:pPr>
              <w:spacing w:after="80"/>
            </w:pPr>
            <w:r>
              <w:rPr>
                <w:i w:val="0"/>
              </w:rPr>
              <w:t>2105058</w:t>
            </w:r>
          </w:p>
        </w:tc>
        <w:tc>
          <w:tcPr>
            <w:tcW w:type="dxa" w:w="2300"/>
          </w:tcPr>
          <w:p>
            <w:pPr>
              <w:spacing w:after="80"/>
            </w:pPr>
            <w:r>
              <w:rPr>
                <w:i w:val="0"/>
              </w:rPr>
              <w:t>Section 1 (Recap from Assignment 1), Section 6 (The Plan for A3), Section 7 (Design Choices &amp; Justification)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1F2" w:val="clear"/>
          </w:tcPr>
          <w:p>
            <w:pPr>
              <w:spacing w:after="60"/>
            </w:pPr>
            <w:r>
              <w:rPr>
                <w:b/>
                <w:bCs/>
              </w:rPr>
              <w:t xml:space="preserve">What this assignment is: </w:t>
            </w:r>
            <w:r>
              <w:t xml:space="preserve">You BUILD the knowledge base — the front half of the pipeline that turns scanned pages into searchable text: ingest &amp; clean the scans, (optionally) enhance them, detect layout, run OCR, then chunk, embed, and index. You choose the models and parameters; the repo fixes where each piece goes. This milestone produces working code and evidence it reads and retrieves.</w:t>
            </w:r>
          </w:p>
          <w:p>
            <w:pPr>
              <w:spacing w:after="60"/>
            </w:pPr>
            <w:r>
              <w:rPr>
                <w:b/>
                <w:bCs/>
              </w:rPr>
              <w:t xml:space="preserve">What to hand in: </w:t>
            </w:r>
            <w:r>
              <w:t xml:space="preserve">Push everything to your team's PUBLIC GitHub repo, then tag it: git add -A &amp;&amp; git commit -m "a2-submit" &amp;&amp; git tag a2-submit &amp;&amp; git push origin main --tags. The tag IS your submission (deadlines are read from GitHub's servers) — do NOT upload a ZIP. Contents: the filled form in forms/, the repo with ingest / vision / index stages implemented, the built index (or a script that builds it), notebooks/kb_demo.ipynb showing OCR quality and one retrieval example, your updated configs/design_choices.md, and one AI-chat transcript per member. ALSO CARRIED FORWARD FROM A1 — the code stub was released after A1, so these are graded here for the first time: configs/task.yaml, data/provenance.md plus your corpus (or scripts/get_data.sh), notebooks/eda.ipynb, grading_kit/manifest.yaml, and grading_kit/heldout_pages/ with labels.jsonl.</w:t>
            </w:r>
          </w:p>
        </w:tc>
      </w:tr>
    </w:tbl>
    <w:p>
      <w:pPr>
        <w:pStyle w:val="Heading2"/>
        <w:spacing w:after="100" w:before="240"/>
      </w:pPr>
      <w:r>
        <w:rPr>
          <w:b/>
          <w:bCs/>
          <w:color w:val="1F3864"/>
          <w:sz w:val="26"/>
          <w:szCs w:val="26"/>
        </w:rPr>
        <w:t xml:space="preserve">Section 1 — Recap from Assignment 1</w:t>
      </w:r>
    </w:p>
    <w:p>
      <w:pPr>
        <w:spacing w:after="100"/>
      </w:pPr>
      <w:r>
        <w:rPr>
          <w:i/>
          <w:iCs/>
          <w:color w:val="595959"/>
          <w:sz w:val="18"/>
          <w:szCs w:val="18"/>
        </w:rPr>
        <w:t xml:space="preserve">Copy these from A1 so this form stands alone. Do NOT change the success metric — your system in A3 is judged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Our three choices (from A1)</w:t>
            </w:r>
          </w:p>
          <w:p>
            <w:pPr>
              <w:spacing w:after="80"/>
            </w:pPr>
            <w:r>
              <w:rPr>
                <w:i/>
                <w:iCs/>
                <w:color w:val="595959"/>
                <w:sz w:val="18"/>
                <w:szCs w:val="18"/>
              </w:rPr>
              <w:t xml:space="preserve">domain · data speciality · primary NFR + target — one line each.</w:t>
            </w:r>
          </w:p>
        </w:tc>
        <w:tc>
          <w:tcPr>
            <w:tcW w:type="dxa" w:w="5860"/>
          </w:tcPr>
          <w:p>
            <w:pPr>
              <w:spacing w:after="80"/>
            </w:pPr>
            <w:r>
              <w:rPr>
                <w:i w:val="0"/>
              </w:rPr>
              <w:t>Domain: applied special-functions reference, for an engineer or numerical-methods developer who needs a formula fast. Data speciality: math notation, dense LaTeX-style symbols and subscripts rather than plain English prose. Primary NFR: explainable, target rationale coverage 100% and rationale-faithfulness ≥ 0.90, with a calibrated thinking-score ECE ≤ 0.05.</w:t>
            </w:r>
          </w:p>
        </w:tc>
      </w:tr>
      <w:tr>
        <w:tc>
          <w:tcPr>
            <w:tcW w:type="dxa" w:w="3500"/>
            <w:shd w:fill="F2F2F2" w:val="clear"/>
          </w:tcPr>
          <w:p>
            <w:pPr>
              <w:spacing w:after="80"/>
            </w:pPr>
            <w:r>
              <w:rPr>
                <w:b/>
                <w:bCs/>
              </w:rPr>
              <w:t xml:space="preserve">Success metric (from A1)</w:t>
            </w:r>
          </w:p>
          <w:p>
            <w:pPr>
              <w:spacing w:after="80"/>
            </w:pPr>
            <w:r>
              <w:rPr>
                <w:i/>
                <w:iCs/>
                <w:color w:val="595959"/>
                <w:sz w:val="18"/>
                <w:szCs w:val="18"/>
              </w:rPr>
              <w:t xml:space="preserve">the single answer-quality metric and target, unchanged.</w:t>
            </w:r>
          </w:p>
        </w:tc>
        <w:tc>
          <w:tcPr>
            <w:tcW w:type="dxa" w:w="5860"/>
          </w:tcPr>
          <w:p>
            <w:pPr>
              <w:spacing w:after="80"/>
            </w:pPr>
            <w:r>
              <w:rPr>
                <w:i w:val="0"/>
              </w:rPr>
              <w:t>Groundedness / faithfulness ≥ 0.90, same as A1. This is what the A3 agent gets judged against, so we left it untouched for A2.</w:t>
            </w:r>
          </w:p>
        </w:tc>
      </w:tr>
      <w:tr>
        <w:tc>
          <w:tcPr>
            <w:tcW w:type="dxa" w:w="3500"/>
            <w:shd w:fill="F2F2F2" w:val="clear"/>
          </w:tcPr>
          <w:p>
            <w:pPr>
              <w:spacing w:after="80"/>
            </w:pPr>
            <w:r>
              <w:rPr>
                <w:b/>
                <w:bCs/>
              </w:rPr>
              <w:t xml:space="preserve">Our corpus (from A1)</w:t>
            </w:r>
          </w:p>
          <w:p>
            <w:pPr>
              <w:spacing w:after="80"/>
            </w:pPr>
            <w:r>
              <w:rPr>
                <w:i/>
                <w:iCs/>
                <w:color w:val="595959"/>
                <w:sz w:val="18"/>
                <w:szCs w:val="18"/>
              </w:rPr>
              <w:t xml:space="preserve">source, size (pages/words), and the one thing that makes it hard to read.</w:t>
            </w:r>
          </w:p>
        </w:tc>
        <w:tc>
          <w:tcPr>
            <w:tcW w:type="dxa" w:w="5860"/>
          </w:tcPr>
          <w:p>
            <w:pPr>
              <w:spacing w:after="80"/>
            </w:pPr>
            <w:r>
              <w:rPr>
                <w:i w:val="0"/>
              </w:rPr>
              <w:t>Abramowitz &amp; Stegun, Handbook of Mathematical Functions (NBS AMS-55, 1964), public domain. 1082 PDF pages, 1040 of them real content once front matter and blank versos are dropped, 78.6 MB. What makes it hard to read: a strict two-column formula layout, 1964 print quality, and notation that repeats across chapters (the same J, Y, K letters mean different things depending which chapter you're in) -- which is why our train/val/test split is by chapter and not by page.</w:t>
            </w:r>
          </w:p>
        </w:tc>
      </w:tr>
    </w:tbl>
    <w:p>
      <w:pPr>
        <w:pStyle w:val="Heading2"/>
        <w:spacing w:after="100" w:before="240"/>
      </w:pPr>
      <w:r>
        <w:rPr>
          <w:b/>
          <w:bCs/>
          <w:color w:val="1F3864"/>
          <w:sz w:val="26"/>
          <w:szCs w:val="26"/>
        </w:rPr>
        <w:t xml:space="preserve">Section 2 — The Structure We Exploit</w:t>
      </w:r>
    </w:p>
    <w:p>
      <w:pPr>
        <w:spacing w:after="100"/>
      </w:pPr>
      <w:r>
        <w:rPr>
          <w:i/>
          <w:iCs/>
          <w:color w:val="595959"/>
          <w:sz w:val="18"/>
          <w:szCs w:val="18"/>
        </w:rPr>
        <w:t xml:space="preserve">Every model choice is a bet on structure in the data. Name the structure your pipeline relies on, and the things it must 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Structure in the page image</w:t>
            </w:r>
          </w:p>
          <w:p>
            <w:pPr>
              <w:spacing w:after="80"/>
            </w:pPr>
            <w:r>
              <w:rPr>
                <w:i/>
                <w:iCs/>
                <w:color w:val="595959"/>
                <w:sz w:val="18"/>
                <w:szCs w:val="18"/>
              </w:rPr>
              <w:t xml:space="preserve">what a vision model can exploit — nearby pixels form strokes/characters; a character looks the same when shifted. Drives your layout &amp; enhancement choices.</w:t>
            </w:r>
          </w:p>
        </w:tc>
        <w:tc>
          <w:tcPr>
            <w:tcW w:type="dxa" w:w="5860"/>
          </w:tcPr>
          <w:p>
            <w:pPr>
              <w:spacing w:after="80"/>
            </w:pPr>
            <w:r>
              <w:rPr>
                <w:i w:val="0"/>
              </w:rPr>
              <w:t>Pixels close together form the same stroke, and a printed glyph looks the same wherever it lands on the page, so layout detection can lean on plain translation invariance and local pixel structure -- that's most of why a detector like Table-Transformer works on a scan at all. The book also sits in a strict two-column grid, and tables have visible grid lines and dense numeric columns that look nothing like a paragraph of prose.</w:t>
            </w:r>
          </w:p>
        </w:tc>
      </w:tr>
      <w:tr>
        <w:tc>
          <w:tcPr>
            <w:tcW w:type="dxa" w:w="3500"/>
            <w:shd w:fill="F2F2F2" w:val="clear"/>
          </w:tcPr>
          <w:p>
            <w:pPr>
              <w:spacing w:after="80"/>
            </w:pPr>
            <w:r>
              <w:rPr>
                <w:b/>
                <w:bCs/>
              </w:rPr>
              <w:t xml:space="preserve">Structure in the text</w:t>
            </w:r>
          </w:p>
          <w:p>
            <w:pPr>
              <w:spacing w:after="80"/>
            </w:pPr>
            <w:r>
              <w:rPr>
                <w:i/>
                <w:iCs/>
                <w:color w:val="595959"/>
                <w:sz w:val="18"/>
                <w:szCs w:val="18"/>
              </w:rPr>
              <w:t xml:space="preserve">what a sequence model can exploit — reading order and context carry meaning; conjuncts/ligatures span characters. Drives your OCR &amp; embedding choices.</w:t>
            </w:r>
          </w:p>
        </w:tc>
        <w:tc>
          <w:tcPr>
            <w:tcW w:type="dxa" w:w="5860"/>
          </w:tcPr>
          <w:p>
            <w:pPr>
              <w:spacing w:after="80"/>
            </w:pPr>
            <w:r>
              <w:rPr>
                <w:i w:val="0"/>
              </w:rPr>
              <w:t>The text has to be read left column then right column; get that order wrong and a formula split across a \frac{}{} stops making sense, since the two halves only line up if they stay adjacent. LaTeX itself is a strict token grammar (matched braces, \begin/\end, backslash commands), so a decoder trained on that grammar carries a strong prior about what a valid continuation looks like. A&amp;S also numbers every formula in sequence, 6.1.8 followed by 6.1.9, which is what let us anchor citations to Chunk.id instead of inventing our own numbering.</w:t>
            </w:r>
          </w:p>
        </w:tc>
      </w:tr>
      <w:tr>
        <w:tc>
          <w:tcPr>
            <w:tcW w:type="dxa" w:w="3500"/>
            <w:shd w:fill="F2F2F2" w:val="clear"/>
          </w:tcPr>
          <w:p>
            <w:pPr>
              <w:spacing w:after="80"/>
            </w:pPr>
            <w:r>
              <w:rPr>
                <w:b/>
                <w:bCs/>
              </w:rPr>
              <w:t xml:space="preserve">What should NOT change the answer</w:t>
            </w:r>
          </w:p>
          <w:p>
            <w:pPr>
              <w:spacing w:after="80"/>
            </w:pPr>
            <w:r>
              <w:rPr>
                <w:i/>
                <w:iCs/>
                <w:color w:val="595959"/>
                <w:sz w:val="18"/>
                <w:szCs w:val="18"/>
              </w:rPr>
              <w:t xml:space="preserve">variations the system must be robust to — page position, font, mild skew, scan noise, ink bleed. Knowing these points you to the right model and augmentation.</w:t>
            </w:r>
          </w:p>
        </w:tc>
        <w:tc>
          <w:tcPr>
            <w:tcW w:type="dxa" w:w="5860"/>
          </w:tcPr>
          <w:p>
            <w:pPr>
              <w:spacing w:after="80"/>
            </w:pPr>
            <w:r>
              <w:rPr>
                <w:i w:val="0"/>
              </w:rPr>
              <w:t>Page position in the book shouldn't change the answer -- formula 6.1.8 means the same thing on page 100 or page 900. Same for mild skew, scan noise (dust, faint bleed-through from the facing page), the paper's yellowed tone, and the size difference between headings, body text, and subscripts. preprocess.py handles skew and noise directly; our synthetic degradation for OCR fine-tuning (Step 26) was calibrated to the corpus's own measured brightness and contrast so the model sees realistic variation in training instead of clean renders it will never see again at inference.</w:t>
            </w:r>
          </w:p>
        </w:tc>
      </w:tr>
    </w:tbl>
    <w:p>
      <w:pPr>
        <w:pStyle w:val="Heading2"/>
        <w:spacing w:after="100" w:before="240"/>
      </w:pPr>
      <w:r>
        <w:rPr>
          <w:b/>
          <w:bCs/>
          <w:color w:val="1F3864"/>
          <w:sz w:val="26"/>
          <w:szCs w:val="26"/>
        </w:rPr>
        <w:t xml:space="preserve">Section 3 — Components &amp; Options We Considered</w:t>
      </w:r>
    </w:p>
    <w:p>
      <w:pPr>
        <w:spacing w:after="100"/>
      </w:pPr>
      <w:r>
        <w:t xml:space="preserve">For each stage, name the options you compared and your choice. </w:t>
      </w:r>
      <w:r>
        <w:rPr>
          <w:b/>
          <w:bCs/>
        </w:rPr>
        <w:t xml:space="preserve">At least one choice must be an existing published/pretrained method you reproduce and adapt</w:t>
      </w:r>
      <w:r>
        <w:t xml:space="preserve"> (your OCR foundation is the natural one — reproducing someone else's method is the core skill for adopting whatever comes next). Mark it in the last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3200"/>
        <w:gridCol w:w="1560"/>
      </w:tblGrid>
      <w:tr>
        <w:trPr>
          <w:tblHeader/>
        </w:trPr>
        <w:tc>
          <w:tcPr>
            <w:tcW w:type="dxa" w:w="1700"/>
            <w:shd w:fill="1F3864" w:val="clear"/>
          </w:tcPr>
          <w:p>
            <w:pPr>
              <w:spacing w:after="80"/>
            </w:pPr>
            <w:r>
              <w:rPr>
                <w:b/>
                <w:bCs/>
                <w:color w:val="FFFFFF"/>
              </w:rPr>
              <w:t xml:space="preserve">Stage</w:t>
            </w:r>
          </w:p>
        </w:tc>
        <w:tc>
          <w:tcPr>
            <w:tcW w:type="dxa" w:w="2900"/>
            <w:shd w:fill="1F3864" w:val="clear"/>
          </w:tcPr>
          <w:p>
            <w:pPr>
              <w:spacing w:after="80"/>
            </w:pPr>
            <w:r>
              <w:rPr>
                <w:b/>
                <w:bCs/>
                <w:color w:val="FFFFFF"/>
              </w:rPr>
              <w:t xml:space="preserve">Options we compared</w:t>
            </w:r>
          </w:p>
        </w:tc>
        <w:tc>
          <w:tcPr>
            <w:tcW w:type="dxa" w:w="3200"/>
            <w:shd w:fill="1F3864" w:val="clear"/>
          </w:tcPr>
          <w:p>
            <w:pPr>
              <w:spacing w:after="80"/>
            </w:pPr>
            <w:r>
              <w:rPr>
                <w:b/>
                <w:bCs/>
                <w:color w:val="FFFFFF"/>
              </w:rPr>
              <w:t xml:space="preserve">Our choice + why</w:t>
            </w:r>
          </w:p>
        </w:tc>
        <w:tc>
          <w:tcPr>
            <w:tcW w:type="dxa" w:w="1560"/>
            <w:shd w:fill="1F3864" w:val="clear"/>
          </w:tcPr>
          <w:p>
            <w:pPr>
              <w:spacing w:after="80"/>
            </w:pPr>
            <w:r>
              <w:rPr>
                <w:b/>
                <w:bCs/>
                <w:color w:val="FFFFFF"/>
              </w:rPr>
              <w:t xml:space="preserve">Reproduced? (≥1 yes)</w:t>
            </w:r>
          </w:p>
        </w:tc>
      </w:tr>
      <w:tr>
        <w:tc>
          <w:tcPr>
            <w:tcW w:type="dxa" w:w="1700"/>
          </w:tcPr>
          <w:p>
            <w:pPr>
              <w:spacing w:after="80"/>
            </w:pPr>
            <w:r>
              <w:t xml:space="preserve">Enhancement (bonus)</w:t>
            </w:r>
          </w:p>
        </w:tc>
        <w:tc>
          <w:tcPr>
            <w:tcW w:type="dxa" w:w="2900"/>
          </w:tcPr>
          <w:p>
            <w:pPr>
              <w:spacing w:after="80"/>
            </w:pPr>
            <w:r>
              <w:rPr>
                <w:i w:val="0"/>
              </w:rPr>
              <w:t>Classical denoise/CLAHE only, against a learned generative enhancer (VAE or diffusion super-resolution).</w:t>
            </w:r>
          </w:p>
        </w:tc>
        <w:tc>
          <w:tcPr>
            <w:tcW w:type="dxa" w:w="3200"/>
          </w:tcPr>
          <w:p>
            <w:pPr>
              <w:spacing w:after="80"/>
            </w:pPr>
            <w:r>
              <w:rPr>
                <w:i w:val="0"/>
              </w:rPr>
              <w:t>We left it off -- enhance: {enabled: false}. A&amp;S is a clean, evenly lit 1964 scan, not a damaged one, so classical preprocessing already does the job a generative model would otherwise be doing. A generative enhancer's real value is inventing plausible detail in a badly degraded scan, and on formula-dense notation a model guessing at strokes it isn't sure about is a risk to correctness we didn't need to take. It's a one-line config flip back on if a future corpus needs it.</w:t>
            </w:r>
          </w:p>
        </w:tc>
        <w:tc>
          <w:tcPr>
            <w:tcW w:type="dxa" w:w="1560"/>
          </w:tcPr>
          <w:p>
            <w:pPr>
              <w:spacing w:after="80"/>
            </w:pPr>
            <w:r>
              <w:rPr>
                <w:i w:val="0"/>
              </w:rPr>
              <w:t>No -- deliberately disabled, not attempted.</w:t>
            </w:r>
          </w:p>
        </w:tc>
      </w:tr>
      <w:tr>
        <w:tc>
          <w:tcPr>
            <w:tcW w:type="dxa" w:w="1700"/>
          </w:tcPr>
          <w:p>
            <w:pPr>
              <w:spacing w:after="80"/>
            </w:pPr>
            <w:r>
              <w:t xml:space="preserve">Layout detection</w:t>
            </w:r>
          </w:p>
        </w:tc>
        <w:tc>
          <w:tcPr>
            <w:tcW w:type="dxa" w:w="2900"/>
          </w:tcPr>
          <w:p>
            <w:pPr>
              <w:spacing w:after="80"/>
            </w:pPr>
            <w:r>
              <w:rPr>
                <w:i w:val="0"/>
              </w:rPr>
              <w:t>A plain heuristic column split, against a trained detection model (Table-Transformer).</w:t>
            </w:r>
          </w:p>
        </w:tc>
        <w:tc>
          <w:tcPr>
            <w:tcW w:type="dxa" w:w="3200"/>
          </w:tcPr>
          <w:p>
            <w:pPr>
              <w:spacing w:after="80"/>
            </w:pPr>
            <w:r>
              <w:rPr>
                <w:i w:val="0"/>
              </w:rPr>
              <w:t>microsoft/table-transformer-detection, combined with our own projection-profile pass for the column split. The projection profile handles the column boundary cheaply, since the layout is fixed, and TATR does the part a heuristic gets wrong: telling a dense numeric table apart from a block of prose.</w:t>
            </w:r>
          </w:p>
        </w:tc>
        <w:tc>
          <w:tcPr>
            <w:tcW w:type="dxa" w:w="1560"/>
          </w:tcPr>
          <w:p>
            <w:pPr>
              <w:spacing w:after="80"/>
            </w:pPr>
            <w:r>
              <w:rPr>
                <w:i w:val="0"/>
              </w:rPr>
              <w:t>Partially -- TATR is a reproduced pretrained model; the column split on top of it is our own heuristic.</w:t>
            </w:r>
          </w:p>
        </w:tc>
      </w:tr>
      <w:tr>
        <w:tc>
          <w:tcPr>
            <w:tcW w:type="dxa" w:w="1700"/>
          </w:tcPr>
          <w:p>
            <w:pPr>
              <w:spacing w:after="80"/>
            </w:pPr>
            <w:r>
              <w:t xml:space="preserve">OCR / HTR</w:t>
            </w:r>
          </w:p>
        </w:tc>
        <w:tc>
          <w:tcPr>
            <w:tcW w:type="dxa" w:w="2900"/>
          </w:tcPr>
          <w:p>
            <w:pPr>
              <w:spacing w:after="80"/>
            </w:pPr>
            <w:r>
              <w:rPr>
                <w:i w:val="0"/>
              </w:rPr>
              <w:t>Tesseract as a classical baseline, against TrOCR, Donut, and Nougat.</w:t>
            </w:r>
          </w:p>
        </w:tc>
        <w:tc>
          <w:tcPr>
            <w:tcW w:type="dxa" w:w="3200"/>
          </w:tcPr>
          <w:p>
            <w:pPr>
              <w:spacing w:after="80"/>
            </w:pPr>
            <w:r>
              <w:rPr>
                <w:i w:val="0"/>
              </w:rPr>
              <w:t>facebook/nougat-base, fine-tuned with LoRA. Nougat is trained specifically on scientific PDFs and outputs LaTeX/Markdown directly, so a formula stays a formula instead of collapsing into garbled ASCII the way a general-purpose OCR model treats it. This is the row where we actually reproduce and adapt a published method: pretrained checkpoint, fine-tuned on our own annotated pages plus a NIST-derived synthetic set.</w:t>
            </w:r>
          </w:p>
        </w:tc>
        <w:tc>
          <w:tcPr>
            <w:tcW w:type="dxa" w:w="1560"/>
          </w:tcPr>
          <w:p>
            <w:pPr>
              <w:spacing w:after="80"/>
            </w:pPr>
            <w:r>
              <w:rPr>
                <w:i w:val="0"/>
              </w:rPr>
              <w:t>Yes -- facebook/nougat-base is a real published checkpoint we loaded and fine-tuned, not something written from scratch.</w:t>
            </w:r>
          </w:p>
        </w:tc>
      </w:tr>
      <w:tr>
        <w:tc>
          <w:tcPr>
            <w:tcW w:type="dxa" w:w="1700"/>
          </w:tcPr>
          <w:p>
            <w:pPr>
              <w:spacing w:after="80"/>
            </w:pPr>
            <w:r>
              <w:t xml:space="preserve">Chunking</w:t>
            </w:r>
          </w:p>
        </w:tc>
        <w:tc>
          <w:tcPr>
            <w:tcW w:type="dxa" w:w="2900"/>
          </w:tcPr>
          <w:p>
            <w:pPr>
              <w:spacing w:after="80"/>
            </w:pPr>
            <w:r>
              <w:rPr>
                <w:i w:val="0"/>
              </w:rPr>
              <w:t>A fixed-size sliding window with overlap, against chunking on the document's own structure.</w:t>
            </w:r>
          </w:p>
        </w:tc>
        <w:tc>
          <w:tcPr>
            <w:tcW w:type="dxa" w:w="3200"/>
          </w:tcPr>
          <w:p>
            <w:pPr>
              <w:spacing w:after="80"/>
            </w:pPr>
            <w:r>
              <w:rPr>
                <w:i w:val="0"/>
              </w:rPr>
              <w:t>Semantic -- one chunk per numbered formula block plus its condition of validity, prose split at section headers, 512-token ceiling, overlap 0. A fixed window cuts a formula in half at an arbitrary token boundary about as often as not; splitting on the book's own structure keeps Γ(½)=√π and the line underneath it in the same chunk. Overlap is 0 on purpose -- sliding-window overlap exists to avoid losing context at an arbitrary cut point, and we don't have arbitrary cut points, so overlap would just duplicate formulas across chunks.</w:t>
            </w:r>
          </w:p>
        </w:tc>
        <w:tc>
          <w:tcPr>
            <w:tcW w:type="dxa" w:w="1560"/>
          </w:tcPr>
          <w:p>
            <w:pPr>
              <w:spacing w:after="80"/>
            </w:pPr>
            <w:r>
              <w:rPr>
                <w:i w:val="0"/>
              </w:rPr>
              <w:t>No -- this is our own design, bonus E4, not published elsewhere.</w:t>
            </w:r>
          </w:p>
        </w:tc>
      </w:tr>
      <w:tr>
        <w:tc>
          <w:tcPr>
            <w:tcW w:type="dxa" w:w="1700"/>
          </w:tcPr>
          <w:p>
            <w:pPr>
              <w:spacing w:after="80"/>
            </w:pPr>
            <w:r>
              <w:t xml:space="preserve">Embedding</w:t>
            </w:r>
          </w:p>
        </w:tc>
        <w:tc>
          <w:tcPr>
            <w:tcW w:type="dxa" w:w="2900"/>
          </w:tcPr>
          <w:p>
            <w:pPr>
              <w:spacing w:after="80"/>
            </w:pPr>
            <w:r>
              <w:rPr>
                <w:i w:val="0"/>
              </w:rPr>
              <w:t>A general sentence embedding (something like all-MiniLM), against a model built for longer mixed-content text (BGE-M3).</w:t>
            </w:r>
          </w:p>
        </w:tc>
        <w:tc>
          <w:tcPr>
            <w:tcW w:type="dxa" w:w="3200"/>
          </w:tcPr>
          <w:p>
            <w:pPr>
              <w:spacing w:after="80"/>
            </w:pPr>
            <w:r>
              <w:rPr>
                <w:i w:val="0"/>
              </w:rPr>
              <w:t>BAAI/bge-m3, dim 1024. Our chunks mix prose and LaTeX in the same block, and BGE-M3 handles that better than a model mostly tuned on short plain-English sentences.</w:t>
            </w:r>
          </w:p>
        </w:tc>
        <w:tc>
          <w:tcPr>
            <w:tcW w:type="dxa" w:w="1560"/>
          </w:tcPr>
          <w:p>
            <w:pPr>
              <w:spacing w:after="80"/>
            </w:pPr>
            <w:r>
              <w:rPr>
                <w:i w:val="0"/>
              </w:rPr>
              <w:t>Yes -- pretrained checkpoint, used as-is, no fine-tuning at this stage.</w:t>
            </w:r>
          </w:p>
        </w:tc>
      </w:tr>
      <w:tr>
        <w:tc>
          <w:tcPr>
            <w:tcW w:type="dxa" w:w="1700"/>
          </w:tcPr>
          <w:p>
            <w:pPr>
              <w:spacing w:after="80"/>
            </w:pPr>
            <w:r>
              <w:t xml:space="preserve">Vector index</w:t>
            </w:r>
          </w:p>
        </w:tc>
        <w:tc>
          <w:tcPr>
            <w:tcW w:type="dxa" w:w="2900"/>
          </w:tcPr>
          <w:p>
            <w:pPr>
              <w:spacing w:after="80"/>
            </w:pPr>
            <w:r>
              <w:rPr>
                <w:i w:val="0"/>
              </w:rPr>
              <w:t>Flat exact search, against approximate indexes like HNSW or IVF/PQ.</w:t>
            </w:r>
          </w:p>
        </w:tc>
        <w:tc>
          <w:tcPr>
            <w:tcW w:type="dxa" w:w="3200"/>
          </w:tcPr>
          <w:p>
            <w:pPr>
              <w:spacing w:after="80"/>
            </w:pPr>
            <w:r>
              <w:rPr>
                <w:i w:val="0"/>
              </w:rPr>
              <w:t>faiss:flat (IndexFlatIP, exact cosine on normalized vectors). At 3,543 chunks we're nowhere near the scale where approximate search pays for itself, and an approximate index would fold its own recall error into every number we report -- we'd never be able to tell a real retrieval bug apart from index approximation noise.</w:t>
            </w:r>
          </w:p>
        </w:tc>
        <w:tc>
          <w:tcPr>
            <w:tcW w:type="dxa" w:w="1560"/>
          </w:tcPr>
          <w:p>
            <w:pPr>
              <w:spacing w:after="80"/>
            </w:pPr>
            <w:r>
              <w:rPr>
                <w:i w:val="0"/>
              </w:rPr>
              <w:t>Not really -- this is a search-structure choice, not a pretrained model; FAISS is a library we call, not a checkpoint we reproduce results from.</w:t>
            </w:r>
          </w:p>
        </w:tc>
      </w:tr>
    </w:tbl>
    <w:p>
      <w:pPr>
        <w:pStyle w:val="Heading2"/>
        <w:spacing w:after="100" w:before="240"/>
      </w:pPr>
      <w:r>
        <w:rPr>
          <w:b/>
          <w:bCs/>
          <w:color w:val="1F3864"/>
          <w:sz w:val="26"/>
          <w:szCs w:val="26"/>
        </w:rPr>
        <w:t xml:space="preserve">Section 4 — The Knowledge Base We Built</w:t>
      </w:r>
    </w:p>
    <w:p>
      <w:pPr>
        <w:spacing w:after="100"/>
      </w:pPr>
      <w:r>
        <w:rPr>
          <w:i/>
          <w:iCs/>
          <w:color w:val="595959"/>
          <w:sz w:val="18"/>
          <w:szCs w:val="18"/>
        </w:rPr>
        <w:t xml:space="preserve">What actually runs. State the model/checkpoint and the key parameters per stage, and whether it's pretrained, fine-tuned, or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00"/>
        <w:gridCol w:w="2360"/>
      </w:tblGrid>
      <w:tr>
        <w:trPr>
          <w:tblHeader/>
        </w:trPr>
        <w:tc>
          <w:tcPr>
            <w:tcW w:type="dxa" w:w="1900"/>
            <w:shd w:fill="1F3864" w:val="clear"/>
          </w:tcPr>
          <w:p>
            <w:pPr>
              <w:spacing w:after="80"/>
            </w:pPr>
            <w:r>
              <w:rPr>
                <w:b/>
                <w:bCs/>
                <w:color w:val="FFFFFF"/>
              </w:rPr>
              <w:t xml:space="preserve">Stage</w:t>
            </w:r>
          </w:p>
        </w:tc>
        <w:tc>
          <w:tcPr>
            <w:tcW w:type="dxa" w:w="2700"/>
            <w:shd w:fill="1F3864" w:val="clear"/>
          </w:tcPr>
          <w:p>
            <w:pPr>
              <w:spacing w:after="80"/>
            </w:pPr>
            <w:r>
              <w:rPr>
                <w:b/>
                <w:bCs/>
                <w:color w:val="FFFFFF"/>
              </w:rPr>
              <w:t xml:space="preserve">Model / checkpoint</w:t>
            </w:r>
          </w:p>
        </w:tc>
        <w:tc>
          <w:tcPr>
            <w:tcW w:type="dxa" w:w="2400"/>
            <w:shd w:fill="1F3864" w:val="clear"/>
          </w:tcPr>
          <w:p>
            <w:pPr>
              <w:spacing w:after="80"/>
            </w:pPr>
            <w:r>
              <w:rPr>
                <w:b/>
                <w:bCs/>
                <w:color w:val="FFFFFF"/>
              </w:rPr>
              <w:t xml:space="preserve">Key parameters</w:t>
            </w:r>
          </w:p>
        </w:tc>
        <w:tc>
          <w:tcPr>
            <w:tcW w:type="dxa" w:w="2360"/>
            <w:shd w:fill="1F3864" w:val="clear"/>
          </w:tcPr>
          <w:p>
            <w:pPr>
              <w:spacing w:after="80"/>
            </w:pPr>
            <w:r>
              <w:rPr>
                <w:b/>
                <w:bCs/>
                <w:color w:val="FFFFFF"/>
              </w:rPr>
              <w:t xml:space="preserve">Pretrained / fine-tuned / scratch</w:t>
            </w:r>
          </w:p>
        </w:tc>
      </w:tr>
      <w:tr>
        <w:tc>
          <w:tcPr>
            <w:tcW w:type="dxa" w:w="1900"/>
          </w:tcPr>
          <w:p>
            <w:pPr>
              <w:spacing w:after="80"/>
            </w:pPr>
            <w:r>
              <w:t xml:space="preserve">Ingest + enhance</w:t>
            </w:r>
          </w:p>
        </w:tc>
        <w:tc>
          <w:tcPr>
            <w:tcW w:type="dxa" w:w="2700"/>
          </w:tcPr>
          <w:p>
            <w:pPr>
              <w:spacing w:after="80"/>
            </w:pPr>
            <w:r>
              <w:rPr>
                <w:i w:val="0"/>
              </w:rPr>
              <w:t>None -- enhancement is off; ingest/preprocess.py uses classical OpenCV operations, no learned model.</w:t>
            </w:r>
          </w:p>
        </w:tc>
        <w:tc>
          <w:tcPr>
            <w:tcW w:type="dxa" w:w="2400"/>
          </w:tcPr>
          <w:p>
            <w:pPr>
              <w:spacing w:after="80"/>
            </w:pPr>
            <w:r>
              <w:rPr>
                <w:i w:val="0"/>
              </w:rPr>
              <w:t>300 dpi render, grayscale kept (no binarization), deskew plus median/bilateral denoise plus CLAHE contrast.</w:t>
            </w:r>
          </w:p>
        </w:tc>
        <w:tc>
          <w:tcPr>
            <w:tcW w:type="dxa" w:w="2360"/>
          </w:tcPr>
          <w:p>
            <w:pPr>
              <w:spacing w:after="80"/>
            </w:pPr>
            <w:r>
              <w:rPr>
                <w:i w:val="0"/>
              </w:rPr>
              <w:t>N/A -- classical image processing, not a model.</w:t>
            </w:r>
          </w:p>
        </w:tc>
      </w:tr>
      <w:tr>
        <w:tc>
          <w:tcPr>
            <w:tcW w:type="dxa" w:w="1900"/>
          </w:tcPr>
          <w:p>
            <w:pPr>
              <w:spacing w:after="80"/>
            </w:pPr>
            <w:r>
              <w:t xml:space="preserve">Layout</w:t>
            </w:r>
          </w:p>
        </w:tc>
        <w:tc>
          <w:tcPr>
            <w:tcW w:type="dxa" w:w="2700"/>
          </w:tcPr>
          <w:p>
            <w:pPr>
              <w:spacing w:after="80"/>
            </w:pPr>
            <w:r>
              <w:rPr>
                <w:i w:val="0"/>
              </w:rPr>
              <w:t>microsoft/table-transformer-detection</w:t>
            </w:r>
          </w:p>
        </w:tc>
        <w:tc>
          <w:tcPr>
            <w:tcW w:type="dxa" w:w="2400"/>
          </w:tcPr>
          <w:p>
            <w:pPr>
              <w:spacing w:after="80"/>
            </w:pPr>
            <w:r>
              <w:rPr>
                <w:i w:val="0"/>
              </w:rPr>
              <w:t>score_thr 0.5, method projection-profile+tatr; two-column split then block detection, table regions flagged separately.</w:t>
            </w:r>
          </w:p>
        </w:tc>
        <w:tc>
          <w:tcPr>
            <w:tcW w:type="dxa" w:w="2360"/>
          </w:tcPr>
          <w:p>
            <w:pPr>
              <w:spacing w:after="80"/>
            </w:pPr>
            <w:r>
              <w:rPr>
                <w:i w:val="0"/>
              </w:rPr>
              <w:t>Pretrained, used as-is.</w:t>
            </w:r>
          </w:p>
        </w:tc>
      </w:tr>
      <w:tr>
        <w:tc>
          <w:tcPr>
            <w:tcW w:type="dxa" w:w="1900"/>
          </w:tcPr>
          <w:p>
            <w:pPr>
              <w:spacing w:after="80"/>
            </w:pPr>
            <w:r>
              <w:t xml:space="preserve">OCR / HTR</w:t>
            </w:r>
          </w:p>
        </w:tc>
        <w:tc>
          <w:tcPr>
            <w:tcW w:type="dxa" w:w="2700"/>
          </w:tcPr>
          <w:p>
            <w:pPr>
              <w:spacing w:after="80"/>
            </w:pPr>
            <w:r>
              <w:rPr>
                <w:i w:val="0"/>
              </w:rPr>
              <w:t>facebook/nougat-base + LoRA adapters (adapter_dir=data/models/ocr_lora/curve_n122, table_adapter_dir=data/models/ocr_lora/table_ft)</w:t>
            </w:r>
          </w:p>
        </w:tc>
        <w:tc>
          <w:tcPr>
            <w:tcW w:type="dxa" w:w="2400"/>
          </w:tcPr>
          <w:p>
            <w:pPr>
              <w:spacing w:after="80"/>
            </w:pPr>
            <w:r>
              <w:rPr>
                <w:i w:val="0"/>
              </w:rPr>
              <w:t>r=8, alpha=16, dropout=0.05. Two-stage curriculum: Stage A on 695 synthetic NIST pairs (lr 5e-5, batch 4, 4 epochs), Stage B on 122 real A&amp;S pages (lr 2e-5, batch 1, early-stopped on val_loss, patience 3). Inference adds repetition_penalty 1.1 and a degeneracy detector; table crops get routed to a second, table-specific adapter.</w:t>
            </w:r>
          </w:p>
        </w:tc>
        <w:tc>
          <w:tcPr>
            <w:tcW w:type="dxa" w:w="2360"/>
          </w:tcPr>
          <w:p>
            <w:pPr>
              <w:spacing w:after="80"/>
            </w:pPr>
            <w:r>
              <w:rPr>
                <w:i w:val="0"/>
              </w:rPr>
              <w:t>Fine-tuned -- LoRA on a pretrained base.</w:t>
            </w:r>
          </w:p>
        </w:tc>
      </w:tr>
      <w:tr>
        <w:tc>
          <w:tcPr>
            <w:tcW w:type="dxa" w:w="1900"/>
          </w:tcPr>
          <w:p>
            <w:pPr>
              <w:spacing w:after="80"/>
            </w:pPr>
            <w:r>
              <w:t xml:space="preserve">Chunk</w:t>
            </w:r>
          </w:p>
        </w:tc>
        <w:tc>
          <w:tcPr>
            <w:tcW w:type="dxa" w:w="2700"/>
          </w:tcPr>
          <w:p>
            <w:pPr>
              <w:spacing w:after="80"/>
            </w:pPr>
            <w:r>
              <w:rPr>
                <w:i w:val="0"/>
              </w:rPr>
              <w:t>No model -- a rule-based structural splitter (index/chunk.py).</w:t>
            </w:r>
          </w:p>
        </w:tc>
        <w:tc>
          <w:tcPr>
            <w:tcW w:type="dxa" w:w="2400"/>
          </w:tcPr>
          <w:p>
            <w:pPr>
              <w:spacing w:after="80"/>
            </w:pPr>
            <w:r>
              <w:rPr>
                <w:i w:val="0"/>
              </w:rPr>
              <w:t>chunk_tokens 512 ceiling, overlap 0; splits on formula-id line starts and markdown headings.</w:t>
            </w:r>
          </w:p>
        </w:tc>
        <w:tc>
          <w:tcPr>
            <w:tcW w:type="dxa" w:w="2360"/>
          </w:tcPr>
          <w:p>
            <w:pPr>
              <w:spacing w:after="80"/>
            </w:pPr>
            <w:r>
              <w:rPr>
                <w:i w:val="0"/>
              </w:rPr>
              <w:t>N/A -- deterministic rules, not a learned model.</w:t>
            </w:r>
          </w:p>
        </w:tc>
      </w:tr>
      <w:tr>
        <w:tc>
          <w:tcPr>
            <w:tcW w:type="dxa" w:w="1900"/>
          </w:tcPr>
          <w:p>
            <w:pPr>
              <w:spacing w:after="80"/>
            </w:pPr>
            <w:r>
              <w:t xml:space="preserve">Embed</w:t>
            </w:r>
          </w:p>
        </w:tc>
        <w:tc>
          <w:tcPr>
            <w:tcW w:type="dxa" w:w="2700"/>
          </w:tcPr>
          <w:p>
            <w:pPr>
              <w:spacing w:after="80"/>
            </w:pPr>
            <w:r>
              <w:rPr>
                <w:i w:val="0"/>
              </w:rPr>
              <w:t>BAAI/bge-m3</w:t>
            </w:r>
          </w:p>
        </w:tc>
        <w:tc>
          <w:tcPr>
            <w:tcW w:type="dxa" w:w="2400"/>
          </w:tcPr>
          <w:p>
            <w:pPr>
              <w:spacing w:after="80"/>
            </w:pPr>
            <w:r>
              <w:rPr>
                <w:i w:val="0"/>
              </w:rPr>
              <w:t>dim 1024, batched, seeded, L2-normalized, cached to embed_cache.npz.</w:t>
            </w:r>
          </w:p>
        </w:tc>
        <w:tc>
          <w:tcPr>
            <w:tcW w:type="dxa" w:w="2360"/>
          </w:tcPr>
          <w:p>
            <w:pPr>
              <w:spacing w:after="80"/>
            </w:pPr>
            <w:r>
              <w:rPr>
                <w:i w:val="0"/>
              </w:rPr>
              <w:t>Pretrained, used as-is.</w:t>
            </w:r>
          </w:p>
        </w:tc>
      </w:tr>
      <w:tr>
        <w:tc>
          <w:tcPr>
            <w:tcW w:type="dxa" w:w="1900"/>
          </w:tcPr>
          <w:p>
            <w:pPr>
              <w:spacing w:after="80"/>
            </w:pPr>
            <w:r>
              <w:t xml:space="preserve">Index</w:t>
            </w:r>
          </w:p>
        </w:tc>
        <w:tc>
          <w:tcPr>
            <w:tcW w:type="dxa" w:w="2700"/>
          </w:tcPr>
          <w:p>
            <w:pPr>
              <w:spacing w:after="80"/>
            </w:pPr>
            <w:r>
              <w:rPr>
                <w:i w:val="0"/>
              </w:rPr>
              <w:t>faiss:flat (IndexFlatIP)</w:t>
            </w:r>
          </w:p>
        </w:tc>
        <w:tc>
          <w:tcPr>
            <w:tcW w:type="dxa" w:w="2400"/>
          </w:tcPr>
          <w:p>
            <w:pPr>
              <w:spacing w:after="80"/>
            </w:pPr>
            <w:r>
              <w:rPr>
                <w:i w:val="0"/>
              </w:rPr>
              <w:t>Exact cosine on normalized vectors. 3,543 chunks, 16.22 MB on disk.</w:t>
            </w:r>
          </w:p>
        </w:tc>
        <w:tc>
          <w:tcPr>
            <w:tcW w:type="dxa" w:w="2360"/>
          </w:tcPr>
          <w:p>
            <w:pPr>
              <w:spacing w:after="80"/>
            </w:pPr>
            <w:r>
              <w:rPr>
                <w:i w:val="0"/>
              </w:rPr>
              <w:t>N/A -- not a learned component.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The pipeline in one line</w:t>
            </w:r>
          </w:p>
          <w:p>
            <w:pPr>
              <w:spacing w:after="80"/>
            </w:pPr>
            <w:r>
              <w:rPr>
                <w:i/>
                <w:iCs/>
                <w:color w:val="595959"/>
                <w:sz w:val="18"/>
                <w:szCs w:val="18"/>
              </w:rPr>
              <w:t xml:space="preserve">pages → clean → (enhance) → layout → OCR → chunk → embed → store. Note anything you changed from the default.</w:t>
            </w:r>
          </w:p>
        </w:tc>
        <w:tc>
          <w:tcPr>
            <w:tcW w:type="dxa" w:w="5860"/>
          </w:tcPr>
          <w:p>
            <w:pPr>
              <w:spacing w:after="80"/>
            </w:pPr>
            <w:r>
              <w:rPr>
                <w:i w:val="0"/>
              </w:rPr>
              <w:t>pages → clean (deskew, denoise, CLAHE) → enhance (off) → layout (Table-Transformer + column split) → OCR (fine-tuned Nougat + LoRA, table crops routed to a second adapter) → chunk (semantic, formula-block aware) → embed (BGE-M3) → store (FAISS flat). Two changes from the stub's default: enhancement is off, and OCR is fine-tuned rather than run pretrained -- both explained in Section 3.</w:t>
            </w:r>
          </w:p>
        </w:tc>
      </w:tr>
    </w:tbl>
    <w:p>
      <w:pPr>
        <w:pStyle w:val="Heading2"/>
        <w:spacing w:after="100" w:before="240"/>
      </w:pPr>
      <w:r>
        <w:rPr>
          <w:b/>
          <w:bCs/>
          <w:color w:val="1F3864"/>
          <w:sz w:val="26"/>
          <w:szCs w:val="26"/>
        </w:rPr>
        <w:t xml:space="preserve">Section 5 — Evidence It Works</w:t>
      </w:r>
    </w:p>
    <w:p>
      <w:pPr>
        <w:spacing w:after="100"/>
      </w:pPr>
      <w:r>
        <w:rPr>
          <w:i/>
          <w:iCs/>
          <w:color w:val="595959"/>
          <w:sz w:val="18"/>
          <w:szCs w:val="18"/>
        </w:rPr>
        <w:t xml:space="preserve">A build milestone needs proof, not promises. Show real numbers and one real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OCR quality on a sample</w:t>
            </w:r>
          </w:p>
          <w:p>
            <w:pPr>
              <w:spacing w:after="80"/>
            </w:pPr>
            <w:r>
              <w:rPr>
                <w:i/>
                <w:iCs/>
                <w:color w:val="595959"/>
                <w:sz w:val="18"/>
                <w:szCs w:val="18"/>
              </w:rPr>
              <w:t xml:space="preserve">measure reading quality on a labelled sample (character/word error rate, or F1). State the number and the sample size.</w:t>
            </w:r>
          </w:p>
        </w:tc>
        <w:tc>
          <w:tcPr>
            <w:tcW w:type="dxa" w:w="5860"/>
          </w:tcPr>
          <w:p>
            <w:pPr>
              <w:spacing w:after="80"/>
            </w:pPr>
            <w:r>
              <w:rPr>
                <w:i w:val="0"/>
              </w:rPr>
              <w:t>Measured on the 39 held-out TEST pages (reports/step29_test_eval.md, reproduced live in notebooks/kb_demo.ipynb). Failure rate dropped from 20/39 (51.3%) on the pretrained baseline to 3/39 (7.7%) after fine-tuning with region-routed table adapters. Character-F1 on pages that did produce output: 0.441 baseline vs 0.443 fine-tuned -- about flat, because F1 only gets measured on pages that succeeded, and the fine-tuned reader is now succeeding on harder pages the baseline simply skipped. Sample size: 39 pages, the official TEST split, never touched by any training decision before this one measurement.</w:t>
            </w:r>
          </w:p>
        </w:tc>
      </w:tr>
      <w:tr>
        <w:tc>
          <w:tcPr>
            <w:tcW w:type="dxa" w:w="3500"/>
            <w:shd w:fill="F2F2F2" w:val="clear"/>
          </w:tcPr>
          <w:p>
            <w:pPr>
              <w:spacing w:after="80"/>
            </w:pPr>
            <w:r>
              <w:rPr>
                <w:b/>
                <w:bCs/>
              </w:rPr>
              <w:t xml:space="preserve">Index statistics</w:t>
            </w:r>
          </w:p>
          <w:p>
            <w:pPr>
              <w:spacing w:after="80"/>
            </w:pPr>
            <w:r>
              <w:rPr>
                <w:i/>
                <w:iCs/>
                <w:color w:val="595959"/>
                <w:sz w:val="18"/>
                <w:szCs w:val="18"/>
              </w:rPr>
              <w:t xml:space="preserve">chunks indexed, embedding dimension, index type, corpus coverage (pages/words indexed vs total).</w:t>
            </w:r>
          </w:p>
        </w:tc>
        <w:tc>
          <w:tcPr>
            <w:tcW w:type="dxa" w:w="5860"/>
          </w:tcPr>
          <w:p>
            <w:pPr>
              <w:spacing w:after="80"/>
            </w:pPr>
            <w:r>
              <w:rPr>
                <w:i w:val="0"/>
              </w:rPr>
              <w:t>3,543 chunks, embedding dimension 1024 (BGE-M3), index type faiss:flat, 16.22 MB on disk. Page coverage: 987 of 1040 content pages (94.9%), across all 29 chapters. (The raw "words indexed vs total" ratio against the archive's own OCR reads as 24.6%, but that number is distorted in both directions by two different word-counting artifacts and isn't a real measure of loss -- page coverage is. Full explanation in configs/design_choices.md.)</w:t>
            </w:r>
          </w:p>
        </w:tc>
      </w:tr>
      <w:tr>
        <w:tc>
          <w:tcPr>
            <w:tcW w:type="dxa" w:w="3500"/>
            <w:shd w:fill="F2F2F2" w:val="clear"/>
          </w:tcPr>
          <w:p>
            <w:pPr>
              <w:spacing w:after="80"/>
            </w:pPr>
            <w:r>
              <w:rPr>
                <w:b/>
                <w:bCs/>
              </w:rPr>
              <w:t xml:space="preserve">One retrieval example</w:t>
            </w:r>
          </w:p>
          <w:p>
            <w:pPr>
              <w:spacing w:after="80"/>
            </w:pPr>
            <w:r>
              <w:rPr>
                <w:i/>
                <w:iCs/>
                <w:color w:val="595959"/>
                <w:sz w:val="18"/>
                <w:szCs w:val="18"/>
              </w:rPr>
              <w:t xml:space="preserve">a real query, the top chunk returned, and whether it's the right page. Show one that worked.</w:t>
            </w:r>
          </w:p>
        </w:tc>
        <w:tc>
          <w:tcPr>
            <w:tcW w:type="dxa" w:w="5860"/>
          </w:tcPr>
          <w:p>
            <w:pPr>
              <w:spacing w:after="80"/>
            </w:pPr>
            <w:r>
              <w:rPr>
                <w:i w:val="0"/>
              </w:rPr>
              <w:t>Query: "exponential integral Ei(x)". Top hit (score 0.698): chunk ch05_expint|as_p0229|r00|5.1.10, text "5.1.10  Ei(x)=\gamma+\ln x+\sum..." -- the correct page and the correct formula, first try. as_p0229 is one of the 39 official TEST pages, not something cherry-picked from training. We also ran the query we originally planned to show here, "series expansion of the Bessel function J0", and it did NOT retrieve the expected page (as_p0360). We kept that result in the notebook too, instead of quietly swapping it out -- see the worst-failure row below for why.</w:t>
            </w:r>
          </w:p>
        </w:tc>
      </w:tr>
      <w:tr>
        <w:tc>
          <w:tcPr>
            <w:tcW w:type="dxa" w:w="3500"/>
            <w:shd w:fill="F2F2F2" w:val="clear"/>
          </w:tcPr>
          <w:p>
            <w:pPr>
              <w:spacing w:after="80"/>
            </w:pPr>
            <w:r>
              <w:rPr>
                <w:b/>
                <w:bCs/>
              </w:rPr>
              <w:t xml:space="preserve">The worst failure we saw</w:t>
            </w:r>
          </w:p>
          <w:p>
            <w:pPr>
              <w:spacing w:after="80"/>
            </w:pPr>
            <w:r>
              <w:rPr>
                <w:i/>
                <w:iCs/>
                <w:color w:val="595959"/>
                <w:sz w:val="18"/>
                <w:szCs w:val="18"/>
              </w:rPr>
              <w:t xml:space="preserve">where reading or retrieval failed badly, and your read on why (honest — this shapes A3).</w:t>
            </w:r>
          </w:p>
        </w:tc>
        <w:tc>
          <w:tcPr>
            <w:tcW w:type="dxa" w:w="5860"/>
          </w:tcPr>
          <w:p>
            <w:pPr>
              <w:spacing w:after="80"/>
            </w:pPr>
            <w:r>
              <w:rPr>
                <w:i w:val="0"/>
              </w:rPr>
              <w:t>Two failures, both real, both left in kb_demo.ipynb. First: 6 of the 1040 pages are gone for good -- Nougat hit a repetition-degeneration decode loop on dense tables, our detector correctly caught it and discarded the page rather than keep garbage, and that means 6 pages of real table content never made it into the index at all. Second, on the retrieval side: a query for "value of J0 at x=1.2" ranked an unrelated chunk first and the actually relevant formula second, and digging into why showed the real ground-truth value table for that range (A&amp;S Table 9.1) is itself under-transcribed by our own OCR -- so the failure has two layers, a ranking problem and a coverage problem, stacked on the same query. Formula and definition lookups work; exact numeric table lookups are where this system is weakest right now, and that's exactly the kind of case A3's evidence-gated re-search needs to learn to abstain on instead of answering confidently.</w:t>
            </w:r>
          </w:p>
        </w:tc>
      </w:tr>
    </w:tbl>
    <w:p>
      <w:pPr>
        <w:pStyle w:val="Heading2"/>
        <w:spacing w:after="100" w:before="240"/>
      </w:pPr>
      <w:r>
        <w:rPr>
          <w:b/>
          <w:bCs/>
          <w:color w:val="1F3864"/>
          <w:sz w:val="26"/>
          <w:szCs w:val="26"/>
        </w:rPr>
        <w:t xml:space="preserve">Section 6 — The Plan for A3</w:t>
      </w:r>
    </w:p>
    <w:p>
      <w:pPr>
        <w:spacing w:after="100"/>
      </w:pPr>
      <w:r>
        <w:rPr>
          <w:i/>
          <w:iCs/>
          <w:color w:val="595959"/>
          <w:sz w:val="18"/>
          <w:szCs w:val="18"/>
        </w:rPr>
        <w:t xml:space="preserve">What's left: turn the knowledge base into an answering agent, then evaluate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What we'll build next</w:t>
            </w:r>
          </w:p>
          <w:p>
            <w:pPr>
              <w:spacing w:after="80"/>
            </w:pPr>
            <w:r>
              <w:rPr>
                <w:i/>
                <w:iCs/>
                <w:color w:val="595959"/>
                <w:sz w:val="18"/>
                <w:szCs w:val="18"/>
              </w:rPr>
              <w:t xml:space="preserve">retrieval + rerank, the agent loop + tools, guardrails/HITL, grounding, evaluation — and RL/RLVR if you attempt the bonus.</w:t>
            </w:r>
          </w:p>
          <w:p>
            <w:r>
              <w:t xml:space="preserve">Carry the agent forward: in A3 it must do evidence-gated re-search (widen k on weak evidence, abstain at k_max) — the mandatory agentic behaviour, graded fail-closed in A3.</w:t>
            </w:r>
          </w:p>
        </w:tc>
        <w:tc>
          <w:tcPr>
            <w:tcW w:type="dxa" w:w="5860"/>
          </w:tcPr>
          <w:p>
            <w:pPr>
              <w:spacing w:after="80"/>
            </w:pPr>
            <w:r>
              <w:rPr>
                <w:i w:val="0"/>
              </w:rPr>
              <w:t>Retrieval (retrieval/retriever.py) plus a rerank pass -- config already commits to k=10, widening by k_step=10 up to k_max=40 when the top score is below weak_threshold=0.35, then reranking with BAAI/bge-reranker-v2-m3. On top of that, the agent loop with its 9 fixed tools (Retrieve, Rerank, ReadPage, EnhancePage, Extract, Aggregate, Cite, Calculator, EscalateToHuman), guardrails and human escalation for cases the agent shouldn't handle alone, and grounding checks before an answer goes out. Evidence-gated re-search -- widen k on weak evidence, abstain at k_max -- is the one mandatory agentic behavior and it's graded fail-closed, so it isn't something we can skip or half-build. RL/RLVR (PPO, currently train_policy: false) is a bonus we'd attempt once the required pieces are solid, not before.</w:t>
            </w:r>
          </w:p>
        </w:tc>
      </w:tr>
      <w:tr>
        <w:tc>
          <w:tcPr>
            <w:tcW w:type="dxa" w:w="3500"/>
            <w:shd w:fill="F2F2F2" w:val="clear"/>
          </w:tcPr>
          <w:p>
            <w:pPr>
              <w:spacing w:after="80"/>
            </w:pPr>
            <w:r>
              <w:rPr>
                <w:b/>
                <w:bCs/>
              </w:rPr>
              <w:t xml:space="preserve">Our evaluation set</w:t>
            </w:r>
          </w:p>
          <w:p>
            <w:pPr>
              <w:spacing w:after="80"/>
            </w:pPr>
            <w:r>
              <w:rPr>
                <w:i/>
                <w:iCs/>
                <w:color w:val="595959"/>
                <w:sz w:val="18"/>
                <w:szCs w:val="18"/>
              </w:rPr>
              <w:t xml:space="preserve">how you'll write tasks.jsonl for YOUR domain — the questions your real user would ask; include enough checkable (verifiable) items and abstention cases.</w:t>
            </w:r>
          </w:p>
        </w:tc>
        <w:tc>
          <w:tcPr>
            <w:tcW w:type="dxa" w:w="5860"/>
          </w:tcPr>
          <w:p>
            <w:pPr>
              <w:spacing w:after="80"/>
            </w:pPr>
            <w:r>
              <w:rPr>
                <w:i w:val="0"/>
              </w:rPr>
              <w:t>grading_kit/tasks.jsonl, written from queries a real user of this corpus would actually ask -- an engineer looking up a formula, not a trivia question. We'll mix verifiable items (checkable against A&amp;S's own formula text, like the Ei(x) example above) with judged items (does the explanation actually make sense) and a set of deliberate abstention cases, several lifted straight from failures we already found in A2 -- the J0-at-1.2 table lookup is a ready-made one, since we already know the honest answer is that the index doesn't have this cleanly.</w:t>
            </w:r>
          </w:p>
        </w:tc>
      </w:tr>
      <w:tr>
        <w:tc>
          <w:tcPr>
            <w:tcW w:type="dxa" w:w="3500"/>
            <w:shd w:fill="F2F2F2" w:val="clear"/>
          </w:tcPr>
          <w:p>
            <w:pPr>
              <w:spacing w:after="80"/>
            </w:pPr>
            <w:r>
              <w:rPr>
                <w:b/>
                <w:bCs/>
              </w:rPr>
              <w:t xml:space="preserve">Biggest risk / unknown</w:t>
            </w:r>
          </w:p>
          <w:p>
            <w:pPr>
              <w:spacing w:after="80"/>
            </w:pPr>
            <w:r>
              <w:rPr>
                <w:i/>
                <w:iCs/>
                <w:color w:val="595959"/>
                <w:sz w:val="18"/>
                <w:szCs w:val="18"/>
              </w:rPr>
              <w:t xml:space="preserve">the thing most likely to break in A3, and your first idea to handle it.</w:t>
            </w:r>
          </w:p>
        </w:tc>
        <w:tc>
          <w:tcPr>
            <w:tcW w:type="dxa" w:w="5860"/>
          </w:tcPr>
          <w:p>
            <w:pPr>
              <w:spacing w:after="80"/>
            </w:pPr>
            <w:r>
              <w:rPr>
                <w:i w:val="0"/>
              </w:rPr>
              <w:t>Evidence-gated re-search widening k doesn't help if the answer's content was never indexed to begin with -- the 6 pages we lost to repetition-degeneration, or a table like A&amp;S 9.1 that's under-transcribed. No amount of reranking recovers a chunk that doesn't exist. Our first idea is a coverage flag per page or formula range, sourced from data/ocr/failures.json and the confidence sidecar, so the agent can recognize a region as known-incomplete and abstain honestly instead of confidently citing a chunk built from a near-empty transcript.</w:t>
            </w:r>
          </w:p>
        </w:tc>
      </w:tr>
    </w:tbl>
    <w:p>
      <w:pPr>
        <w:pStyle w:val="Heading2"/>
        <w:spacing w:after="100" w:before="240"/>
      </w:pPr>
      <w:r>
        <w:rPr>
          <w:b/>
          <w:bCs/>
          <w:color w:val="1F3864"/>
          <w:sz w:val="26"/>
          <w:szCs w:val="26"/>
        </w:rPr>
        <w:t xml:space="preserve">Section 7 — Design Choices &amp; Justification (knowledge-base stages)</w:t>
      </w:r>
    </w:p>
    <w:p>
      <w:pPr>
        <w:spacing w:after="100"/>
      </w:pPr>
      <w:r>
        <w:t xml:space="preserve">Extend the eight-facet table to the stages you built (Stages 1–4). This is the graded design artifact (</w:t>
      </w:r>
      <w:r>
        <w:rPr>
          <w:i/>
          <w:iCs/>
          <w:color w:val="595959"/>
          <w:sz w:val="18"/>
          <w:szCs w:val="18"/>
        </w:rPr>
        <w:t xml:space="preserve">configs/design_choices.md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1F3864" w:val="clear"/>
          </w:tcPr>
          <w:p>
            <w:pPr>
              <w:spacing w:after="80"/>
            </w:pPr>
            <w:r>
              <w:rPr>
                <w:b/>
                <w:bCs/>
                <w:color w:val="FFFFFF"/>
              </w:rPr>
              <w:t xml:space="preserve">Facet</w:t>
            </w:r>
          </w:p>
        </w:tc>
        <w:tc>
          <w:tcPr>
            <w:tcW w:type="dxa" w:w="3400"/>
            <w:shd w:fill="1F3864" w:val="clear"/>
          </w:tcPr>
          <w:p>
            <w:pPr>
              <w:spacing w:after="80"/>
            </w:pPr>
            <w:r>
              <w:rPr>
                <w:b/>
                <w:bCs/>
                <w:color w:val="FFFFFF"/>
              </w:rPr>
              <w:t xml:space="preserve">Our choice across the knowledge-base stages</w:t>
            </w:r>
          </w:p>
        </w:tc>
        <w:tc>
          <w:tcPr>
            <w:tcW w:type="dxa" w:w="3760"/>
            <w:shd w:fill="1F3864" w:val="clear"/>
          </w:tcPr>
          <w:p>
            <w:pPr>
              <w:spacing w:after="80"/>
            </w:pPr>
            <w:r>
              <w:rPr>
                <w:b/>
                <w:bCs/>
                <w:color w:val="FFFFFF"/>
              </w:rPr>
              <w:t xml:space="preserve">Why — fits our corpus · what it costs · what would change it</w:t>
            </w:r>
          </w:p>
        </w:tc>
      </w:tr>
      <w:tr>
        <w:tc>
          <w:tcPr>
            <w:tcW w:type="dxa" w:w="2200"/>
          </w:tcPr>
          <w:p>
            <w:pPr>
              <w:spacing w:after="80"/>
            </w:pPr>
            <w:r>
              <w:t xml:space="preserve">Problem statement</w:t>
            </w:r>
          </w:p>
        </w:tc>
        <w:tc>
          <w:tcPr>
            <w:tcW w:type="dxa" w:w="3400"/>
          </w:tcPr>
          <w:p>
            <w:pPr>
              <w:spacing w:after="80"/>
            </w:pPr>
            <w:r>
              <w:rPr>
                <w:i w:val="0"/>
              </w:rPr>
              <w:t>Across Stages 1-4: turn a 1082-page scanned reference into a citable index over 1040 content pages, using A&amp;S's own printed formula id (6.1.8) as the citation anchor. Success metric carried over unchanged from A1 -- groundedness/faithfulness ≥ 0.90 -- though that's judged in A3, not here; A2's own gate is narrower, ≥60,000 words measured from our own OCR.</w:t>
            </w:r>
          </w:p>
        </w:tc>
        <w:tc>
          <w:tcPr>
            <w:tcW w:type="dxa" w:w="3760"/>
          </w:tcPr>
          <w:p>
            <w:pPr>
              <w:spacing w:after="80"/>
            </w:pPr>
            <w:r>
              <w:rPr>
                <w:i w:val="0"/>
              </w:rPr>
              <w:t>A reference book gets queried by named formula, not by page, so the retrieval unit has to be a formula block and the id has to be checkable by a human holding the actual book -- that's what "explainable" needs. The cost is that a weak OCR reader fails the word-count gate outright, not just the downstream metric; we measured 142,836 words, well clear of it. A corpus with no canonical numbering, lecture notes say, would force a positional citation instead, and groundedness would have to be judged by span, not by id.</w:t>
            </w:r>
          </w:p>
        </w:tc>
      </w:tr>
      <w:tr>
        <w:tc>
          <w:tcPr>
            <w:tcW w:type="dxa" w:w="2200"/>
          </w:tcPr>
          <w:p>
            <w:pPr>
              <w:spacing w:after="80"/>
            </w:pPr>
            <w:r>
              <w:t xml:space="preserve">Data</w:t>
            </w:r>
          </w:p>
        </w:tc>
        <w:tc>
          <w:tcPr>
            <w:tcW w:type="dxa" w:w="3400"/>
          </w:tcPr>
          <w:p>
            <w:pPr>
              <w:spacing w:after="80"/>
            </w:pPr>
            <w:r>
              <w:rPr>
                <w:i w:val="0"/>
              </w:rPr>
              <w:t>1082 PDF pages rendered at 300 dpi grayscale, down to 1040 content pages after dropping front matter and blank versos. Preprocessing (deskew, denoise, CLAHE, grayscale kept) writes to data/interim/. Labels: 181 hand-annotated pages, split by chapter -- 122 train, 20 validation, 39 held-out TEST -- with three disjointness checks running at import time.</w:t>
            </w:r>
          </w:p>
        </w:tc>
        <w:tc>
          <w:tcPr>
            <w:tcW w:type="dxa" w:w="3760"/>
          </w:tcPr>
          <w:p>
            <w:pPr>
              <w:spacing w:after="80"/>
            </w:pPr>
            <w:r>
              <w:rPr>
                <w:i w:val="0"/>
              </w:rPr>
              <w:t>300 dpi is about the lowest setting where A&amp;S's subscripts and primes survive at all, and we kept grayscale because binarizing destroys the thin strokes that separate ı from 1 in this typeface. Splitting by chapter costs us training pages compared to a page-level split, since notation is chapter-local here and a page split would leak the exact symbols under test. 181 labeled pages is small for a vision model, which is exactly why the OCR methods below need a two-stage curriculum instead of fine-tuning on annotations alone.</w:t>
            </w:r>
          </w:p>
        </w:tc>
      </w:tr>
      <w:tr>
        <w:tc>
          <w:tcPr>
            <w:tcW w:type="dxa" w:w="2200"/>
          </w:tcPr>
          <w:p>
            <w:pPr>
              <w:spacing w:after="80"/>
            </w:pPr>
            <w:r>
              <w:t xml:space="preserve">Model</w:t>
            </w:r>
          </w:p>
        </w:tc>
        <w:tc>
          <w:tcPr>
            <w:tcW w:type="dxa" w:w="3400"/>
          </w:tcPr>
          <w:p>
            <w:pPr>
              <w:spacing w:after="80"/>
            </w:pPr>
            <w:r>
              <w:rPr>
                <w:i w:val="0"/>
              </w:rPr>
              <w:t>Enhancement: none (off by config). Layout: microsoft/table-transformer-detection. OCR: facebook/nougat-base, fine-tuned with LoRA (curve_n122 whole-page + table_ft table-crop adapters). Index: BAAI/bge-m3 at dim 1024 into a faiss:flat store. All of this is in configs/config.yaml, which Section 4 has to match exactly.</w:t>
            </w:r>
          </w:p>
        </w:tc>
        <w:tc>
          <w:tcPr>
            <w:tcW w:type="dxa" w:w="3760"/>
          </w:tcPr>
          <w:p>
            <w:pPr>
              <w:spacing w:after="80"/>
            </w:pPr>
            <w:r>
              <w:rPr>
                <w:i w:val="0"/>
              </w:rPr>
              <w:t>Nougat is pretrained on scientific PDFs and outputs LaTeX natively, so it's both the right tool for formula-heavy content and the component we can honestly call "reproduced" for Section 3. BGE-M3 handles the prose-plus-LaTeX mix our chunks actually contain. A flat index costs about 16 MB and removes recall tuning as a variable at our scale -- 3,543 vectors is nowhere near where an approximate index like HNSW would start paying off, and it would only add noise we couldn't tell apart from an actual retrieval bug. A corpus ten times the size would put that trade-off back on the table.</w:t>
            </w:r>
          </w:p>
        </w:tc>
      </w:tr>
      <w:tr>
        <w:tc>
          <w:tcPr>
            <w:tcW w:type="dxa" w:w="2200"/>
          </w:tcPr>
          <w:p>
            <w:pPr>
              <w:spacing w:after="80"/>
            </w:pPr>
            <w:r>
              <w:t xml:space="preserve">Methods</w:t>
            </w:r>
          </w:p>
        </w:tc>
        <w:tc>
          <w:tcPr>
            <w:tcW w:type="dxa" w:w="3400"/>
          </w:tcPr>
          <w:p>
            <w:pPr>
              <w:spacing w:after="80"/>
            </w:pPr>
            <w:r>
              <w:rPr>
                <w:i w:val="0"/>
              </w:rPr>
              <w:t>Two-stage LoRA curriculum: Stage A on 695 synthetic NIST formula pairs, degraded to match A&amp;S's measured scan statistics (target brightness 198.0, contrast-std 32.0), lr 5e-5, batch 4, 4 epochs, no validation split. Stage B on the 122 real A&amp;S pages, lr 2e-5, batch 1, early-stopped on val_loss with patience 3. Inference adds repetition_penalty 1.1 and a degeneracy detector that catches a repeated-token decode loop before it writes garbage.</w:t>
            </w:r>
          </w:p>
        </w:tc>
        <w:tc>
          <w:tcPr>
            <w:tcW w:type="dxa" w:w="3760"/>
          </w:tcPr>
          <w:p>
            <w:pPr>
              <w:spacing w:after="80"/>
            </w:pPr>
            <w:r>
              <w:rPr>
                <w:i w:val="0"/>
              </w:rPr>
              <w:t>122 labeled pages alone can't train a vision-language model, so Stage A buys volume from NIST's clean, LaTeX-native formula pairs, and the calibrated degradation is what makes that transfer actually work -- training on clean renders would teach a distribution the real 1964 scan never produces. Early stopping on real A&amp;S pages means model selection happens on the distribution we're actually graded on, not the synthetic one. The cost is a full-book pass takes about 4.4 GPU-hours, and two training stages instead of one is real added complexity. A few thousand real labeled pages would make Stage A unnecessary; a corpus of clean modern scans would make the whole degradation pipeline pointless.</w:t>
            </w:r>
          </w:p>
        </w:tc>
      </w:tr>
      <w:tr>
        <w:tc>
          <w:tcPr>
            <w:tcW w:type="dxa" w:w="2200"/>
          </w:tcPr>
          <w:p>
            <w:pPr>
              <w:spacing w:after="80"/>
            </w:pPr>
            <w:r>
              <w:t xml:space="preserve">Design</w:t>
            </w:r>
          </w:p>
        </w:tc>
        <w:tc>
          <w:tcPr>
            <w:tcW w:type="dxa" w:w="3400"/>
          </w:tcPr>
          <w:p>
            <w:pPr>
              <w:spacing w:after="80"/>
            </w:pPr>
            <w:r>
              <w:rPr>
                <w:i w:val="0"/>
              </w:rPr>
              <w:t>Four frozen contracts (contracts.py) carry every seam: list[Page] → list[Region] → list[Chunk] → an (n, 1024) array. doc_id is the chapter id, the formula id lives inside Chunk.id (chapter, page, region, and formula joined by pipes), and per-chunk ocr_confidence/bbox go to a sidecar file rather than the contract itself.</w:t>
            </w:r>
          </w:p>
        </w:tc>
        <w:tc>
          <w:tcPr>
            <w:tcW w:type="dxa" w:w="3760"/>
          </w:tcPr>
          <w:p>
            <w:pPr>
              <w:spacing w:after="80"/>
            </w:pPr>
            <w:r>
              <w:rPr>
                <w:i w:val="0"/>
              </w:rPr>
              <w:t>A chunk id that already contains chapter, page, region, and formula is a complete citation by itself, no database lookup needed to answer where something came from, which is what explainability actually requires downstream. Encoding structure into a string is less type-safe than a dedicated field would be, and parsing it back out is stringly-typed by nature. If A3's agent ever needs per-chunk confidence at decision time on every call, the sidecar becomes a real bottleneck and the contract would have to grow to accommodate it.</w:t>
            </w:r>
          </w:p>
        </w:tc>
      </w:tr>
      <w:tr>
        <w:tc>
          <w:tcPr>
            <w:tcW w:type="dxa" w:w="2200"/>
          </w:tcPr>
          <w:p>
            <w:pPr>
              <w:spacing w:after="80"/>
            </w:pPr>
            <w:r>
              <w:t xml:space="preserve">Development</w:t>
            </w:r>
          </w:p>
        </w:tc>
        <w:tc>
          <w:tcPr>
            <w:tcW w:type="dxa" w:w="3400"/>
          </w:tcPr>
          <w:p>
            <w:pPr>
              <w:spacing w:after="80"/>
            </w:pPr>
            <w:r>
              <w:rPr>
                <w:i w:val="0"/>
              </w:rPr>
              <w:t>Every parameter lives in configs/*.yaml; code reads no literals. 165 tests across 11 files, including a structure lock that fails the build if a file or public symbol gets renamed. CI runs ruff, black --check, mypy (disallow_untyped_defs = true), then structure/contract/tool/smoke tests on every push. Training logs go to Weights &amp; Biases through Lightning's WandbLogger, offline by default.</w:t>
            </w:r>
          </w:p>
        </w:tc>
        <w:tc>
          <w:tcPr>
            <w:tcW w:type="dxa" w:w="3760"/>
          </w:tcPr>
          <w:p>
            <w:pPr>
              <w:spacing w:after="80"/>
            </w:pPr>
            <w:r>
              <w:rPr>
                <w:i w:val="0"/>
              </w:rPr>
              <w:t>Three people working on one pipeline in parallel is exactly the situation where a structure lock and frozen contracts stop a merge from silently breaking someone else's stage. Offline W&amp;B by default means a clean clone passes CI without needing anyone's secrets, which is what a grader's machine actually is. The cost is that the structure lock turns a legitimate refactor into a two-file change every time, and strict typing slows down early drafting. None of this overhead would be worth it on a solo project.</w:t>
            </w:r>
          </w:p>
        </w:tc>
      </w:tr>
      <w:tr>
        <w:tc>
          <w:tcPr>
            <w:tcW w:type="dxa" w:w="2200"/>
          </w:tcPr>
          <w:p>
            <w:pPr>
              <w:spacing w:after="80"/>
            </w:pPr>
            <w:r>
              <w:t xml:space="preserve">Deployment</w:t>
            </w:r>
          </w:p>
        </w:tc>
        <w:tc>
          <w:tcPr>
            <w:tcW w:type="dxa" w:w="3400"/>
          </w:tcPr>
          <w:p>
            <w:pPr>
              <w:spacing w:after="80"/>
            </w:pPr>
            <w:r>
              <w:rPr>
                <w:i w:val="0"/>
              </w:rPr>
              <w:t>Indexing is a batch job, not a service -- bash scripts/build_index.sh end to end, or the Kaggle script for the full-book GPU pass. OCR needs a GPU: measured 15.26 s/page on a Kaggle T4, about 4.4 hours for all 1040 pages. Every stage is resumable -- one .mmd per page written immediately, plus a keyed embedding cache -- so a killed session picks back up instead of restarting.</w:t>
            </w:r>
          </w:p>
        </w:tc>
        <w:tc>
          <w:tcPr>
            <w:tcW w:type="dxa" w:w="3760"/>
          </w:tcPr>
          <w:p>
            <w:pPr>
              <w:spacing w:after="80"/>
            </w:pPr>
            <w:r>
              <w:rPr>
                <w:i w:val="0"/>
              </w:rPr>
              <w:t>The book doesn't change, so paying a few GPU-hours once and serving a 16 MB static index afterward is the right shape for this corpus. Resumability isn't a nicety here -- Kaggle actually killed our first full-book run around the 9-hour mark, and it resumed from checkpoint rather than losing the run. The cost is that any OCR change means re-running hours of GPU time from scratch. A corpus updating daily would need incremental indexing behind an actual service instead of a batch rebuild.</w:t>
            </w:r>
          </w:p>
        </w:tc>
      </w:tr>
      <w:tr>
        <w:tc>
          <w:tcPr>
            <w:tcW w:type="dxa" w:w="2200"/>
          </w:tcPr>
          <w:p>
            <w:pPr>
              <w:spacing w:after="80"/>
            </w:pPr>
            <w:r>
              <w:t xml:space="preserve">MLOps</w:t>
            </w:r>
          </w:p>
        </w:tc>
        <w:tc>
          <w:tcPr>
            <w:tcW w:type="dxa" w:w="3400"/>
          </w:tcPr>
          <w:p>
            <w:pPr>
              <w:spacing w:after="80"/>
            </w:pPr>
            <w:r>
              <w:rPr>
                <w:i w:val="0"/>
              </w:rPr>
              <w:t>Corpus identity is a SHA-256 manifest snapshot of file names and sizes, not a hash of the full ~1 GB of pixels. Model identity is pinned to an explicit HF revision. data/ocr/ (about 3.6 MB of text) is committed so results reproduce on a clean clone; data/index/ and data/pages/ are gitignored and rebuilt. Every OCR failure is logged to data/ocr/failures.json with a reason instead of silently dropped -- 53 pages, 5.1% of the book.</w:t>
            </w:r>
          </w:p>
        </w:tc>
        <w:tc>
          <w:tcPr>
            <w:tcW w:type="dxa" w:w="3760"/>
          </w:tcPr>
          <w:p>
            <w:pPr>
              <w:spacing w:after="80"/>
            </w:pPr>
            <w:r>
              <w:rPr>
                <w:i w:val="0"/>
              </w:rPr>
              <w:t>Three contributors across three machines plus Kaggle means we need to answer "which corpus produced this number" without re-hashing a gigabyte on every run. Committing OCR text but not the vector index is the deliberate line: text costs GPU-hours to regenerate, the index costs CPU-minutes, so we version what is actually expensive to lose. The real gap is that manifest hashing catches a changed file list but not a silently rewritten file at the same size and same mtime -- accepted, because content-hashing a gigabyte every run was too slow to be worth it. A corpus from a source we didn't fully trust would justify paying that cost anyway.</w:t>
            </w:r>
          </w:p>
        </w:tc>
      </w:tr>
    </w:tbl>
    <w:p>
      <w:pPr>
        <w:pStyle w:val="Heading2"/>
        <w:spacing w:after="100" w:before="240"/>
      </w:pPr>
      <w:r>
        <w:rPr>
          <w:b/>
          <w:bCs/>
          <w:color w:val="1F3864"/>
          <w:sz w:val="26"/>
          <w:szCs w:val="26"/>
        </w:rPr>
        <w:t xml:space="preserve">Section 8 — How We Worked With AI</w:t>
      </w:r>
    </w:p>
    <w:p>
      <w:pPr>
        <w:spacing w:after="100"/>
      </w:pPr>
      <w:r>
        <w:t xml:space="preserve">One transcript per team member. Each member submits one plain-text file named exactly </w:t>
      </w:r>
      <w:r>
        <w:rPr>
          <w:i/>
          <w:iCs/>
          <w:color w:val="595959"/>
          <w:sz w:val="18"/>
          <w:szCs w:val="18"/>
        </w:rPr>
        <w:t xml:space="preserve">&lt;their student number&gt;.txt</w:t>
      </w:r>
      <w:r>
        <w:t xml:space="preserve">, containing the full AI conversation behind the sections they 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val="clear"/>
          </w:tcPr>
          <w:p>
            <w:pPr>
              <w:spacing w:after="80"/>
            </w:pPr>
            <w:r>
              <w:rPr>
                <w:b/>
                <w:bCs/>
                <w:color w:val="FFFFFF"/>
              </w:rPr>
              <w:t xml:space="preserve">Each .txt file must contain</w:t>
            </w:r>
          </w:p>
        </w:tc>
        <w:tc>
          <w:tcPr>
            <w:tcW w:type="dxa" w:w="5960"/>
            <w:shd w:fill="1F3864" w:val="clear"/>
          </w:tcPr>
          <w:p>
            <w:pPr>
              <w:spacing w:after="80"/>
            </w:pPr>
            <w:r>
              <w:rPr>
                <w:b/>
                <w:bCs/>
                <w:color w:val="FFFFFF"/>
              </w:rPr>
              <w:t xml:space="preserve">In this order</w:t>
            </w:r>
          </w:p>
        </w:tc>
      </w:tr>
      <w:tr>
        <w:tc>
          <w:tcPr>
            <w:tcW w:type="dxa" w:w="3400"/>
          </w:tcPr>
          <w:p>
            <w:pPr>
              <w:spacing w:after="80"/>
            </w:pPr>
            <w:r>
              <w:t xml:space="preserve">Header</w:t>
            </w:r>
          </w:p>
        </w:tc>
        <w:tc>
          <w:tcPr>
            <w:tcW w:type="dxa" w:w="5960"/>
          </w:tcPr>
          <w:p>
            <w:pPr>
              <w:spacing w:after="80"/>
            </w:pPr>
            <w:r>
              <w:rPr>
                <w:i/>
                <w:iCs/>
                <w:color w:val="595959"/>
                <w:sz w:val="18"/>
                <w:szCs w:val="18"/>
              </w:rPr>
              <w:t xml:space="preserve">member name, student number, sections led</w:t>
            </w:r>
          </w:p>
        </w:tc>
      </w:tr>
      <w:tr>
        <w:tc>
          <w:tcPr>
            <w:tcW w:type="dxa" w:w="3400"/>
          </w:tcPr>
          <w:p>
            <w:pPr>
              <w:spacing w:after="80"/>
            </w:pPr>
            <w:r>
              <w:t xml:space="preserve">The full conversation</w:t>
            </w:r>
          </w:p>
        </w:tc>
        <w:tc>
          <w:tcPr>
            <w:tcW w:type="dxa" w:w="5960"/>
          </w:tcPr>
          <w:p>
            <w:pPr>
              <w:spacing w:after="80"/>
            </w:pPr>
            <w:r>
              <w:rPr>
                <w:i/>
                <w:iCs/>
                <w:color w:val="595959"/>
                <w:sz w:val="18"/>
                <w:szCs w:val="18"/>
              </w:rPr>
              <w:t xml:space="preserve">every prompt and every AI reply, unedited</w:t>
            </w:r>
          </w:p>
        </w:tc>
      </w:tr>
      <w:tr>
        <w:tc>
          <w:tcPr>
            <w:tcW w:type="dxa" w:w="3400"/>
          </w:tcPr>
          <w:p>
            <w:pPr>
              <w:spacing w:after="80"/>
            </w:pPr>
            <w:r>
              <w:t xml:space="preserve">A short reflection</w:t>
            </w:r>
          </w:p>
        </w:tc>
        <w:tc>
          <w:tcPr>
            <w:tcW w:type="dxa" w:w="5960"/>
          </w:tcPr>
          <w:p>
            <w:pPr>
              <w:spacing w:after="80"/>
            </w:pPr>
            <w:r>
              <w:rPr>
                <w:i/>
                <w:iCs/>
                <w:color w:val="595959"/>
                <w:sz w:val="18"/>
                <w:szCs w:val="18"/>
              </w:rPr>
              <w:t xml:space="preserve">what you accepted, changed, or rejected, and why</w:t>
            </w:r>
          </w:p>
        </w:tc>
      </w:tr>
    </w:tbl>
    <w:p>
      <w:pPr>
        <w:pStyle w:val="Heading2"/>
        <w:spacing w:after="100" w:before="240"/>
      </w:pPr>
      <w:r>
        <w:rPr>
          <w:b/>
          <w:bCs/>
          <w:color w:val="1F3864"/>
          <w:sz w:val="26"/>
          <w:szCs w:val="26"/>
        </w:rPr>
        <w:t xml:space="preserve">Submission — Required Folder Structure</w:t>
      </w:r>
    </w:p>
    <w:p>
      <w:pPr>
        <w:spacing w:after="100"/>
      </w:pPr>
      <w:r>
        <w:t xml:space="preserve">The autograder enforces this exactly. ZIP named </w:t>
      </w:r>
      <w:r>
        <w:rPr>
          <w:i/>
          <w:iCs/>
          <w:color w:val="595959"/>
          <w:sz w:val="18"/>
          <w:szCs w:val="18"/>
        </w:rPr>
        <w:t xml:space="preserve">A2_&lt;your team id&gt;.zip</w:t>
      </w:r>
      <w:r>
        <w:t xml:space="preserve">, containing: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shd w:fill="1F3864" w:val="clear"/>
          </w:tcPr>
          <w:p>
            <w:pPr>
              <w:spacing w:after="80"/>
            </w:pPr>
            <w:r>
              <w:rPr>
                <w:b/>
                <w:bCs/>
                <w:color w:val="FFFFFF"/>
              </w:rPr>
              <w:t xml:space="preserve">Path</w:t>
            </w:r>
          </w:p>
        </w:tc>
        <w:tc>
          <w:tcPr>
            <w:tcW w:type="dxa" w:w="5560"/>
            <w:shd w:fill="1F3864" w:val="clear"/>
          </w:tcPr>
          <w:p>
            <w:pPr>
              <w:spacing w:after="80"/>
            </w:pPr>
            <w:r>
              <w:rPr>
                <w:b/>
                <w:bCs/>
                <w:color w:val="FFFFFF"/>
              </w:rPr>
              <w:t xml:space="preserve">What it is</w:t>
            </w:r>
          </w:p>
        </w:tc>
      </w:tr>
      <w:tr>
        <w:tc>
          <w:tcPr>
            <w:tcW w:type="dxa" w:w="3800"/>
          </w:tcPr>
          <w:p>
            <w:pPr>
              <w:spacing w:after="80"/>
            </w:pPr>
            <w:r>
              <w:t xml:space="preserve">A2_form.docx</w:t>
            </w:r>
          </w:p>
        </w:tc>
        <w:tc>
          <w:tcPr>
            <w:tcW w:type="dxa" w:w="5560"/>
          </w:tcPr>
          <w:p>
            <w:pPr>
              <w:spacing w:after="80"/>
            </w:pPr>
            <w:r>
              <w:t xml:space="preserve">this filled form</w:t>
            </w:r>
          </w:p>
        </w:tc>
      </w:tr>
      <w:tr>
        <w:tc>
          <w:tcPr>
            <w:tcW w:type="dxa" w:w="3800"/>
          </w:tcPr>
          <w:p>
            <w:pPr>
              <w:spacing w:after="80"/>
            </w:pPr>
            <w:r>
              <w:t xml:space="preserve">src/doc_agent/  (ingest, vision, index)</w:t>
            </w:r>
          </w:p>
        </w:tc>
        <w:tc>
          <w:tcPr>
            <w:tcW w:type="dxa" w:w="5560"/>
          </w:tcPr>
          <w:p>
            <w:pPr>
              <w:spacing w:after="80"/>
            </w:pPr>
            <w:r>
              <w:t xml:space="preserve">the implemented knowledge-base stages</w:t>
            </w:r>
          </w:p>
        </w:tc>
      </w:tr>
      <w:tr>
        <w:tc>
          <w:tcPr>
            <w:tcW w:type="dxa" w:w="3800"/>
          </w:tcPr>
          <w:p>
            <w:pPr>
              <w:spacing w:after="80"/>
            </w:pPr>
            <w:r>
              <w:t xml:space="preserve">scripts/build_index.sh</w:t>
            </w:r>
          </w:p>
        </w:tc>
        <w:tc>
          <w:tcPr>
            <w:tcW w:type="dxa" w:w="5560"/>
          </w:tcPr>
          <w:p>
            <w:pPr>
              <w:spacing w:after="80"/>
            </w:pPr>
            <w:r>
              <w:t xml:space="preserve">builds the vector index (edit the stub)</w:t>
            </w:r>
          </w:p>
        </w:tc>
      </w:tr>
      <w:tr>
        <w:tc>
          <w:tcPr>
            <w:tcW w:type="dxa" w:w="3800"/>
          </w:tcPr>
          <w:p>
            <w:pPr>
              <w:spacing w:after="80"/>
            </w:pPr>
            <w:r>
              <w:t xml:space="preserve">notebooks/kb_demo.ipynb</w:t>
            </w:r>
          </w:p>
        </w:tc>
        <w:tc>
          <w:tcPr>
            <w:tcW w:type="dxa" w:w="5560"/>
          </w:tcPr>
          <w:p>
            <w:pPr>
              <w:spacing w:after="80"/>
            </w:pPr>
            <w:r>
              <w:t xml:space="preserve">OCR quality + one retrieval example (edit the stub)</w:t>
            </w:r>
          </w:p>
        </w:tc>
      </w:tr>
      <w:tr>
        <w:tc>
          <w:tcPr>
            <w:tcW w:type="dxa" w:w="3800"/>
          </w:tcPr>
          <w:p>
            <w:pPr>
              <w:spacing w:after="80"/>
            </w:pPr>
            <w:r>
              <w:t xml:space="preserve">reports/pipeline_diagram.md</w:t>
            </w:r>
          </w:p>
        </w:tc>
        <w:tc>
          <w:tcPr>
            <w:tcW w:type="dxa" w:w="5560"/>
          </w:tcPr>
          <w:p>
            <w:pPr>
              <w:spacing w:after="80"/>
            </w:pPr>
            <w:r>
              <w:t xml:space="preserve">a diagram of the knowledge-base pipeline (edit the stub)</w:t>
            </w:r>
          </w:p>
        </w:tc>
      </w:tr>
      <w:tr>
        <w:tc>
          <w:tcPr>
            <w:tcW w:type="dxa" w:w="3800"/>
          </w:tcPr>
          <w:p>
            <w:pPr>
              <w:spacing w:after="80"/>
            </w:pPr>
            <w:r>
              <w:t xml:space="preserve">configs/design_choices.md</w:t>
            </w:r>
          </w:p>
        </w:tc>
        <w:tc>
          <w:tcPr>
            <w:tcW w:type="dxa" w:w="5560"/>
          </w:tcPr>
          <w:p>
            <w:pPr>
              <w:spacing w:after="80"/>
            </w:pPr>
            <w:r>
              <w:t xml:space="preserve">updated with Stages 1–4</w:t>
            </w:r>
          </w:p>
        </w:tc>
      </w:tr>
      <w:tr>
        <w:tc>
          <w:tcPr>
            <w:tcW w:type="dxa" w:w="3800"/>
          </w:tcPr>
          <w:p>
            <w:pPr>
              <w:spacing w:after="80"/>
            </w:pPr>
            <w:r>
              <w:t xml:space="preserve">transcripts/&lt;student number&gt;.txt  ×3</w:t>
            </w:r>
          </w:p>
        </w:tc>
        <w:tc>
          <w:tcPr>
            <w:tcW w:type="dxa" w:w="5560"/>
          </w:tcPr>
          <w:p>
            <w:pPr>
              <w:spacing w:after="80"/>
            </w:pPr>
            <w:r>
              <w:t xml:space="preserve">one AI-chat transcript per member</w:t>
            </w:r>
          </w:p>
        </w:tc>
      </w:tr>
    </w:tbl>
    <w:p>
      <w:pPr>
        <w:pStyle w:val="Heading2"/>
        <w:spacing w:after="100" w:before="240"/>
      </w:pPr>
      <w:r>
        <w:rPr>
          <w:b/>
          <w:bCs/>
          <w:color w:val="1F3864"/>
          <w:sz w:val="26"/>
          <w:szCs w:val="26"/>
        </w:rPr>
        <w:t xml:space="preserve">How You'll Be Graded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1F2" w:val="clear"/>
          </w:tcPr>
          <w:p>
            <w:pPr>
              <w:spacing w:after="60"/>
            </w:pPr>
            <w:r>
              <w:rPr>
                <w:b/>
                <w:bCs/>
              </w:rPr>
              <w:t xml:space="preserve">Grounding gate: </w:t>
            </w:r>
            <w:r>
              <w:t xml:space="preserve">every claim in the form must match your own code, index, and notebook outputs. Numbers with no notebook evidence score zero for that item.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shd w:fill="1F3864" w:val="clear"/>
          </w:tcPr>
          <w:p>
            <w:pPr>
              <w:spacing w:after="80"/>
            </w:pPr>
            <w:r>
              <w:rPr>
                <w:b/>
                <w:bCs/>
                <w:color w:val="FFFFFF"/>
              </w:rPr>
              <w:t xml:space="preserve">What we assess</w:t>
            </w:r>
          </w:p>
        </w:tc>
        <w:tc>
          <w:tcPr>
            <w:tcW w:type="dxa" w:w="2000"/>
            <w:shd w:fill="1F3864" w:val="clear"/>
          </w:tcPr>
          <w:p>
            <w:pPr>
              <w:spacing w:after="80"/>
            </w:pPr>
            <w:r>
              <w:rPr>
                <w:b/>
                <w:bCs/>
                <w:color w:val="FFFFFF"/>
              </w:rPr>
              <w:t xml:space="preserve">Points</w:t>
            </w:r>
          </w:p>
        </w:tc>
      </w:tr>
      <w:tr>
        <w:tc>
          <w:tcPr>
            <w:tcW w:type="dxa" w:w="7360"/>
          </w:tcPr>
          <w:p>
            <w:pPr>
              <w:spacing w:after="80"/>
            </w:pPr>
            <w:r>
              <w:t xml:space="preserve">Section 1 — recap accurate and consistent with A1</w:t>
            </w:r>
          </w:p>
        </w:tc>
        <w:tc>
          <w:tcPr>
            <w:tcW w:type="dxa" w:w="2000"/>
          </w:tcPr>
          <w:p>
            <w:pPr>
              <w:spacing w:after="80"/>
            </w:pPr>
            <w:r>
              <w:t xml:space="preserve">5</w:t>
            </w:r>
          </w:p>
        </w:tc>
      </w:tr>
      <w:tr>
        <w:tc>
          <w:tcPr>
            <w:tcW w:type="dxa" w:w="7360"/>
          </w:tcPr>
          <w:p>
            <w:pPr>
              <w:spacing w:after="80"/>
            </w:pPr>
            <w:r>
              <w:t xml:space="preserve">Section 2 — structure and invariances identified correctly</w:t>
            </w:r>
          </w:p>
        </w:tc>
        <w:tc>
          <w:tcPr>
            <w:tcW w:type="dxa" w:w="2000"/>
          </w:tcPr>
          <w:p>
            <w:pPr>
              <w:spacing w:after="80"/>
            </w:pPr>
            <w:r>
              <w:t xml:space="preserve">10</w:t>
            </w:r>
          </w:p>
        </w:tc>
      </w:tr>
      <w:tr>
        <w:tc>
          <w:tcPr>
            <w:tcW w:type="dxa" w:w="7360"/>
          </w:tcPr>
          <w:p>
            <w:pPr>
              <w:spacing w:after="80"/>
            </w:pPr>
            <w:r>
              <w:t xml:space="preserve">Section 3 — options compared, with ≥1 reproduced published/pretrained method</w:t>
            </w:r>
          </w:p>
        </w:tc>
        <w:tc>
          <w:tcPr>
            <w:tcW w:type="dxa" w:w="2000"/>
          </w:tcPr>
          <w:p>
            <w:pPr>
              <w:spacing w:after="80"/>
            </w:pPr>
            <w:r>
              <w:t xml:space="preserve">20</w:t>
            </w:r>
          </w:p>
        </w:tc>
      </w:tr>
      <w:tr>
        <w:tc>
          <w:tcPr>
            <w:tcW w:type="dxa" w:w="7360"/>
          </w:tcPr>
          <w:p>
            <w:pPr>
              <w:spacing w:after="80"/>
            </w:pPr>
            <w:r>
              <w:t xml:space="preserve">Section 4 — knowledge base built; models and parameters justified</w:t>
            </w:r>
          </w:p>
        </w:tc>
        <w:tc>
          <w:tcPr>
            <w:tcW w:type="dxa" w:w="2000"/>
          </w:tcPr>
          <w:p>
            <w:pPr>
              <w:spacing w:after="80"/>
            </w:pPr>
            <w:r>
              <w:t xml:space="preserve">20</w:t>
            </w:r>
          </w:p>
        </w:tc>
      </w:tr>
      <w:tr>
        <w:tc>
          <w:tcPr>
            <w:tcW w:type="dxa" w:w="7360"/>
          </w:tcPr>
          <w:p>
            <w:pPr>
              <w:spacing w:after="80"/>
            </w:pPr>
            <w:r>
              <w:t xml:space="preserve">Section 5 — real evidence: OCR quality + a working retrieval</w:t>
            </w:r>
          </w:p>
        </w:tc>
        <w:tc>
          <w:tcPr>
            <w:tcW w:type="dxa" w:w="2000"/>
          </w:tcPr>
          <w:p>
            <w:pPr>
              <w:spacing w:after="80"/>
            </w:pPr>
            <w:r>
              <w:t xml:space="preserve">25</w:t>
            </w:r>
          </w:p>
        </w:tc>
      </w:tr>
      <w:tr>
        <w:tc>
          <w:tcPr>
            <w:tcW w:type="dxa" w:w="7360"/>
          </w:tcPr>
          <w:p>
            <w:pPr>
              <w:spacing w:after="80"/>
            </w:pPr>
            <w:r>
              <w:t xml:space="preserve">Section 6 — a concrete, sensible plan for A3</w:t>
            </w:r>
          </w:p>
        </w:tc>
        <w:tc>
          <w:tcPr>
            <w:tcW w:type="dxa" w:w="2000"/>
          </w:tcPr>
          <w:p>
            <w:pPr>
              <w:spacing w:after="80"/>
            </w:pPr>
            <w:r>
              <w:t xml:space="preserve">5</w:t>
            </w:r>
          </w:p>
        </w:tc>
      </w:tr>
      <w:tr>
        <w:tc>
          <w:tcPr>
            <w:tcW w:type="dxa" w:w="7360"/>
          </w:tcPr>
          <w:p>
            <w:pPr>
              <w:spacing w:after="80"/>
            </w:pPr>
            <w:r>
              <w:t xml:space="preserve">Section 7 — eight-facet design table for Stages 1–4</w:t>
            </w:r>
          </w:p>
        </w:tc>
        <w:tc>
          <w:tcPr>
            <w:tcW w:type="dxa" w:w="2000"/>
          </w:tcPr>
          <w:p>
            <w:pPr>
              <w:spacing w:after="80"/>
            </w:pPr>
            <w:r>
              <w:t xml:space="preserve">10</w:t>
            </w:r>
          </w:p>
        </w:tc>
      </w:tr>
      <w:tr>
        <w:tc>
          <w:tcPr>
            <w:tcW w:type="dxa" w:w="7360"/>
          </w:tcPr>
          <w:p>
            <w:pPr>
              <w:spacing w:after="80"/>
            </w:pPr>
            <w:r>
              <w:t xml:space="preserve">Section 8 + submission structure correct</w:t>
            </w:r>
          </w:p>
        </w:tc>
        <w:tc>
          <w:tcPr>
            <w:tcW w:type="dxa" w:w="2000"/>
          </w:tcPr>
          <w:p>
            <w:pPr>
              <w:spacing w:after="80"/>
            </w:pPr>
            <w:r>
              <w:t xml:space="preserve">5</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2026-07-04T23:56:32.641Z</dcterms:created>
  <dcterms:modified xsi:type="dcterms:W3CDTF">2026-07-04T23:56:32.641Z</dcterms:modified>
</cp:coreProperties>
</file>

<file path=docProps/custom.xml><?xml version="1.0" encoding="utf-8"?>
<Properties xmlns="http://schemas.openxmlformats.org/officeDocument/2006/custom-properties" xmlns:vt="http://schemas.openxmlformats.org/officeDocument/2006/docPropsVTypes"/>
</file>