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Evidence Engine</w:t>
      </w:r>
    </w:p>
    <w:p>
      <w:pPr>
        <w:spacing w:before="0" w:after="280" w:line="264" w:lineRule="auto"/>
      </w:pPr>
      <w:r>
        <w:rPr>
          <w:rFonts w:ascii="Calibri" w:hAnsi="Calibri"/>
          <w:i/>
          <w:color w:val="555555"/>
          <w:sz w:val="24"/>
        </w:rPr>
        <w:t>Institution-supported, course-aware AI learning with verified practice.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Project: </w:t>
      </w:r>
      <w:r>
        <w:rPr>
          <w:rFonts w:ascii="Calibri" w:hAnsi="Calibri"/>
          <w:color w:val="000000"/>
          <w:sz w:val="22"/>
        </w:rPr>
        <w:t>Evidence Engine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Owner: </w:t>
      </w:r>
      <w:r>
        <w:rPr>
          <w:rFonts w:ascii="Calibri" w:hAnsi="Calibri"/>
          <w:color w:val="000000"/>
          <w:sz w:val="22"/>
        </w:rPr>
        <w:t>Evidence Engine team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Date: </w:t>
      </w:r>
      <w:r>
        <w:rPr>
          <w:rFonts w:ascii="Calibri" w:hAnsi="Calibri"/>
          <w:color w:val="000000"/>
          <w:sz w:val="22"/>
        </w:rPr>
        <w:t>September 2, 2026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Status: </w:t>
      </w:r>
      <w:r>
        <w:rPr>
          <w:rFonts w:ascii="Calibri" w:hAnsi="Calibri"/>
          <w:color w:val="000000"/>
          <w:sz w:val="22"/>
        </w:rPr>
        <w:t>Group direction; feasibility open</w:t>
      </w:r>
    </w:p>
    <w:p>
      <w:pPr>
        <w:spacing w:before="0" w:after="160" w:line="264" w:lineRule="auto"/>
      </w:pPr>
    </w:p>
    <w:p>
      <w:pPr>
        <w:pStyle w:val="Heading1"/>
      </w:pPr>
      <w:r>
        <w:t>Overview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Evidence Engine aims to give every student a low-setup, course-aware AI environment. Approved class packages could connect permitted sources, grounded study support, and verified practice across ChatGPT, Codex, agents, or custom GPTs.</w:t>
      </w:r>
    </w:p>
    <w:p>
      <w:pPr>
        <w:pStyle w:val="Heading1"/>
      </w:pPr>
      <w:r>
        <w:t>Goals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  <w:color w:val="000000"/>
          <w:sz w:val="22"/>
        </w:rPr>
        <w:t>Reduce repeated AI setup so students can focus on course material.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  <w:color w:val="000000"/>
          <w:sz w:val="22"/>
        </w:rPr>
        <w:t>Combine cited study support with practice verified by executed tests.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  <w:color w:val="000000"/>
          <w:sz w:val="22"/>
        </w:rPr>
        <w:t>Create an equitable baseline while preserving consent, privacy, and learner control.</w:t>
      </w:r>
    </w:p>
    <w:p>
      <w:pPr>
        <w:pStyle w:val="Heading1"/>
      </w:pPr>
      <w:r>
        <w:t>Scope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In scope: Product direction, stakeholder needs, possible surfaces, and discovery questions.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Out of scope: Implementation, approvals, final architecture, vendor selection, and dates.</w:t>
      </w:r>
    </w:p>
    <w:p>
      <w:pPr>
        <w:pStyle w:val="Heading1"/>
      </w:pPr>
      <w:r>
        <w:t>Milestones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/>
          <w:color w:val="000000"/>
          <w:sz w:val="22"/>
        </w:rPr>
        <w:t>Align team on direction and owners - Next team review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/>
          <w:color w:val="000000"/>
          <w:sz w:val="22"/>
        </w:rPr>
        <w:t>Validate permissions and data flows with professors and IT - Unscheduled discovery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/>
          <w:color w:val="000000"/>
          <w:sz w:val="22"/>
        </w:rPr>
        <w:t>Define one realistic pilot and success evidence - After discovery</w:t>
      </w:r>
    </w:p>
    <w:p>
      <w:pPr>
        <w:pStyle w:val="Heading1"/>
      </w:pPr>
      <w:r>
        <w:t>Risks and Decisions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  <w:color w:val="000000"/>
          <w:sz w:val="22"/>
        </w:rPr>
        <w:t>Open: permissions, privacy, procurement, extension policy, hosting, accessibility, and ownership.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/>
          <w:color w:val="000000"/>
          <w:sz w:val="22"/>
        </w:rPr>
        <w:t>Decision: keep current safeguards; evaluate architecture and open-source components first.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