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D890D" w14:textId="77777777" w:rsidR="00241993" w:rsidRDefault="00000000">
      <w:pPr>
        <w:spacing w:after="30"/>
        <w:jc w:val="center"/>
      </w:pPr>
      <w:r>
        <w:rPr>
          <w:b/>
          <w:bCs/>
          <w:sz w:val="30"/>
          <w:szCs w:val="30"/>
        </w:rPr>
        <w:t>Physics-Informed Neural Networks for Mechanics: Reproduction and Targeted Improvements</w:t>
      </w:r>
    </w:p>
    <w:p w14:paraId="1AAF7085" w14:textId="77777777" w:rsidR="00241993" w:rsidRDefault="00000000">
      <w:pPr>
        <w:spacing w:after="20"/>
        <w:jc w:val="center"/>
      </w:pPr>
      <w:r>
        <w:rPr>
          <w:b/>
          <w:bCs/>
          <w:color w:val="004AAD"/>
          <w:sz w:val="19"/>
          <w:szCs w:val="19"/>
        </w:rPr>
        <w:t>UE24CS352A Machine Learning  ·  Mini-Project Write-up  ·  Problem Statement 13</w:t>
      </w:r>
    </w:p>
    <w:p w14:paraId="108D69FF" w14:textId="77777777" w:rsidR="00241993" w:rsidRDefault="00000000">
      <w:pPr>
        <w:pStyle w:val="Heading2"/>
        <w:spacing w:before="120" w:after="40"/>
      </w:pPr>
      <w:r>
        <w:t>1. Problem statement</w:t>
      </w:r>
    </w:p>
    <w:p w14:paraId="1C281389" w14:textId="77777777" w:rsidR="00241993" w:rsidRDefault="00000000">
      <w:pPr>
        <w:spacing w:after="60" w:line="252" w:lineRule="auto"/>
      </w:pPr>
      <w:r>
        <w:t>Our assigned paper, Zhang, Chen and Yang, "Data Driven Solutions and Discoveries in Mechanics Using Physics Informed Neural Network" (Stanford CS229), uses physics-informed neural networks (PINNs) to solve mechanics problems without a mesh or a labelled dataset. It studies three problems: (1) 1D soil consolidation, a diffusion equation pₜ = pₓₓ with an exact series solution; (2) 2D steady heat conduction, Tₓₓ + Tᵧᵧ + 1 = 0 on [−1, 1]² with T = 0 on the boundary; and (3) an inverse problem, recovering the damping c and stiffness k of a damped spring u″ + cu′ + ku = 0 from 50 observations (true c = 0.4, k = 4).</w:t>
      </w:r>
    </w:p>
    <w:p w14:paraId="48823594" w14:textId="77777777" w:rsidR="00241993" w:rsidRDefault="00000000">
      <w:pPr>
        <w:spacing w:after="60" w:line="252" w:lineRule="auto"/>
      </w:pPr>
      <w:r>
        <w:rPr>
          <w:b/>
          <w:bCs/>
        </w:rPr>
        <w:t xml:space="preserve">Our task: </w:t>
      </w:r>
      <w:r>
        <w:t>(i) reproduce all three results faithfully, and (ii) implement and test the two improvements the paper proposes but never tries: a hard boundary constraint for the heat problem (§4.2) and an adaptive training-point strategy (§5, future work).</w:t>
      </w:r>
    </w:p>
    <w:p w14:paraId="464E3B31" w14:textId="77777777" w:rsidR="00241993" w:rsidRDefault="00000000">
      <w:pPr>
        <w:pStyle w:val="Heading2"/>
        <w:spacing w:before="120" w:after="40"/>
      </w:pPr>
      <w:r>
        <w:t>2. Dataset</w:t>
      </w:r>
    </w:p>
    <w:p w14:paraId="4241AB21" w14:textId="77777777" w:rsidR="00241993" w:rsidRDefault="00000000">
      <w:pPr>
        <w:spacing w:after="60" w:line="252" w:lineRule="auto"/>
      </w:pPr>
      <w:r>
        <w:t>No external dataset is used, which is standard for PINNs. Training data are collocation points sampled uniformly at random from each domain with a fixed seed: 500 interior, 250 boundary and 125 initial points (consolidation); 1,500 interior and 500 boundary points (heat); 100 residual points plus the initial conditions (spring). For the inverse problem, 50 equispaced synthetic observations are generated from the exact solution with c = 0.4, k = 4. Reference solutions for evaluation are the analytical series (consolidation), the analytical formula (spring), and our own second-order finite-difference solver for heat on a 201 × 201 grid (grid refinement to 401 × 401 changes it by about 4 × 10⁻⁶). Test sets have 10,011, 10,201 and 10,000 points respectively.</w:t>
      </w:r>
    </w:p>
    <w:p w14:paraId="6C4EF324" w14:textId="77777777" w:rsidR="00241993" w:rsidRDefault="00000000">
      <w:pPr>
        <w:pStyle w:val="Heading2"/>
        <w:spacing w:before="120" w:after="40"/>
      </w:pPr>
      <w:r>
        <w:t>3. Approach</w:t>
      </w:r>
    </w:p>
    <w:p w14:paraId="2BD2AA55" w14:textId="77777777" w:rsidR="00241993" w:rsidRDefault="00000000">
      <w:pPr>
        <w:spacing w:after="60" w:line="252" w:lineRule="auto"/>
      </w:pPr>
      <w:r>
        <w:rPr>
          <w:b/>
          <w:bCs/>
        </w:rPr>
        <w:t xml:space="preserve">PINN formulation. </w:t>
      </w:r>
      <w:r>
        <w:t>A fully connected tanh network maps coordinates to the solution. Automatic differentiation gives exact derivatives of the output, so the PDE residual can be evaluated at any point. The loss is L = w</w:t>
      </w:r>
      <w:r>
        <w:rPr>
          <w:vertAlign w:val="subscript"/>
        </w:rPr>
        <w:t>f</w:t>
      </w:r>
      <w:r>
        <w:t xml:space="preserve"> L</w:t>
      </w:r>
      <w:r>
        <w:rPr>
          <w:vertAlign w:val="subscript"/>
        </w:rPr>
        <w:t>f</w:t>
      </w:r>
      <w:r>
        <w:t xml:space="preserve"> + w</w:t>
      </w:r>
      <w:r>
        <w:rPr>
          <w:vertAlign w:val="subscript"/>
        </w:rPr>
        <w:t>b</w:t>
      </w:r>
      <w:r>
        <w:t xml:space="preserve"> L</w:t>
      </w:r>
      <w:r>
        <w:rPr>
          <w:vertAlign w:val="subscript"/>
        </w:rPr>
        <w:t>b</w:t>
      </w:r>
      <w:r>
        <w:t xml:space="preserve"> + w</w:t>
      </w:r>
      <w:r>
        <w:rPr>
          <w:vertAlign w:val="subscript"/>
        </w:rPr>
        <w:t>d</w:t>
      </w:r>
      <w:r>
        <w:t xml:space="preserve"> L</w:t>
      </w:r>
      <w:r>
        <w:rPr>
          <w:vertAlign w:val="subscript"/>
        </w:rPr>
        <w:t>d</w:t>
      </w:r>
      <w:r>
        <w:t xml:space="preserve"> (paper Eq. 3.3): mean squared PDE residual, boundary/initial-condition mismatch and data mismatch. For the inverse problem, c and k are extra trainable parameters.</w:t>
      </w:r>
    </w:p>
    <w:p w14:paraId="4BDD5B44" w14:textId="77777777" w:rsidR="00241993" w:rsidRDefault="00000000">
      <w:pPr>
        <w:spacing w:after="60" w:line="252" w:lineRule="auto"/>
      </w:pPr>
      <w:r>
        <w:rPr>
          <w:b/>
          <w:bCs/>
        </w:rPr>
        <w:t xml:space="preserve">Part 1: reproduction. </w:t>
      </w:r>
      <w:r>
        <w:t>We used the paper's settings throughout: networks of 5 × 50, 4 × 50 and 3 × 32; Glorot initialisation; loss weights 1/4 or 1/2; the output multiplied by x in consolidation so p(0, t) = 0 holds exactly; Adam for 50,000 epochs (lr 1e-3 or 5e-4) followed by L-BFGS, and Adam only (100,000 epochs) for the spring problem.</w:t>
      </w:r>
    </w:p>
    <w:p w14:paraId="0603181F" w14:textId="77777777" w:rsidR="00241993" w:rsidRDefault="00000000">
      <w:pPr>
        <w:spacing w:after="60" w:line="252" w:lineRule="auto"/>
      </w:pPr>
      <w:r>
        <w:rPr>
          <w:b/>
          <w:bCs/>
        </w:rPr>
        <w:t xml:space="preserve">Fix 1: hard boundary condition (heat). </w:t>
      </w:r>
      <w:r>
        <w:t>Following the paper's suggestion, the output is multiplied by a smooth function that vanishes on the boundary: T̂ = (1 − x²)(1 − y²)·NN(x, y). T = 0 then holds exactly on all edges, and the boundary loss is removed.</w:t>
      </w:r>
    </w:p>
    <w:p w14:paraId="3FC11DA0" w14:textId="77777777" w:rsidR="00241993" w:rsidRDefault="00000000">
      <w:pPr>
        <w:spacing w:after="60" w:line="252" w:lineRule="auto"/>
      </w:pPr>
      <w:r>
        <w:rPr>
          <w:b/>
          <w:bCs/>
        </w:rPr>
        <w:t xml:space="preserve">Fix 2: residual-based adaptive refinement (consolidation). </w:t>
      </w:r>
      <w:r>
        <w:t xml:space="preserve">We implement RAR from Lu et al., DeepXDE (ref. [24] of the paper): five cycles of 10,000 Adam epochs; after each, 5,000 random candidates are scored by squared PDE residual and the 40 worst are added (500 → 700 points); then L-BFGS. A </w:t>
      </w:r>
      <w:r>
        <w:rPr>
          <w:b/>
          <w:bCs/>
        </w:rPr>
        <w:t>control</w:t>
      </w:r>
      <w:r>
        <w:t xml:space="preserve"> run uses the same schedule and adds the same 200 points at random, to separate the effect of placement from the effect of point count. Network, seed and total budget match Part 1.</w:t>
      </w:r>
    </w:p>
    <w:p w14:paraId="6E9A5E16" w14:textId="77777777" w:rsidR="00241993" w:rsidRDefault="00000000">
      <w:pPr>
        <w:pStyle w:val="Heading2"/>
        <w:spacing w:before="120" w:after="40"/>
      </w:pPr>
      <w:r>
        <w:t>4. Implementation</w:t>
      </w:r>
    </w:p>
    <w:p w14:paraId="33185F77" w14:textId="77777777" w:rsidR="00241993" w:rsidRDefault="00000000">
      <w:pPr>
        <w:spacing w:after="60" w:line="252" w:lineRule="auto"/>
      </w:pPr>
      <w:r>
        <w:t>Python and PyTorch, with NumPy, SciPy and Matplotlib; CPU only. src/ contains the network (model.py, with input scaling to [−1, 1] and an optional output transform), the Adam-then-L-BFGS trainer, the reference solutions and the plotting code. experiments/ has one script per run: consolidation.py, heat.py, spring_inverse.py (Part 1), heat_improved.py and consolidation_rar.py with a --random-add flag for the control (Part 2). run_all.py and run_part2.py reproduce everything (about 1 to 2 hours on a laptop). Each run saves metrics.json, history.json, the trained model and figures, and --load regenerates figures without retraining. Fixed seeds make reruns bit-identical; we confirmed this by running everything twice.</w:t>
      </w:r>
    </w:p>
    <w:p w14:paraId="49131A3E" w14:textId="77777777" w:rsidR="00241993" w:rsidRDefault="00000000">
      <w:pPr>
        <w:pStyle w:val="Heading2"/>
        <w:spacing w:before="120" w:after="40"/>
      </w:pPr>
      <w:r>
        <w:t>5. Results</w:t>
      </w:r>
    </w:p>
    <w:p w14:paraId="7CE29755" w14:textId="77777777" w:rsidR="00241993" w:rsidRDefault="00000000">
      <w:pPr>
        <w:spacing w:after="50" w:line="252" w:lineRule="auto"/>
      </w:pPr>
      <w:r>
        <w:rPr>
          <w:i/>
          <w:iCs/>
          <w:color w:val="5A6B7B"/>
        </w:rPr>
        <w:t>All numbers are from one final run on a single laptop.</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3300"/>
        <w:gridCol w:w="2200"/>
        <w:gridCol w:w="2156"/>
      </w:tblGrid>
      <w:tr w:rsidR="00241993" w14:paraId="62412B16" w14:textId="77777777">
        <w:tblPrEx>
          <w:tblCellMar>
            <w:top w:w="0" w:type="dxa"/>
            <w:bottom w:w="0" w:type="dxa"/>
          </w:tblCellMar>
        </w:tblPrEx>
        <w:trPr>
          <w:cantSplit/>
          <w:tblHeader/>
        </w:trPr>
        <w:tc>
          <w:tcPr>
            <w:tcW w:w="2250" w:type="dxa"/>
            <w:tcBorders>
              <w:top w:val="single" w:sz="4" w:space="0" w:color="C9D6E4"/>
              <w:left w:val="single" w:sz="4" w:space="0" w:color="C9D6E4"/>
              <w:bottom w:val="single" w:sz="4" w:space="0" w:color="C9D6E4"/>
              <w:right w:val="single" w:sz="4" w:space="0" w:color="C9D6E4"/>
            </w:tcBorders>
            <w:shd w:val="clear" w:color="auto" w:fill="004AAD"/>
            <w:tcMar>
              <w:top w:w="60" w:type="dxa"/>
              <w:left w:w="100" w:type="dxa"/>
              <w:bottom w:w="60" w:type="dxa"/>
              <w:right w:w="100" w:type="dxa"/>
            </w:tcMar>
          </w:tcPr>
          <w:p w14:paraId="1BD49DC7" w14:textId="77777777" w:rsidR="00241993" w:rsidRDefault="00000000">
            <w:r>
              <w:rPr>
                <w:b/>
                <w:bCs/>
                <w:color w:val="FFFFFF"/>
                <w:sz w:val="18"/>
                <w:szCs w:val="18"/>
              </w:rPr>
              <w:t>Experiment</w:t>
            </w:r>
          </w:p>
        </w:tc>
        <w:tc>
          <w:tcPr>
            <w:tcW w:w="3300" w:type="dxa"/>
            <w:tcBorders>
              <w:top w:val="single" w:sz="4" w:space="0" w:color="C9D6E4"/>
              <w:left w:val="single" w:sz="4" w:space="0" w:color="C9D6E4"/>
              <w:bottom w:val="single" w:sz="4" w:space="0" w:color="C9D6E4"/>
              <w:right w:val="single" w:sz="4" w:space="0" w:color="C9D6E4"/>
            </w:tcBorders>
            <w:shd w:val="clear" w:color="auto" w:fill="004AAD"/>
            <w:tcMar>
              <w:top w:w="60" w:type="dxa"/>
              <w:left w:w="100" w:type="dxa"/>
              <w:bottom w:w="60" w:type="dxa"/>
              <w:right w:w="100" w:type="dxa"/>
            </w:tcMar>
          </w:tcPr>
          <w:p w14:paraId="46B5A58C" w14:textId="77777777" w:rsidR="00241993" w:rsidRDefault="00000000">
            <w:r>
              <w:rPr>
                <w:b/>
                <w:bCs/>
                <w:color w:val="FFFFFF"/>
                <w:sz w:val="18"/>
                <w:szCs w:val="18"/>
              </w:rPr>
              <w:t>Key metric</w:t>
            </w:r>
          </w:p>
        </w:tc>
        <w:tc>
          <w:tcPr>
            <w:tcW w:w="2200" w:type="dxa"/>
            <w:tcBorders>
              <w:top w:val="single" w:sz="4" w:space="0" w:color="C9D6E4"/>
              <w:left w:val="single" w:sz="4" w:space="0" w:color="C9D6E4"/>
              <w:bottom w:val="single" w:sz="4" w:space="0" w:color="C9D6E4"/>
              <w:right w:val="single" w:sz="4" w:space="0" w:color="C9D6E4"/>
            </w:tcBorders>
            <w:shd w:val="clear" w:color="auto" w:fill="004AAD"/>
            <w:tcMar>
              <w:top w:w="60" w:type="dxa"/>
              <w:left w:w="100" w:type="dxa"/>
              <w:bottom w:w="60" w:type="dxa"/>
              <w:right w:w="100" w:type="dxa"/>
            </w:tcMar>
          </w:tcPr>
          <w:p w14:paraId="419CC5EC" w14:textId="77777777" w:rsidR="00241993" w:rsidRDefault="00000000">
            <w:r>
              <w:rPr>
                <w:b/>
                <w:bCs/>
                <w:color w:val="FFFFFF"/>
                <w:sz w:val="18"/>
                <w:szCs w:val="18"/>
              </w:rPr>
              <w:t>Paper / baseline</w:t>
            </w:r>
          </w:p>
        </w:tc>
        <w:tc>
          <w:tcPr>
            <w:tcW w:w="2156" w:type="dxa"/>
            <w:tcBorders>
              <w:top w:val="single" w:sz="4" w:space="0" w:color="C9D6E4"/>
              <w:left w:val="single" w:sz="4" w:space="0" w:color="C9D6E4"/>
              <w:bottom w:val="single" w:sz="4" w:space="0" w:color="C9D6E4"/>
              <w:right w:val="single" w:sz="4" w:space="0" w:color="C9D6E4"/>
            </w:tcBorders>
            <w:shd w:val="clear" w:color="auto" w:fill="004AAD"/>
            <w:tcMar>
              <w:top w:w="60" w:type="dxa"/>
              <w:left w:w="100" w:type="dxa"/>
              <w:bottom w:w="60" w:type="dxa"/>
              <w:right w:w="100" w:type="dxa"/>
            </w:tcMar>
          </w:tcPr>
          <w:p w14:paraId="3661D550" w14:textId="77777777" w:rsidR="00241993" w:rsidRDefault="00000000">
            <w:r>
              <w:rPr>
                <w:b/>
                <w:bCs/>
                <w:color w:val="FFFFFF"/>
                <w:sz w:val="18"/>
                <w:szCs w:val="18"/>
              </w:rPr>
              <w:t>Ours</w:t>
            </w:r>
          </w:p>
        </w:tc>
      </w:tr>
      <w:tr w:rsidR="00241993" w14:paraId="5F0A7CA3" w14:textId="77777777">
        <w:tblPrEx>
          <w:tblCellMar>
            <w:top w:w="0" w:type="dxa"/>
            <w:bottom w:w="0" w:type="dxa"/>
          </w:tblCellMar>
        </w:tblPrEx>
        <w:trPr>
          <w:cantSplit/>
        </w:trPr>
        <w:tc>
          <w:tcPr>
            <w:tcW w:w="2250" w:type="dxa"/>
            <w:tcBorders>
              <w:top w:val="single" w:sz="4" w:space="0" w:color="C9D6E4"/>
              <w:left w:val="single" w:sz="4" w:space="0" w:color="C9D6E4"/>
              <w:bottom w:val="single" w:sz="4" w:space="0" w:color="C9D6E4"/>
              <w:right w:val="single" w:sz="4" w:space="0" w:color="C9D6E4"/>
            </w:tcBorders>
            <w:tcMar>
              <w:top w:w="60" w:type="dxa"/>
              <w:left w:w="100" w:type="dxa"/>
              <w:bottom w:w="60" w:type="dxa"/>
              <w:right w:w="100" w:type="dxa"/>
            </w:tcMar>
          </w:tcPr>
          <w:p w14:paraId="791EE0B4" w14:textId="77777777" w:rsidR="00241993" w:rsidRDefault="00000000">
            <w:r>
              <w:rPr>
                <w:sz w:val="18"/>
                <w:szCs w:val="18"/>
              </w:rPr>
              <w:t>P1 Consolidation</w:t>
            </w:r>
          </w:p>
        </w:tc>
        <w:tc>
          <w:tcPr>
            <w:tcW w:w="3300" w:type="dxa"/>
            <w:tcBorders>
              <w:top w:val="single" w:sz="4" w:space="0" w:color="C9D6E4"/>
              <w:left w:val="single" w:sz="4" w:space="0" w:color="C9D6E4"/>
              <w:bottom w:val="single" w:sz="4" w:space="0" w:color="C9D6E4"/>
              <w:right w:val="single" w:sz="4" w:space="0" w:color="C9D6E4"/>
            </w:tcBorders>
            <w:tcMar>
              <w:top w:w="60" w:type="dxa"/>
              <w:left w:w="100" w:type="dxa"/>
              <w:bottom w:w="60" w:type="dxa"/>
              <w:right w:w="100" w:type="dxa"/>
            </w:tcMar>
          </w:tcPr>
          <w:p w14:paraId="309F40F1" w14:textId="77777777" w:rsidR="00241993" w:rsidRDefault="00000000">
            <w:r>
              <w:rPr>
                <w:sz w:val="18"/>
                <w:szCs w:val="18"/>
              </w:rPr>
              <w:t>Relative L2 error (max error, t &gt; 0)</w:t>
            </w:r>
          </w:p>
        </w:tc>
        <w:tc>
          <w:tcPr>
            <w:tcW w:w="2200" w:type="dxa"/>
            <w:tcBorders>
              <w:top w:val="single" w:sz="4" w:space="0" w:color="C9D6E4"/>
              <w:left w:val="single" w:sz="4" w:space="0" w:color="C9D6E4"/>
              <w:bottom w:val="single" w:sz="4" w:space="0" w:color="C9D6E4"/>
              <w:right w:val="single" w:sz="4" w:space="0" w:color="C9D6E4"/>
            </w:tcBorders>
            <w:tcMar>
              <w:top w:w="60" w:type="dxa"/>
              <w:left w:w="100" w:type="dxa"/>
              <w:bottom w:w="60" w:type="dxa"/>
              <w:right w:w="100" w:type="dxa"/>
            </w:tcMar>
          </w:tcPr>
          <w:p w14:paraId="688B3896" w14:textId="77777777" w:rsidR="00241993" w:rsidRDefault="00000000">
            <w:r>
              <w:rPr>
                <w:sz w:val="18"/>
                <w:szCs w:val="18"/>
              </w:rPr>
              <w:t>“perfect match” (≈ 0.045)</w:t>
            </w:r>
          </w:p>
        </w:tc>
        <w:tc>
          <w:tcPr>
            <w:tcW w:w="2156" w:type="dxa"/>
            <w:tcBorders>
              <w:top w:val="single" w:sz="4" w:space="0" w:color="C9D6E4"/>
              <w:left w:val="single" w:sz="4" w:space="0" w:color="C9D6E4"/>
              <w:bottom w:val="single" w:sz="4" w:space="0" w:color="C9D6E4"/>
              <w:right w:val="single" w:sz="4" w:space="0" w:color="C9D6E4"/>
            </w:tcBorders>
            <w:tcMar>
              <w:top w:w="60" w:type="dxa"/>
              <w:left w:w="100" w:type="dxa"/>
              <w:bottom w:w="60" w:type="dxa"/>
              <w:right w:w="100" w:type="dxa"/>
            </w:tcMar>
          </w:tcPr>
          <w:p w14:paraId="4006C6EE" w14:textId="77777777" w:rsidR="00241993" w:rsidRDefault="00000000">
            <w:r>
              <w:rPr>
                <w:sz w:val="18"/>
                <w:szCs w:val="18"/>
              </w:rPr>
              <w:t>1.29 % (0.069)</w:t>
            </w:r>
          </w:p>
        </w:tc>
      </w:tr>
      <w:tr w:rsidR="00241993" w14:paraId="4A6E6374" w14:textId="77777777">
        <w:tblPrEx>
          <w:tblCellMar>
            <w:top w:w="0" w:type="dxa"/>
            <w:bottom w:w="0" w:type="dxa"/>
          </w:tblCellMar>
        </w:tblPrEx>
        <w:trPr>
          <w:cantSplit/>
        </w:trPr>
        <w:tc>
          <w:tcPr>
            <w:tcW w:w="2250" w:type="dxa"/>
            <w:tcBorders>
              <w:top w:val="single" w:sz="4" w:space="0" w:color="C9D6E4"/>
              <w:left w:val="single" w:sz="4" w:space="0" w:color="C9D6E4"/>
              <w:bottom w:val="single" w:sz="4" w:space="0" w:color="C9D6E4"/>
              <w:right w:val="single" w:sz="4" w:space="0" w:color="C9D6E4"/>
            </w:tcBorders>
            <w:tcMar>
              <w:top w:w="60" w:type="dxa"/>
              <w:left w:w="100" w:type="dxa"/>
              <w:bottom w:w="60" w:type="dxa"/>
              <w:right w:w="100" w:type="dxa"/>
            </w:tcMar>
          </w:tcPr>
          <w:p w14:paraId="305C73CC" w14:textId="77777777" w:rsidR="00241993" w:rsidRDefault="00000000">
            <w:r>
              <w:rPr>
                <w:sz w:val="18"/>
                <w:szCs w:val="18"/>
              </w:rPr>
              <w:t>P1 Heat</w:t>
            </w:r>
          </w:p>
        </w:tc>
        <w:tc>
          <w:tcPr>
            <w:tcW w:w="3300" w:type="dxa"/>
            <w:tcBorders>
              <w:top w:val="single" w:sz="4" w:space="0" w:color="C9D6E4"/>
              <w:left w:val="single" w:sz="4" w:space="0" w:color="C9D6E4"/>
              <w:bottom w:val="single" w:sz="4" w:space="0" w:color="C9D6E4"/>
              <w:right w:val="single" w:sz="4" w:space="0" w:color="C9D6E4"/>
            </w:tcBorders>
            <w:tcMar>
              <w:top w:w="60" w:type="dxa"/>
              <w:left w:w="100" w:type="dxa"/>
              <w:bottom w:w="60" w:type="dxa"/>
              <w:right w:w="100" w:type="dxa"/>
            </w:tcMar>
          </w:tcPr>
          <w:p w14:paraId="65D3393E" w14:textId="77777777" w:rsidR="00241993" w:rsidRDefault="00000000">
            <w:r>
              <w:rPr>
                <w:sz w:val="18"/>
                <w:szCs w:val="18"/>
              </w:rPr>
              <w:t>Relative L2 error · mean boundary error</w:t>
            </w:r>
          </w:p>
        </w:tc>
        <w:tc>
          <w:tcPr>
            <w:tcW w:w="2200" w:type="dxa"/>
            <w:tcBorders>
              <w:top w:val="single" w:sz="4" w:space="0" w:color="C9D6E4"/>
              <w:left w:val="single" w:sz="4" w:space="0" w:color="C9D6E4"/>
              <w:bottom w:val="single" w:sz="4" w:space="0" w:color="C9D6E4"/>
              <w:right w:val="single" w:sz="4" w:space="0" w:color="C9D6E4"/>
            </w:tcBorders>
            <w:tcMar>
              <w:top w:w="60" w:type="dxa"/>
              <w:left w:w="100" w:type="dxa"/>
              <w:bottom w:w="60" w:type="dxa"/>
              <w:right w:w="100" w:type="dxa"/>
            </w:tcMar>
          </w:tcPr>
          <w:p w14:paraId="7347DB15" w14:textId="77777777" w:rsidR="00241993" w:rsidRDefault="00000000">
            <w:r>
              <w:rPr>
                <w:sz w:val="18"/>
                <w:szCs w:val="18"/>
              </w:rPr>
              <w:t>consistent with FEM</w:t>
            </w:r>
          </w:p>
        </w:tc>
        <w:tc>
          <w:tcPr>
            <w:tcW w:w="2156" w:type="dxa"/>
            <w:tcBorders>
              <w:top w:val="single" w:sz="4" w:space="0" w:color="C9D6E4"/>
              <w:left w:val="single" w:sz="4" w:space="0" w:color="C9D6E4"/>
              <w:bottom w:val="single" w:sz="4" w:space="0" w:color="C9D6E4"/>
              <w:right w:val="single" w:sz="4" w:space="0" w:color="C9D6E4"/>
            </w:tcBorders>
            <w:tcMar>
              <w:top w:w="60" w:type="dxa"/>
              <w:left w:w="100" w:type="dxa"/>
              <w:bottom w:w="60" w:type="dxa"/>
              <w:right w:w="100" w:type="dxa"/>
            </w:tcMar>
          </w:tcPr>
          <w:p w14:paraId="26ACB37C" w14:textId="77777777" w:rsidR="00241993" w:rsidRDefault="00000000">
            <w:r>
              <w:rPr>
                <w:sz w:val="18"/>
                <w:szCs w:val="18"/>
              </w:rPr>
              <w:t>0.90 % · 3.0 × 10⁻³</w:t>
            </w:r>
          </w:p>
        </w:tc>
      </w:tr>
      <w:tr w:rsidR="00241993" w14:paraId="1537812D" w14:textId="77777777">
        <w:tblPrEx>
          <w:tblCellMar>
            <w:top w:w="0" w:type="dxa"/>
            <w:bottom w:w="0" w:type="dxa"/>
          </w:tblCellMar>
        </w:tblPrEx>
        <w:trPr>
          <w:cantSplit/>
        </w:trPr>
        <w:tc>
          <w:tcPr>
            <w:tcW w:w="2250" w:type="dxa"/>
            <w:tcBorders>
              <w:top w:val="single" w:sz="4" w:space="0" w:color="C9D6E4"/>
              <w:left w:val="single" w:sz="4" w:space="0" w:color="C9D6E4"/>
              <w:bottom w:val="single" w:sz="4" w:space="0" w:color="C9D6E4"/>
              <w:right w:val="single" w:sz="4" w:space="0" w:color="C9D6E4"/>
            </w:tcBorders>
            <w:tcMar>
              <w:top w:w="60" w:type="dxa"/>
              <w:left w:w="100" w:type="dxa"/>
              <w:bottom w:w="60" w:type="dxa"/>
              <w:right w:w="100" w:type="dxa"/>
            </w:tcMar>
          </w:tcPr>
          <w:p w14:paraId="07EA36F4" w14:textId="77777777" w:rsidR="00241993" w:rsidRDefault="00000000">
            <w:r>
              <w:rPr>
                <w:sz w:val="18"/>
                <w:szCs w:val="18"/>
              </w:rPr>
              <w:t>P1 Spring (inverse)</w:t>
            </w:r>
          </w:p>
        </w:tc>
        <w:tc>
          <w:tcPr>
            <w:tcW w:w="3300" w:type="dxa"/>
            <w:tcBorders>
              <w:top w:val="single" w:sz="4" w:space="0" w:color="C9D6E4"/>
              <w:left w:val="single" w:sz="4" w:space="0" w:color="C9D6E4"/>
              <w:bottom w:val="single" w:sz="4" w:space="0" w:color="C9D6E4"/>
              <w:right w:val="single" w:sz="4" w:space="0" w:color="C9D6E4"/>
            </w:tcBorders>
            <w:tcMar>
              <w:top w:w="60" w:type="dxa"/>
              <w:left w:w="100" w:type="dxa"/>
              <w:bottom w:w="60" w:type="dxa"/>
              <w:right w:w="100" w:type="dxa"/>
            </w:tcMar>
          </w:tcPr>
          <w:p w14:paraId="3F4AF200" w14:textId="77777777" w:rsidR="00241993" w:rsidRDefault="00000000">
            <w:r>
              <w:rPr>
                <w:sz w:val="18"/>
                <w:szCs w:val="18"/>
              </w:rPr>
              <w:t>Identified c, k (true 0.4, 4)</w:t>
            </w:r>
          </w:p>
        </w:tc>
        <w:tc>
          <w:tcPr>
            <w:tcW w:w="2200" w:type="dxa"/>
            <w:tcBorders>
              <w:top w:val="single" w:sz="4" w:space="0" w:color="C9D6E4"/>
              <w:left w:val="single" w:sz="4" w:space="0" w:color="C9D6E4"/>
              <w:bottom w:val="single" w:sz="4" w:space="0" w:color="C9D6E4"/>
              <w:right w:val="single" w:sz="4" w:space="0" w:color="C9D6E4"/>
            </w:tcBorders>
            <w:tcMar>
              <w:top w:w="60" w:type="dxa"/>
              <w:left w:w="100" w:type="dxa"/>
              <w:bottom w:w="60" w:type="dxa"/>
              <w:right w:w="100" w:type="dxa"/>
            </w:tcMar>
          </w:tcPr>
          <w:p w14:paraId="3932CF27" w14:textId="77777777" w:rsidR="00241993" w:rsidRDefault="00000000">
            <w:r>
              <w:rPr>
                <w:sz w:val="18"/>
                <w:szCs w:val="18"/>
              </w:rPr>
              <w:t>0.4013, 3.9933</w:t>
            </w:r>
          </w:p>
        </w:tc>
        <w:tc>
          <w:tcPr>
            <w:tcW w:w="2156" w:type="dxa"/>
            <w:tcBorders>
              <w:top w:val="single" w:sz="4" w:space="0" w:color="C9D6E4"/>
              <w:left w:val="single" w:sz="4" w:space="0" w:color="C9D6E4"/>
              <w:bottom w:val="single" w:sz="4" w:space="0" w:color="C9D6E4"/>
              <w:right w:val="single" w:sz="4" w:space="0" w:color="C9D6E4"/>
            </w:tcBorders>
            <w:tcMar>
              <w:top w:w="60" w:type="dxa"/>
              <w:left w:w="100" w:type="dxa"/>
              <w:bottom w:w="60" w:type="dxa"/>
              <w:right w:w="100" w:type="dxa"/>
            </w:tcMar>
          </w:tcPr>
          <w:p w14:paraId="6D41ED3F" w14:textId="77777777" w:rsidR="00241993" w:rsidRDefault="00000000">
            <w:r>
              <w:rPr>
                <w:sz w:val="18"/>
                <w:szCs w:val="18"/>
              </w:rPr>
              <w:t>0.4115, 3.9904</w:t>
            </w:r>
          </w:p>
        </w:tc>
      </w:tr>
      <w:tr w:rsidR="00241993" w14:paraId="5648966E" w14:textId="77777777">
        <w:tblPrEx>
          <w:tblCellMar>
            <w:top w:w="0" w:type="dxa"/>
            <w:bottom w:w="0" w:type="dxa"/>
          </w:tblCellMar>
        </w:tblPrEx>
        <w:trPr>
          <w:cantSplit/>
        </w:trPr>
        <w:tc>
          <w:tcPr>
            <w:tcW w:w="2250" w:type="dxa"/>
            <w:tcBorders>
              <w:top w:val="single" w:sz="4" w:space="0" w:color="C9D6E4"/>
              <w:left w:val="single" w:sz="4" w:space="0" w:color="C9D6E4"/>
              <w:bottom w:val="single" w:sz="4" w:space="0" w:color="C9D6E4"/>
              <w:right w:val="single" w:sz="4" w:space="0" w:color="C9D6E4"/>
            </w:tcBorders>
            <w:tcMar>
              <w:top w:w="60" w:type="dxa"/>
              <w:left w:w="100" w:type="dxa"/>
              <w:bottom w:w="60" w:type="dxa"/>
              <w:right w:w="100" w:type="dxa"/>
            </w:tcMar>
          </w:tcPr>
          <w:p w14:paraId="0D63556C" w14:textId="77777777" w:rsidR="00241993" w:rsidRDefault="00000000">
            <w:r>
              <w:rPr>
                <w:sz w:val="18"/>
                <w:szCs w:val="18"/>
              </w:rPr>
              <w:lastRenderedPageBreak/>
              <w:t>Fix 1 Heat, hard BC</w:t>
            </w:r>
          </w:p>
        </w:tc>
        <w:tc>
          <w:tcPr>
            <w:tcW w:w="3300" w:type="dxa"/>
            <w:tcBorders>
              <w:top w:val="single" w:sz="4" w:space="0" w:color="C9D6E4"/>
              <w:left w:val="single" w:sz="4" w:space="0" w:color="C9D6E4"/>
              <w:bottom w:val="single" w:sz="4" w:space="0" w:color="C9D6E4"/>
              <w:right w:val="single" w:sz="4" w:space="0" w:color="C9D6E4"/>
            </w:tcBorders>
            <w:tcMar>
              <w:top w:w="60" w:type="dxa"/>
              <w:left w:w="100" w:type="dxa"/>
              <w:bottom w:w="60" w:type="dxa"/>
              <w:right w:w="100" w:type="dxa"/>
            </w:tcMar>
          </w:tcPr>
          <w:p w14:paraId="36D0BAF2" w14:textId="77777777" w:rsidR="00241993" w:rsidRDefault="00000000">
            <w:r>
              <w:rPr>
                <w:sz w:val="18"/>
                <w:szCs w:val="18"/>
              </w:rPr>
              <w:t>Relative L2 error · boundary error</w:t>
            </w:r>
          </w:p>
        </w:tc>
        <w:tc>
          <w:tcPr>
            <w:tcW w:w="2200" w:type="dxa"/>
            <w:tcBorders>
              <w:top w:val="single" w:sz="4" w:space="0" w:color="C9D6E4"/>
              <w:left w:val="single" w:sz="4" w:space="0" w:color="C9D6E4"/>
              <w:bottom w:val="single" w:sz="4" w:space="0" w:color="C9D6E4"/>
              <w:right w:val="single" w:sz="4" w:space="0" w:color="C9D6E4"/>
            </w:tcBorders>
            <w:tcMar>
              <w:top w:w="60" w:type="dxa"/>
              <w:left w:w="100" w:type="dxa"/>
              <w:bottom w:w="60" w:type="dxa"/>
              <w:right w:w="100" w:type="dxa"/>
            </w:tcMar>
          </w:tcPr>
          <w:p w14:paraId="00A09DED" w14:textId="77777777" w:rsidR="00241993" w:rsidRDefault="00000000">
            <w:r>
              <w:rPr>
                <w:sz w:val="18"/>
                <w:szCs w:val="18"/>
              </w:rPr>
              <w:t>0.90 % · 3.0 × 10⁻³</w:t>
            </w:r>
          </w:p>
        </w:tc>
        <w:tc>
          <w:tcPr>
            <w:tcW w:w="2156" w:type="dxa"/>
            <w:tcBorders>
              <w:top w:val="single" w:sz="4" w:space="0" w:color="C9D6E4"/>
              <w:left w:val="single" w:sz="4" w:space="0" w:color="C9D6E4"/>
              <w:bottom w:val="single" w:sz="4" w:space="0" w:color="C9D6E4"/>
              <w:right w:val="single" w:sz="4" w:space="0" w:color="C9D6E4"/>
            </w:tcBorders>
            <w:tcMar>
              <w:top w:w="60" w:type="dxa"/>
              <w:left w:w="100" w:type="dxa"/>
              <w:bottom w:w="60" w:type="dxa"/>
              <w:right w:w="100" w:type="dxa"/>
            </w:tcMar>
          </w:tcPr>
          <w:p w14:paraId="2CD72F91" w14:textId="77777777" w:rsidR="00241993" w:rsidRDefault="00000000">
            <w:r>
              <w:rPr>
                <w:b/>
                <w:bCs/>
                <w:color w:val="1E7A46"/>
                <w:sz w:val="18"/>
                <w:szCs w:val="18"/>
              </w:rPr>
              <w:t>0.0040 % · exactly 0 (≈ 220× lower)</w:t>
            </w:r>
          </w:p>
        </w:tc>
      </w:tr>
      <w:tr w:rsidR="00241993" w14:paraId="36135E94" w14:textId="77777777">
        <w:tblPrEx>
          <w:tblCellMar>
            <w:top w:w="0" w:type="dxa"/>
            <w:bottom w:w="0" w:type="dxa"/>
          </w:tblCellMar>
        </w:tblPrEx>
        <w:trPr>
          <w:cantSplit/>
        </w:trPr>
        <w:tc>
          <w:tcPr>
            <w:tcW w:w="2250" w:type="dxa"/>
            <w:tcBorders>
              <w:top w:val="single" w:sz="4" w:space="0" w:color="C9D6E4"/>
              <w:left w:val="single" w:sz="4" w:space="0" w:color="C9D6E4"/>
              <w:bottom w:val="single" w:sz="4" w:space="0" w:color="C9D6E4"/>
              <w:right w:val="single" w:sz="4" w:space="0" w:color="C9D6E4"/>
            </w:tcBorders>
            <w:tcMar>
              <w:top w:w="60" w:type="dxa"/>
              <w:left w:w="100" w:type="dxa"/>
              <w:bottom w:w="60" w:type="dxa"/>
              <w:right w:w="100" w:type="dxa"/>
            </w:tcMar>
          </w:tcPr>
          <w:p w14:paraId="39BFED9D" w14:textId="77777777" w:rsidR="00241993" w:rsidRDefault="00000000">
            <w:r>
              <w:rPr>
                <w:sz w:val="18"/>
                <w:szCs w:val="18"/>
              </w:rPr>
              <w:t>Fix 2 Random +200 (control)</w:t>
            </w:r>
          </w:p>
        </w:tc>
        <w:tc>
          <w:tcPr>
            <w:tcW w:w="3300" w:type="dxa"/>
            <w:tcBorders>
              <w:top w:val="single" w:sz="4" w:space="0" w:color="C9D6E4"/>
              <w:left w:val="single" w:sz="4" w:space="0" w:color="C9D6E4"/>
              <w:bottom w:val="single" w:sz="4" w:space="0" w:color="C9D6E4"/>
              <w:right w:val="single" w:sz="4" w:space="0" w:color="C9D6E4"/>
            </w:tcBorders>
            <w:tcMar>
              <w:top w:w="60" w:type="dxa"/>
              <w:left w:w="100" w:type="dxa"/>
              <w:bottom w:w="60" w:type="dxa"/>
              <w:right w:w="100" w:type="dxa"/>
            </w:tcMar>
          </w:tcPr>
          <w:p w14:paraId="130B748F" w14:textId="77777777" w:rsidR="00241993" w:rsidRDefault="00000000">
            <w:r>
              <w:rPr>
                <w:sz w:val="18"/>
                <w:szCs w:val="18"/>
              </w:rPr>
              <w:t>Rel. L2 · max error (t &gt; 0) · PDE test residual</w:t>
            </w:r>
          </w:p>
        </w:tc>
        <w:tc>
          <w:tcPr>
            <w:tcW w:w="2200" w:type="dxa"/>
            <w:tcBorders>
              <w:top w:val="single" w:sz="4" w:space="0" w:color="C9D6E4"/>
              <w:left w:val="single" w:sz="4" w:space="0" w:color="C9D6E4"/>
              <w:bottom w:val="single" w:sz="4" w:space="0" w:color="C9D6E4"/>
              <w:right w:val="single" w:sz="4" w:space="0" w:color="C9D6E4"/>
            </w:tcBorders>
            <w:tcMar>
              <w:top w:w="60" w:type="dxa"/>
              <w:left w:w="100" w:type="dxa"/>
              <w:bottom w:w="60" w:type="dxa"/>
              <w:right w:w="100" w:type="dxa"/>
            </w:tcMar>
          </w:tcPr>
          <w:p w14:paraId="3983413B" w14:textId="77777777" w:rsidR="00241993" w:rsidRDefault="00000000">
            <w:r>
              <w:rPr>
                <w:sz w:val="18"/>
                <w:szCs w:val="18"/>
              </w:rPr>
              <w:t>1.29 % · 0.069 · 18.7</w:t>
            </w:r>
          </w:p>
        </w:tc>
        <w:tc>
          <w:tcPr>
            <w:tcW w:w="2156" w:type="dxa"/>
            <w:tcBorders>
              <w:top w:val="single" w:sz="4" w:space="0" w:color="C9D6E4"/>
              <w:left w:val="single" w:sz="4" w:space="0" w:color="C9D6E4"/>
              <w:bottom w:val="single" w:sz="4" w:space="0" w:color="C9D6E4"/>
              <w:right w:val="single" w:sz="4" w:space="0" w:color="C9D6E4"/>
            </w:tcBorders>
            <w:tcMar>
              <w:top w:w="60" w:type="dxa"/>
              <w:left w:w="100" w:type="dxa"/>
              <w:bottom w:w="60" w:type="dxa"/>
              <w:right w:w="100" w:type="dxa"/>
            </w:tcMar>
          </w:tcPr>
          <w:p w14:paraId="7B6A3F82" w14:textId="77777777" w:rsidR="00241993" w:rsidRDefault="00000000">
            <w:r>
              <w:rPr>
                <w:sz w:val="18"/>
                <w:szCs w:val="18"/>
              </w:rPr>
              <w:t>0.84 % · 0.060 · 99.0</w:t>
            </w:r>
          </w:p>
        </w:tc>
      </w:tr>
      <w:tr w:rsidR="00241993" w14:paraId="5AD4862C" w14:textId="77777777">
        <w:tblPrEx>
          <w:tblCellMar>
            <w:top w:w="0" w:type="dxa"/>
            <w:bottom w:w="0" w:type="dxa"/>
          </w:tblCellMar>
        </w:tblPrEx>
        <w:trPr>
          <w:cantSplit/>
        </w:trPr>
        <w:tc>
          <w:tcPr>
            <w:tcW w:w="2250" w:type="dxa"/>
            <w:tcBorders>
              <w:top w:val="single" w:sz="4" w:space="0" w:color="C9D6E4"/>
              <w:left w:val="single" w:sz="4" w:space="0" w:color="C9D6E4"/>
              <w:bottom w:val="single" w:sz="4" w:space="0" w:color="C9D6E4"/>
              <w:right w:val="single" w:sz="4" w:space="0" w:color="C9D6E4"/>
            </w:tcBorders>
            <w:tcMar>
              <w:top w:w="60" w:type="dxa"/>
              <w:left w:w="100" w:type="dxa"/>
              <w:bottom w:w="60" w:type="dxa"/>
              <w:right w:w="100" w:type="dxa"/>
            </w:tcMar>
          </w:tcPr>
          <w:p w14:paraId="20203374" w14:textId="77777777" w:rsidR="00241993" w:rsidRDefault="00000000">
            <w:r>
              <w:rPr>
                <w:sz w:val="18"/>
                <w:szCs w:val="18"/>
              </w:rPr>
              <w:t>Fix 2 RAR +200</w:t>
            </w:r>
          </w:p>
        </w:tc>
        <w:tc>
          <w:tcPr>
            <w:tcW w:w="3300" w:type="dxa"/>
            <w:tcBorders>
              <w:top w:val="single" w:sz="4" w:space="0" w:color="C9D6E4"/>
              <w:left w:val="single" w:sz="4" w:space="0" w:color="C9D6E4"/>
              <w:bottom w:val="single" w:sz="4" w:space="0" w:color="C9D6E4"/>
              <w:right w:val="single" w:sz="4" w:space="0" w:color="C9D6E4"/>
            </w:tcBorders>
            <w:tcMar>
              <w:top w:w="60" w:type="dxa"/>
              <w:left w:w="100" w:type="dxa"/>
              <w:bottom w:w="60" w:type="dxa"/>
              <w:right w:w="100" w:type="dxa"/>
            </w:tcMar>
          </w:tcPr>
          <w:p w14:paraId="0E629AE5" w14:textId="77777777" w:rsidR="00241993" w:rsidRDefault="00000000">
            <w:r>
              <w:rPr>
                <w:sz w:val="18"/>
                <w:szCs w:val="18"/>
              </w:rPr>
              <w:t>Rel. L2 · max error (t &gt; 0) · PDE test residual</w:t>
            </w:r>
          </w:p>
        </w:tc>
        <w:tc>
          <w:tcPr>
            <w:tcW w:w="2200" w:type="dxa"/>
            <w:tcBorders>
              <w:top w:val="single" w:sz="4" w:space="0" w:color="C9D6E4"/>
              <w:left w:val="single" w:sz="4" w:space="0" w:color="C9D6E4"/>
              <w:bottom w:val="single" w:sz="4" w:space="0" w:color="C9D6E4"/>
              <w:right w:val="single" w:sz="4" w:space="0" w:color="C9D6E4"/>
            </w:tcBorders>
            <w:tcMar>
              <w:top w:w="60" w:type="dxa"/>
              <w:left w:w="100" w:type="dxa"/>
              <w:bottom w:w="60" w:type="dxa"/>
              <w:right w:w="100" w:type="dxa"/>
            </w:tcMar>
          </w:tcPr>
          <w:p w14:paraId="77DD0E0B" w14:textId="77777777" w:rsidR="00241993" w:rsidRDefault="00000000">
            <w:r>
              <w:rPr>
                <w:sz w:val="18"/>
                <w:szCs w:val="18"/>
              </w:rPr>
              <w:t>1.29 % · 0.069 · 18.7</w:t>
            </w:r>
          </w:p>
        </w:tc>
        <w:tc>
          <w:tcPr>
            <w:tcW w:w="2156" w:type="dxa"/>
            <w:tcBorders>
              <w:top w:val="single" w:sz="4" w:space="0" w:color="C9D6E4"/>
              <w:left w:val="single" w:sz="4" w:space="0" w:color="C9D6E4"/>
              <w:bottom w:val="single" w:sz="4" w:space="0" w:color="C9D6E4"/>
              <w:right w:val="single" w:sz="4" w:space="0" w:color="C9D6E4"/>
            </w:tcBorders>
            <w:tcMar>
              <w:top w:w="60" w:type="dxa"/>
              <w:left w:w="100" w:type="dxa"/>
              <w:bottom w:w="60" w:type="dxa"/>
              <w:right w:w="100" w:type="dxa"/>
            </w:tcMar>
          </w:tcPr>
          <w:p w14:paraId="7670A771" w14:textId="77777777" w:rsidR="00241993" w:rsidRDefault="00000000">
            <w:r>
              <w:rPr>
                <w:b/>
                <w:bCs/>
                <w:color w:val="1E7A46"/>
                <w:sz w:val="18"/>
                <w:szCs w:val="18"/>
              </w:rPr>
              <w:t>0.79 % · 0.032 · 0.11</w:t>
            </w:r>
          </w:p>
        </w:tc>
      </w:tr>
    </w:tbl>
    <w:p w14:paraId="262C2405" w14:textId="77777777" w:rsidR="00241993" w:rsidRDefault="00000000">
      <w:pPr>
        <w:spacing w:before="80" w:after="60" w:line="252" w:lineRule="auto"/>
      </w:pPr>
      <w:r>
        <w:rPr>
          <w:b/>
          <w:bCs/>
        </w:rPr>
        <w:t xml:space="preserve">Observations. </w:t>
      </w:r>
      <w:r>
        <w:t>Part 1 reproduces the paper's findings: the consolidation error is concentrated near the origin, the heat error is largest along the boundary, and k converges quickly while c converges slowly. With the hard boundary condition, L-BFGS ran 4,019 iterations instead of stopping after 14, because the loss no longer has two competing terms; this drives most of the gain. RAR packed its added points along t ≈ 0. Compared with the random control, it halved the worst-case error and reduced the PDE test residual from 99 to 0.11, while the average error improved by a similar amount in both runs.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53"/>
        <w:gridCol w:w="4953"/>
      </w:tblGrid>
      <w:tr w:rsidR="00241993" w14:paraId="265D021B" w14:textId="77777777">
        <w:tblPrEx>
          <w:tblCellMar>
            <w:top w:w="0" w:type="dxa"/>
            <w:bottom w:w="0" w:type="dxa"/>
          </w:tblCellMar>
        </w:tblPrEx>
        <w:tc>
          <w:tcPr>
            <w:tcW w:w="4953" w:type="dxa"/>
            <w:tcBorders>
              <w:top w:val="none" w:sz="0" w:space="0" w:color="FFFFFF"/>
              <w:left w:val="none" w:sz="0" w:space="0" w:color="FFFFFF"/>
              <w:bottom w:val="none" w:sz="0" w:space="0" w:color="FFFFFF"/>
              <w:right w:val="none" w:sz="0" w:space="0" w:color="FFFFFF"/>
            </w:tcBorders>
          </w:tcPr>
          <w:p w14:paraId="066EAC16" w14:textId="77777777" w:rsidR="00241993" w:rsidRDefault="00000000">
            <w:pPr>
              <w:spacing w:after="20"/>
              <w:jc w:val="center"/>
            </w:pPr>
            <w:r>
              <w:rPr>
                <w:noProof/>
              </w:rPr>
              <w:drawing>
                <wp:inline distT="0" distB="0" distL="0" distR="0" wp14:anchorId="31818851" wp14:editId="51574CC3">
                  <wp:extent cx="3028950" cy="1257300"/>
                  <wp:effectExtent l="0" t="0" r="0" b="0"/>
                  <wp:docPr id="1" name="f1_cmp_own.png" descr="f1_cmp_own.png" title="f1_cmp_ow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28950" cy="1257300"/>
                          </a:xfrm>
                          <a:prstGeom prst="rect">
                            <a:avLst/>
                          </a:prstGeom>
                        </pic:spPr>
                      </pic:pic>
                    </a:graphicData>
                  </a:graphic>
                </wp:inline>
              </w:drawing>
            </w:r>
          </w:p>
          <w:p w14:paraId="5ECC7A6B" w14:textId="77777777" w:rsidR="00241993" w:rsidRDefault="00000000">
            <w:pPr>
              <w:spacing w:after="40"/>
              <w:jc w:val="center"/>
            </w:pPr>
            <w:r>
              <w:rPr>
                <w:i/>
                <w:iCs/>
                <w:color w:val="5A6B7B"/>
                <w:sz w:val="16"/>
                <w:szCs w:val="16"/>
              </w:rPr>
              <w:t>Fig. 1. Heat error, soft BC (left, up to 1.2 × 10⁻²) vs hard BC (right, up to 5.5 × 10⁻⁵).</w:t>
            </w:r>
          </w:p>
        </w:tc>
        <w:tc>
          <w:tcPr>
            <w:tcW w:w="4953" w:type="dxa"/>
            <w:tcBorders>
              <w:top w:val="none" w:sz="0" w:space="0" w:color="FFFFFF"/>
              <w:left w:val="none" w:sz="0" w:space="0" w:color="FFFFFF"/>
              <w:bottom w:val="none" w:sz="0" w:space="0" w:color="FFFFFF"/>
              <w:right w:val="none" w:sz="0" w:space="0" w:color="FFFFFF"/>
            </w:tcBorders>
          </w:tcPr>
          <w:p w14:paraId="65813E13" w14:textId="77777777" w:rsidR="00241993" w:rsidRDefault="00000000">
            <w:pPr>
              <w:spacing w:after="20"/>
              <w:jc w:val="center"/>
            </w:pPr>
            <w:r>
              <w:rPr>
                <w:noProof/>
              </w:rPr>
              <w:drawing>
                <wp:inline distT="0" distB="0" distL="0" distR="0" wp14:anchorId="1D28BDAB" wp14:editId="3F010105">
                  <wp:extent cx="3028950" cy="1257300"/>
                  <wp:effectExtent l="0" t="0" r="0" b="0"/>
                  <wp:docPr id="2092140337" name="f2_points_rar_vs_ctrl.png" descr="f2_points_rar_vs_ctrl.png" title="f2_points_rar_vs_ctr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28950" cy="1257300"/>
                          </a:xfrm>
                          <a:prstGeom prst="rect">
                            <a:avLst/>
                          </a:prstGeom>
                        </pic:spPr>
                      </pic:pic>
                    </a:graphicData>
                  </a:graphic>
                </wp:inline>
              </w:drawing>
            </w:r>
          </w:p>
          <w:p w14:paraId="2A374BA0" w14:textId="77777777" w:rsidR="00241993" w:rsidRDefault="00000000">
            <w:pPr>
              <w:spacing w:after="40"/>
              <w:jc w:val="center"/>
            </w:pPr>
            <w:r>
              <w:rPr>
                <w:i/>
                <w:iCs/>
                <w:color w:val="5A6B7B"/>
                <w:sz w:val="16"/>
                <w:szCs w:val="16"/>
              </w:rPr>
              <w:t>Fig. 2. Where the 200 added points go: random control (left) vs RAR (right).</w:t>
            </w:r>
          </w:p>
        </w:tc>
      </w:tr>
    </w:tbl>
    <w:p w14:paraId="59269C80" w14:textId="77777777" w:rsidR="00241993" w:rsidRDefault="00000000">
      <w:pPr>
        <w:spacing w:before="40" w:after="10"/>
        <w:jc w:val="center"/>
      </w:pPr>
      <w:r>
        <w:rPr>
          <w:noProof/>
        </w:rPr>
        <w:drawing>
          <wp:inline distT="0" distB="0" distL="0" distR="0" wp14:anchorId="2490E3A0" wp14:editId="65793D8D">
            <wp:extent cx="5715000" cy="1590675"/>
            <wp:effectExtent l="0" t="0" r="0" b="0"/>
            <wp:docPr id="566246457" name="f2_err_three.png" descr="f2_err_three.png" title="f2_err_th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590675"/>
                    </a:xfrm>
                    <a:prstGeom prst="rect">
                      <a:avLst/>
                    </a:prstGeom>
                  </pic:spPr>
                </pic:pic>
              </a:graphicData>
            </a:graphic>
          </wp:inline>
        </w:drawing>
      </w:r>
    </w:p>
    <w:p w14:paraId="394EBA69" w14:textId="77777777" w:rsidR="00241993" w:rsidRDefault="00000000">
      <w:pPr>
        <w:spacing w:after="40"/>
        <w:jc w:val="center"/>
      </w:pPr>
      <w:r>
        <w:rPr>
          <w:i/>
          <w:iCs/>
          <w:color w:val="5A6B7B"/>
          <w:sz w:val="16"/>
          <w:szCs w:val="16"/>
        </w:rPr>
        <w:t>Fig. 3. Consolidation error (t &gt; 0, one colour scale): baseline, random control, RAR.</w:t>
      </w:r>
    </w:p>
    <w:p w14:paraId="1C5214CE" w14:textId="77777777" w:rsidR="00241993" w:rsidRDefault="00000000">
      <w:pPr>
        <w:pStyle w:val="Heading2"/>
        <w:spacing w:before="120" w:after="40"/>
      </w:pPr>
      <w:r>
        <w:t>6. Conclusions</w:t>
      </w:r>
    </w:p>
    <w:p w14:paraId="13F4E154" w14:textId="77777777" w:rsidR="00241993" w:rsidRDefault="00000000">
      <w:pPr>
        <w:pStyle w:val="ListParagraph"/>
        <w:numPr>
          <w:ilvl w:val="0"/>
          <w:numId w:val="2"/>
        </w:numPr>
        <w:spacing w:after="30" w:line="252" w:lineRule="auto"/>
      </w:pPr>
      <w:r>
        <w:t>PINNs reproduced all three of the paper's results with about 1 % error, and recovered c and k within 3 %, from equations and 50 observations alone.</w:t>
      </w:r>
    </w:p>
    <w:p w14:paraId="347519B9" w14:textId="77777777" w:rsidR="00241993" w:rsidRDefault="00000000">
      <w:pPr>
        <w:pStyle w:val="ListParagraph"/>
        <w:numPr>
          <w:ilvl w:val="0"/>
          <w:numId w:val="2"/>
        </w:numPr>
        <w:spacing w:after="30" w:line="252" w:lineRule="auto"/>
      </w:pPr>
      <w:r>
        <w:t>Enforcing the boundary condition exactly reduced the heat error about 220 times and made the boundary error zero, largely because a single-term loss lets L-BFGS converge fully.</w:t>
      </w:r>
    </w:p>
    <w:p w14:paraId="0B68AF9E" w14:textId="77777777" w:rsidR="00241993" w:rsidRDefault="00000000">
      <w:pPr>
        <w:pStyle w:val="ListParagraph"/>
        <w:numPr>
          <w:ilvl w:val="0"/>
          <w:numId w:val="2"/>
        </w:numPr>
        <w:spacing w:after="30" w:line="252" w:lineRule="auto"/>
      </w:pPr>
      <w:r>
        <w:t>Residual-based adaptive sampling fixed the worst-case error near the initial jump. The control experiment shows that the gain in average error comes from the extra points and the cycled schedule rather than from adaptivity, so claiming more without a control would have been wrong.</w:t>
      </w:r>
    </w:p>
    <w:p w14:paraId="4A25F8F8" w14:textId="77777777" w:rsidR="00241993" w:rsidRDefault="00000000">
      <w:pPr>
        <w:pStyle w:val="ListParagraph"/>
        <w:numPr>
          <w:ilvl w:val="0"/>
          <w:numId w:val="2"/>
        </w:numPr>
        <w:spacing w:after="30" w:line="252" w:lineRule="auto"/>
      </w:pPr>
      <w:r>
        <w:t>Limitations: single seed (another machine gave slightly different numbers); the paper's output constraints (0 ≤ p ≤ 1, T &gt; 0) were not implemented. Next steps: multi-seed averages, a hard initial condition for consolidation, and the coupled poromechanics equations named in the paper.</w:t>
      </w:r>
    </w:p>
    <w:p w14:paraId="2DCD2141" w14:textId="77777777" w:rsidR="00241993" w:rsidRDefault="00000000">
      <w:pPr>
        <w:spacing w:before="80"/>
      </w:pPr>
      <w:r>
        <w:rPr>
          <w:color w:val="5A6B7B"/>
          <w:sz w:val="16"/>
          <w:szCs w:val="16"/>
        </w:rPr>
        <w:t>References: [1] Q. Zhang, Y. Chen, Z. Yang, Data Driven Solutions and Discoveries in Mechanics Using PINN, Stanford CS229 report. [2] M. Raissi et al., J. Comput. Phys. 378 (2019) 686–707. [3] L. Lu et al., DeepXDE, arXiv:1907.04502 (2019). [4] J. Berg, K. Nyström, Neurocomputing 317 (2018).</w:t>
      </w:r>
    </w:p>
    <w:sectPr w:rsidR="00241993">
      <w:pgSz w:w="11906" w:h="16838"/>
      <w:pgMar w:top="850" w:right="1000" w:bottom="85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C53CA"/>
    <w:multiLevelType w:val="hybridMultilevel"/>
    <w:tmpl w:val="044649E8"/>
    <w:lvl w:ilvl="0" w:tplc="DCDEAA4A">
      <w:start w:val="1"/>
      <w:numFmt w:val="bullet"/>
      <w:lvlText w:val="●"/>
      <w:lvlJc w:val="left"/>
      <w:pPr>
        <w:ind w:left="720" w:hanging="360"/>
      </w:pPr>
    </w:lvl>
    <w:lvl w:ilvl="1" w:tplc="72967BE4">
      <w:start w:val="1"/>
      <w:numFmt w:val="bullet"/>
      <w:lvlText w:val="○"/>
      <w:lvlJc w:val="left"/>
      <w:pPr>
        <w:ind w:left="1440" w:hanging="360"/>
      </w:pPr>
    </w:lvl>
    <w:lvl w:ilvl="2" w:tplc="4662778A">
      <w:start w:val="1"/>
      <w:numFmt w:val="bullet"/>
      <w:lvlText w:val="■"/>
      <w:lvlJc w:val="left"/>
      <w:pPr>
        <w:ind w:left="2160" w:hanging="360"/>
      </w:pPr>
    </w:lvl>
    <w:lvl w:ilvl="3" w:tplc="88468D66">
      <w:start w:val="1"/>
      <w:numFmt w:val="bullet"/>
      <w:lvlText w:val="●"/>
      <w:lvlJc w:val="left"/>
      <w:pPr>
        <w:ind w:left="2880" w:hanging="360"/>
      </w:pPr>
    </w:lvl>
    <w:lvl w:ilvl="4" w:tplc="2EA01B3E">
      <w:start w:val="1"/>
      <w:numFmt w:val="bullet"/>
      <w:lvlText w:val="○"/>
      <w:lvlJc w:val="left"/>
      <w:pPr>
        <w:ind w:left="3600" w:hanging="360"/>
      </w:pPr>
    </w:lvl>
    <w:lvl w:ilvl="5" w:tplc="839431B6">
      <w:start w:val="1"/>
      <w:numFmt w:val="bullet"/>
      <w:lvlText w:val="■"/>
      <w:lvlJc w:val="left"/>
      <w:pPr>
        <w:ind w:left="4320" w:hanging="360"/>
      </w:pPr>
    </w:lvl>
    <w:lvl w:ilvl="6" w:tplc="705CF246">
      <w:start w:val="1"/>
      <w:numFmt w:val="bullet"/>
      <w:lvlText w:val="●"/>
      <w:lvlJc w:val="left"/>
      <w:pPr>
        <w:ind w:left="5040" w:hanging="360"/>
      </w:pPr>
    </w:lvl>
    <w:lvl w:ilvl="7" w:tplc="1A2C5590">
      <w:start w:val="1"/>
      <w:numFmt w:val="bullet"/>
      <w:lvlText w:val="●"/>
      <w:lvlJc w:val="left"/>
      <w:pPr>
        <w:ind w:left="5760" w:hanging="360"/>
      </w:pPr>
    </w:lvl>
    <w:lvl w:ilvl="8" w:tplc="FFD8CD58">
      <w:start w:val="1"/>
      <w:numFmt w:val="bullet"/>
      <w:lvlText w:val="●"/>
      <w:lvlJc w:val="left"/>
      <w:pPr>
        <w:ind w:left="6480" w:hanging="360"/>
      </w:pPr>
    </w:lvl>
  </w:abstractNum>
  <w:abstractNum w:abstractNumId="1" w15:restartNumberingAfterBreak="0">
    <w:nsid w:val="5CF30EE0"/>
    <w:multiLevelType w:val="hybridMultilevel"/>
    <w:tmpl w:val="D48EEC6A"/>
    <w:lvl w:ilvl="0" w:tplc="332EC186">
      <w:start w:val="1"/>
      <w:numFmt w:val="decimal"/>
      <w:lvlText w:val="%1."/>
      <w:lvlJc w:val="left"/>
      <w:pPr>
        <w:ind w:left="360" w:hanging="300"/>
      </w:pPr>
    </w:lvl>
    <w:lvl w:ilvl="1" w:tplc="BC408492">
      <w:numFmt w:val="decimal"/>
      <w:lvlText w:val=""/>
      <w:lvlJc w:val="left"/>
    </w:lvl>
    <w:lvl w:ilvl="2" w:tplc="4D761C34">
      <w:numFmt w:val="decimal"/>
      <w:lvlText w:val=""/>
      <w:lvlJc w:val="left"/>
    </w:lvl>
    <w:lvl w:ilvl="3" w:tplc="35B4C7CE">
      <w:numFmt w:val="decimal"/>
      <w:lvlText w:val=""/>
      <w:lvlJc w:val="left"/>
    </w:lvl>
    <w:lvl w:ilvl="4" w:tplc="9C74A644">
      <w:numFmt w:val="decimal"/>
      <w:lvlText w:val=""/>
      <w:lvlJc w:val="left"/>
    </w:lvl>
    <w:lvl w:ilvl="5" w:tplc="12A00244">
      <w:numFmt w:val="decimal"/>
      <w:lvlText w:val=""/>
      <w:lvlJc w:val="left"/>
    </w:lvl>
    <w:lvl w:ilvl="6" w:tplc="51DE0316">
      <w:numFmt w:val="decimal"/>
      <w:lvlText w:val=""/>
      <w:lvlJc w:val="left"/>
    </w:lvl>
    <w:lvl w:ilvl="7" w:tplc="C8D408DE">
      <w:numFmt w:val="decimal"/>
      <w:lvlText w:val=""/>
      <w:lvlJc w:val="left"/>
    </w:lvl>
    <w:lvl w:ilvl="8" w:tplc="83BC6222">
      <w:numFmt w:val="decimal"/>
      <w:lvlText w:val=""/>
      <w:lvlJc w:val="left"/>
    </w:lvl>
  </w:abstractNum>
  <w:abstractNum w:abstractNumId="2" w15:restartNumberingAfterBreak="0">
    <w:nsid w:val="7D585EB6"/>
    <w:multiLevelType w:val="hybridMultilevel"/>
    <w:tmpl w:val="8E584568"/>
    <w:lvl w:ilvl="0" w:tplc="2BE20330">
      <w:start w:val="1"/>
      <w:numFmt w:val="bullet"/>
      <w:lvlText w:val="•"/>
      <w:lvlJc w:val="left"/>
      <w:pPr>
        <w:ind w:left="360" w:hanging="240"/>
      </w:pPr>
    </w:lvl>
    <w:lvl w:ilvl="1" w:tplc="BBD2066E">
      <w:start w:val="1"/>
      <w:numFmt w:val="bullet"/>
      <w:lvlText w:val="–"/>
      <w:lvlJc w:val="left"/>
      <w:pPr>
        <w:ind w:left="720" w:hanging="240"/>
      </w:pPr>
    </w:lvl>
    <w:lvl w:ilvl="2" w:tplc="09B241C6">
      <w:numFmt w:val="decimal"/>
      <w:lvlText w:val=""/>
      <w:lvlJc w:val="left"/>
    </w:lvl>
    <w:lvl w:ilvl="3" w:tplc="BE38FBF2">
      <w:numFmt w:val="decimal"/>
      <w:lvlText w:val=""/>
      <w:lvlJc w:val="left"/>
    </w:lvl>
    <w:lvl w:ilvl="4" w:tplc="1032D0C4">
      <w:numFmt w:val="decimal"/>
      <w:lvlText w:val=""/>
      <w:lvlJc w:val="left"/>
    </w:lvl>
    <w:lvl w:ilvl="5" w:tplc="759A3368">
      <w:numFmt w:val="decimal"/>
      <w:lvlText w:val=""/>
      <w:lvlJc w:val="left"/>
    </w:lvl>
    <w:lvl w:ilvl="6" w:tplc="81B45674">
      <w:numFmt w:val="decimal"/>
      <w:lvlText w:val=""/>
      <w:lvlJc w:val="left"/>
    </w:lvl>
    <w:lvl w:ilvl="7" w:tplc="1DE6839E">
      <w:numFmt w:val="decimal"/>
      <w:lvlText w:val=""/>
      <w:lvlJc w:val="left"/>
    </w:lvl>
    <w:lvl w:ilvl="8" w:tplc="AE78D428">
      <w:numFmt w:val="decimal"/>
      <w:lvlText w:val=""/>
      <w:lvlJc w:val="left"/>
    </w:lvl>
  </w:abstractNum>
  <w:num w:numId="1" w16cid:durableId="925724427">
    <w:abstractNumId w:val="0"/>
    <w:lvlOverride w:ilvl="0">
      <w:startOverride w:val="1"/>
    </w:lvlOverride>
  </w:num>
  <w:num w:numId="2" w16cid:durableId="18921845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1993"/>
    <w:rsid w:val="00241993"/>
    <w:rsid w:val="00CB04BD"/>
    <w:rsid w:val="00F574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D4F1F"/>
  <w15:docId w15:val="{3E3888B5-1A2D-4EC7-AFAB-66D54A69D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D1B2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80" w:after="120"/>
      <w:outlineLvl w:val="0"/>
    </w:pPr>
    <w:rPr>
      <w:b/>
      <w:bCs/>
      <w:color w:val="004AAD"/>
      <w:sz w:val="30"/>
      <w:szCs w:val="30"/>
    </w:rPr>
  </w:style>
  <w:style w:type="paragraph" w:styleId="Heading2">
    <w:name w:val="heading 2"/>
    <w:uiPriority w:val="9"/>
    <w:unhideWhenUsed/>
    <w:qFormat/>
    <w:pPr>
      <w:keepNext/>
      <w:spacing w:before="200" w:after="80"/>
      <w:outlineLvl w:val="1"/>
    </w:pPr>
    <w:rPr>
      <w:b/>
      <w:bCs/>
      <w:color w:val="004AAD"/>
      <w:sz w:val="22"/>
      <w:szCs w:val="22"/>
    </w:rPr>
  </w:style>
  <w:style w:type="paragraph" w:styleId="Heading3">
    <w:name w:val="heading 3"/>
    <w:uiPriority w:val="9"/>
    <w:semiHidden/>
    <w:unhideWhenUsed/>
    <w:qFormat/>
    <w:pPr>
      <w:keepNext/>
      <w:spacing w:before="140" w:after="60"/>
      <w:outlineLvl w:val="2"/>
    </w:pPr>
    <w:rPr>
      <w:b/>
      <w:bCs/>
      <w:color w:val="004AAD"/>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80"/>
    </w:pPr>
    <w:rPr>
      <w:b/>
      <w:bCs/>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1021</Words>
  <Characters>5826</Characters>
  <Application>Microsoft Office Word</Application>
  <DocSecurity>0</DocSecurity>
  <Lines>48</Lines>
  <Paragraphs>13</Paragraphs>
  <ScaleCrop>false</ScaleCrop>
  <Company/>
  <LinksUpToDate>false</LinksUpToDate>
  <CharactersWithSpaces>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Mini-Project Write-up</dc:title>
  <dc:creator>Problem 13 team</dc:creator>
  <cp:lastModifiedBy>Abhay Kora</cp:lastModifiedBy>
  <cp:revision>2</cp:revision>
  <dcterms:created xsi:type="dcterms:W3CDTF">2026-10-07T03:19:00Z</dcterms:created>
  <dcterms:modified xsi:type="dcterms:W3CDTF">2026-10-07T03:31:00Z</dcterms:modified>
</cp:coreProperties>
</file>